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3"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2"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FTI CONSULTING, INC.</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228600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485900" cy="288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590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right="9120" w:firstLine="7"/>
        <w:spacing w:after="0" w:line="232" w:lineRule="auto"/>
        <w:tabs>
          <w:tab w:leader="none" w:pos="464" w:val="left"/>
        </w:tabs>
        <w:numPr>
          <w:ilvl w:val="0"/>
          <w:numId w:val="6"/>
        </w:numPr>
        <w:rPr>
          <w:rFonts w:ascii="Calibri" w:cs="Calibri" w:eastAsia="Calibri" w:hAnsi="Calibri"/>
          <w:sz w:val="17"/>
          <w:szCs w:val="17"/>
          <w:color w:val="333333"/>
        </w:rPr>
      </w:pPr>
      <w:r>
        <w:rPr>
          <w:rFonts w:ascii="Calibri" w:cs="Calibri" w:eastAsia="Calibri" w:hAnsi="Calibri"/>
          <w:sz w:val="17"/>
          <w:szCs w:val="17"/>
          <w:color w:val="333333"/>
        </w:rPr>
        <w:t>12</w:t>
      </w:r>
      <w:r>
        <w:rPr>
          <w:rFonts w:ascii="Calibri" w:cs="Calibri" w:eastAsia="Calibri" w:hAnsi="Calibri"/>
          <w:sz w:val="12"/>
          <w:szCs w:val="12"/>
          <w:color w:val="333333"/>
        </w:rPr>
        <w:t>th</w:t>
      </w:r>
      <w:r>
        <w:rPr>
          <w:rFonts w:ascii="Calibri" w:cs="Calibri" w:eastAsia="Calibri" w:hAnsi="Calibri"/>
          <w:sz w:val="17"/>
          <w:szCs w:val="17"/>
          <w:color w:val="333333"/>
        </w:rPr>
        <w:t xml:space="preserve"> Street NW Suite 700 Washington, D.C. 20004 +1.202.312.9100</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April 21, 2026</w:t>
      </w:r>
    </w:p>
    <w:p>
      <w:pPr>
        <w:spacing w:after="0" w:line="167" w:lineRule="exact"/>
        <w:rPr>
          <w:sz w:val="20"/>
          <w:szCs w:val="20"/>
          <w:color w:val="auto"/>
        </w:rPr>
      </w:pPr>
    </w:p>
    <w:p>
      <w:pPr>
        <w:ind w:left="160"/>
        <w:spacing w:after="0"/>
        <w:rPr>
          <w:sz w:val="20"/>
          <w:szCs w:val="20"/>
          <w:color w:val="auto"/>
        </w:rPr>
      </w:pPr>
      <w:r>
        <w:rPr>
          <w:rFonts w:ascii="Calibri" w:cs="Calibri" w:eastAsia="Calibri" w:hAnsi="Calibri"/>
          <w:sz w:val="57"/>
          <w:szCs w:val="57"/>
          <w:color w:val="0591DB"/>
        </w:rPr>
        <w:t xml:space="preserve">DEAR FELLOW </w:t>
      </w:r>
      <w:r>
        <w:rPr>
          <w:rFonts w:ascii="Calibri" w:cs="Calibri" w:eastAsia="Calibri" w:hAnsi="Calibri"/>
          <w:sz w:val="57"/>
          <w:szCs w:val="57"/>
          <w:b w:val="1"/>
          <w:bCs w:val="1"/>
          <w:color w:val="0591DB"/>
        </w:rPr>
        <w:t>SHAREHOLDERS:</w:t>
      </w:r>
    </w:p>
    <w:p>
      <w:pPr>
        <w:spacing w:after="0" w:line="259" w:lineRule="exact"/>
        <w:rPr>
          <w:sz w:val="20"/>
          <w:szCs w:val="20"/>
          <w:color w:val="auto"/>
        </w:rPr>
      </w:pPr>
    </w:p>
    <w:p>
      <w:pPr>
        <w:ind w:left="160" w:right="20"/>
        <w:spacing w:after="0" w:line="233" w:lineRule="auto"/>
        <w:rPr>
          <w:sz w:val="20"/>
          <w:szCs w:val="20"/>
          <w:color w:val="auto"/>
        </w:rPr>
      </w:pPr>
      <w:r>
        <w:rPr>
          <w:rFonts w:ascii="Calibri" w:cs="Calibri" w:eastAsia="Calibri" w:hAnsi="Calibri"/>
          <w:sz w:val="17"/>
          <w:szCs w:val="17"/>
          <w:color w:val="333333"/>
        </w:rPr>
        <w:t>You are invited to join us at the annual meetng of shareholders of FTI Consultng, Inc., a Maryland corporaton, on Wednesday, June 3, 2026 (the “Annual Meetng”), at 9:30 a.m., Eastern Time, at our principal executve ofce located at 555 12</w:t>
      </w:r>
      <w:r>
        <w:rPr>
          <w:rFonts w:ascii="Calibri" w:cs="Calibri" w:eastAsia="Calibri" w:hAnsi="Calibri"/>
          <w:sz w:val="12"/>
          <w:szCs w:val="12"/>
          <w:color w:val="333333"/>
        </w:rPr>
        <w:t>th</w:t>
      </w:r>
      <w:r>
        <w:rPr>
          <w:rFonts w:ascii="Calibri" w:cs="Calibri" w:eastAsia="Calibri" w:hAnsi="Calibri"/>
          <w:sz w:val="17"/>
          <w:szCs w:val="17"/>
          <w:color w:val="333333"/>
        </w:rPr>
        <w:t xml:space="preserve"> Street NW, Suite 700, Washington, D.C. 20004.</w:t>
      </w:r>
    </w:p>
    <w:p>
      <w:pPr>
        <w:spacing w:after="0" w:line="212" w:lineRule="exact"/>
        <w:rPr>
          <w:sz w:val="20"/>
          <w:szCs w:val="20"/>
          <w:color w:val="auto"/>
        </w:rPr>
      </w:pPr>
    </w:p>
    <w:p>
      <w:pPr>
        <w:ind w:left="160" w:right="520"/>
        <w:spacing w:after="0" w:line="233" w:lineRule="auto"/>
        <w:rPr>
          <w:sz w:val="20"/>
          <w:szCs w:val="20"/>
          <w:color w:val="auto"/>
        </w:rPr>
      </w:pPr>
      <w:r>
        <w:rPr>
          <w:rFonts w:ascii="Calibri" w:cs="Calibri" w:eastAsia="Calibri" w:hAnsi="Calibri"/>
          <w:sz w:val="17"/>
          <w:szCs w:val="17"/>
          <w:color w:val="333333"/>
        </w:rPr>
        <w:t>Atached you will fnd a Notce of Meetng and our Proxy Statement, each of which contains informaton regarding the proposals that the Board of Directors is submitng to a vote of the shareholders, as well as instructons on how to vote your shares of common stock.</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If you plan to atend the Annual Meetng in person, you must register in advance by no later than May 13, 2026 and obtain an admission tcket. Please respond afrmatvely to the request for that informaton on the Internet or mark that box on the proxy card if you received a paper copy of the proxy materials. You will be asked to present your admission tcket and a valid picture identfcaton, such as a driver’s license or passport, to enter the meetng. Cameras, recording devices and other electronic devices will not be permited at the meetng.</w:t>
      </w:r>
    </w:p>
    <w:p>
      <w:pPr>
        <w:spacing w:after="0" w:line="214" w:lineRule="exact"/>
        <w:rPr>
          <w:sz w:val="20"/>
          <w:szCs w:val="20"/>
          <w:color w:val="auto"/>
        </w:rPr>
      </w:pPr>
    </w:p>
    <w:p>
      <w:pPr>
        <w:ind w:left="160" w:right="260"/>
        <w:spacing w:after="0" w:line="232" w:lineRule="auto"/>
        <w:rPr>
          <w:sz w:val="20"/>
          <w:szCs w:val="20"/>
          <w:color w:val="auto"/>
        </w:rPr>
      </w:pPr>
      <w:r>
        <w:rPr>
          <w:rFonts w:ascii="Calibri" w:cs="Calibri" w:eastAsia="Calibri" w:hAnsi="Calibri"/>
          <w:sz w:val="17"/>
          <w:szCs w:val="17"/>
          <w:color w:val="333333"/>
        </w:rPr>
        <w:t xml:space="preserve">Whether or not you atend the Annual Meetng in person, your vote is important to us. You can ensure that your shares are represented by promptly authorizing a proxy to vote your shares by telephone or the Internet or, if you requested a printed copy of the proxy materials, by completng, signing, datng and returning your proxy card or votng instructon card in the return envelope provided to you. Instructons on how to vote your shares or authorize a proxy to vote your shares begin on </w:t>
      </w:r>
      <w:r>
        <w:rPr>
          <w:rFonts w:ascii="Calibri" w:cs="Calibri" w:eastAsia="Calibri" w:hAnsi="Calibri"/>
          <w:sz w:val="17"/>
          <w:szCs w:val="17"/>
          <w:color w:val="0591DB"/>
        </w:rPr>
        <w:t>page 2</w:t>
      </w:r>
      <w:r>
        <w:rPr>
          <w:rFonts w:ascii="Calibri" w:cs="Calibri" w:eastAsia="Calibri" w:hAnsi="Calibri"/>
          <w:sz w:val="17"/>
          <w:szCs w:val="17"/>
          <w:color w:val="333333"/>
        </w:rPr>
        <w:t xml:space="preserve"> of the Proxy Statement.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1638935" cy="509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893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Steven H. Gunby</w:t>
      </w:r>
    </w:p>
    <w:p>
      <w:pPr>
        <w:ind w:left="160"/>
        <w:spacing w:after="0" w:line="232" w:lineRule="auto"/>
        <w:rPr>
          <w:sz w:val="20"/>
          <w:szCs w:val="20"/>
          <w:color w:val="auto"/>
        </w:rPr>
      </w:pPr>
      <w:r>
        <w:rPr>
          <w:rFonts w:ascii="Calibri" w:cs="Calibri" w:eastAsia="Calibri" w:hAnsi="Calibri"/>
          <w:sz w:val="17"/>
          <w:szCs w:val="17"/>
          <w:color w:val="333333"/>
        </w:rPr>
        <w:t>Chief Executve Ofcer and Chairman</w:t>
      </w:r>
    </w:p>
    <w:p>
      <w:pPr>
        <w:sectPr>
          <w:pgSz w:w="11900" w:h="16838" w:orient="portrait"/>
          <w:cols w:equalWidth="0" w:num="1">
            <w:col w:w="10960"/>
          </w:cols>
          <w:pgMar w:left="320" w:top="478"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FTI CONSULTING, INC. NOTICE OF 2026 ANNUAL MEETING OF SHAREHOLDERS</w:t>
      </w:r>
    </w:p>
    <w:p>
      <w:pPr>
        <w:spacing w:after="0" w:line="235" w:lineRule="exact"/>
        <w:rPr>
          <w:sz w:val="20"/>
          <w:szCs w:val="20"/>
          <w:color w:val="auto"/>
        </w:rPr>
      </w:pPr>
    </w:p>
    <w:tbl>
      <w:tblPr>
        <w:tblLayout w:type="fixed"/>
        <w:tblInd w:w="170" w:type="dxa"/>
        <w:tblCellMar>
          <w:top w:w="0" w:type="dxa"/>
          <w:left w:w="0" w:type="dxa"/>
          <w:bottom w:w="0" w:type="dxa"/>
          <w:right w:w="0" w:type="dxa"/>
        </w:tblCellMar>
      </w:tblPr>
      <w:tr>
        <w:trPr>
          <w:trHeight w:val="208"/>
        </w:trPr>
        <w:tc>
          <w:tcPr>
            <w:tcW w:w="2980" w:type="dxa"/>
            <w:vAlign w:val="bottom"/>
          </w:tcPr>
          <w:p>
            <w:pPr>
              <w:jc w:val="center"/>
              <w:ind w:left="245"/>
              <w:spacing w:after="0"/>
              <w:rPr>
                <w:sz w:val="20"/>
                <w:szCs w:val="20"/>
                <w:color w:val="auto"/>
              </w:rPr>
            </w:pPr>
            <w:r>
              <w:rPr>
                <w:rFonts w:ascii="Calibri" w:cs="Calibri" w:eastAsia="Calibri" w:hAnsi="Calibri"/>
                <w:sz w:val="17"/>
                <w:szCs w:val="17"/>
                <w:b w:val="1"/>
                <w:bCs w:val="1"/>
                <w:color w:val="333333"/>
              </w:rPr>
              <w:t>Meetng Date:</w:t>
            </w:r>
          </w:p>
        </w:tc>
        <w:tc>
          <w:tcPr>
            <w:tcW w:w="3080" w:type="dxa"/>
            <w:vAlign w:val="bottom"/>
          </w:tcPr>
          <w:p>
            <w:pPr>
              <w:jc w:val="center"/>
              <w:ind w:left="115"/>
              <w:spacing w:after="0"/>
              <w:rPr>
                <w:sz w:val="20"/>
                <w:szCs w:val="20"/>
                <w:color w:val="auto"/>
              </w:rPr>
            </w:pPr>
            <w:r>
              <w:rPr>
                <w:rFonts w:ascii="Calibri" w:cs="Calibri" w:eastAsia="Calibri" w:hAnsi="Calibri"/>
                <w:sz w:val="17"/>
                <w:szCs w:val="17"/>
                <w:b w:val="1"/>
                <w:bCs w:val="1"/>
                <w:color w:val="333333"/>
              </w:rPr>
              <w:t>Meetng Place:</w:t>
            </w:r>
          </w:p>
        </w:tc>
        <w:tc>
          <w:tcPr>
            <w:tcW w:w="2820" w:type="dxa"/>
            <w:vAlign w:val="bottom"/>
          </w:tcPr>
          <w:p>
            <w:pPr>
              <w:jc w:val="center"/>
              <w:spacing w:after="0"/>
              <w:rPr>
                <w:sz w:val="20"/>
                <w:szCs w:val="20"/>
                <w:color w:val="auto"/>
              </w:rPr>
            </w:pPr>
            <w:r>
              <w:rPr>
                <w:rFonts w:ascii="Calibri" w:cs="Calibri" w:eastAsia="Calibri" w:hAnsi="Calibri"/>
                <w:sz w:val="17"/>
                <w:szCs w:val="17"/>
                <w:b w:val="1"/>
                <w:bCs w:val="1"/>
                <w:color w:val="333333"/>
              </w:rPr>
              <w:t>Meetng Time:</w:t>
            </w:r>
          </w:p>
        </w:tc>
        <w:tc>
          <w:tcPr>
            <w:tcW w:w="2060" w:type="dxa"/>
            <w:vAlign w:val="bottom"/>
          </w:tcPr>
          <w:p>
            <w:pPr>
              <w:jc w:val="center"/>
              <w:ind w:left="326"/>
              <w:spacing w:after="0"/>
              <w:rPr>
                <w:sz w:val="20"/>
                <w:szCs w:val="20"/>
                <w:color w:val="auto"/>
              </w:rPr>
            </w:pPr>
            <w:r>
              <w:rPr>
                <w:rFonts w:ascii="Calibri" w:cs="Calibri" w:eastAsia="Calibri" w:hAnsi="Calibri"/>
                <w:sz w:val="17"/>
                <w:szCs w:val="17"/>
                <w:b w:val="1"/>
                <w:bCs w:val="1"/>
                <w:color w:val="333333"/>
              </w:rPr>
              <w:t>Record Date:</w:t>
            </w:r>
          </w:p>
        </w:tc>
      </w:tr>
      <w:tr>
        <w:trPr>
          <w:trHeight w:val="201"/>
        </w:trPr>
        <w:tc>
          <w:tcPr>
            <w:tcW w:w="2980" w:type="dxa"/>
            <w:vAlign w:val="bottom"/>
          </w:tcPr>
          <w:p>
            <w:pPr>
              <w:jc w:val="center"/>
              <w:ind w:left="245"/>
              <w:spacing w:after="0" w:line="201" w:lineRule="exact"/>
              <w:rPr>
                <w:sz w:val="20"/>
                <w:szCs w:val="20"/>
                <w:color w:val="auto"/>
              </w:rPr>
            </w:pPr>
            <w:r>
              <w:rPr>
                <w:rFonts w:ascii="Calibri" w:cs="Calibri" w:eastAsia="Calibri" w:hAnsi="Calibri"/>
                <w:sz w:val="17"/>
                <w:szCs w:val="17"/>
                <w:color w:val="333333"/>
              </w:rPr>
              <w:t>June 3, 2026</w:t>
            </w:r>
          </w:p>
        </w:tc>
        <w:tc>
          <w:tcPr>
            <w:tcW w:w="3080" w:type="dxa"/>
            <w:vAlign w:val="bottom"/>
          </w:tcPr>
          <w:p>
            <w:pPr>
              <w:jc w:val="center"/>
              <w:ind w:left="115"/>
              <w:spacing w:after="0" w:line="201" w:lineRule="exact"/>
              <w:rPr>
                <w:sz w:val="20"/>
                <w:szCs w:val="20"/>
                <w:color w:val="auto"/>
              </w:rPr>
            </w:pPr>
            <w:r>
              <w:rPr>
                <w:rFonts w:ascii="Calibri" w:cs="Calibri" w:eastAsia="Calibri" w:hAnsi="Calibri"/>
                <w:sz w:val="17"/>
                <w:szCs w:val="17"/>
                <w:color w:val="333333"/>
              </w:rPr>
              <w:t>555 12</w:t>
            </w:r>
            <w:r>
              <w:rPr>
                <w:rFonts w:ascii="Calibri" w:cs="Calibri" w:eastAsia="Calibri" w:hAnsi="Calibri"/>
                <w:sz w:val="12"/>
                <w:szCs w:val="12"/>
                <w:color w:val="333333"/>
              </w:rPr>
              <w:t>th</w:t>
            </w:r>
            <w:r>
              <w:rPr>
                <w:rFonts w:ascii="Calibri" w:cs="Calibri" w:eastAsia="Calibri" w:hAnsi="Calibri"/>
                <w:sz w:val="17"/>
                <w:szCs w:val="17"/>
                <w:color w:val="333333"/>
              </w:rPr>
              <w:t xml:space="preserve"> Street NW</w:t>
            </w:r>
          </w:p>
        </w:tc>
        <w:tc>
          <w:tcPr>
            <w:tcW w:w="2820" w:type="dxa"/>
            <w:vAlign w:val="bottom"/>
          </w:tcPr>
          <w:p>
            <w:pPr>
              <w:jc w:val="center"/>
              <w:spacing w:after="0" w:line="201" w:lineRule="exact"/>
              <w:rPr>
                <w:sz w:val="20"/>
                <w:szCs w:val="20"/>
                <w:color w:val="auto"/>
              </w:rPr>
            </w:pPr>
            <w:r>
              <w:rPr>
                <w:rFonts w:ascii="Calibri" w:cs="Calibri" w:eastAsia="Calibri" w:hAnsi="Calibri"/>
                <w:sz w:val="17"/>
                <w:szCs w:val="17"/>
                <w:color w:val="333333"/>
              </w:rPr>
              <w:t>9:30 a.m. (Eastern Time)</w:t>
            </w:r>
          </w:p>
        </w:tc>
        <w:tc>
          <w:tcPr>
            <w:tcW w:w="2060" w:type="dxa"/>
            <w:vAlign w:val="bottom"/>
          </w:tcPr>
          <w:p>
            <w:pPr>
              <w:jc w:val="center"/>
              <w:ind w:left="326"/>
              <w:spacing w:after="0" w:line="201" w:lineRule="exact"/>
              <w:rPr>
                <w:sz w:val="20"/>
                <w:szCs w:val="20"/>
                <w:color w:val="auto"/>
              </w:rPr>
            </w:pPr>
            <w:r>
              <w:rPr>
                <w:rFonts w:ascii="Calibri" w:cs="Calibri" w:eastAsia="Calibri" w:hAnsi="Calibri"/>
                <w:sz w:val="17"/>
                <w:szCs w:val="17"/>
                <w:color w:val="333333"/>
              </w:rPr>
              <w:t>Close of Business</w:t>
            </w:r>
          </w:p>
        </w:tc>
      </w:tr>
      <w:tr>
        <w:trPr>
          <w:trHeight w:val="201"/>
        </w:trPr>
        <w:tc>
          <w:tcPr>
            <w:tcW w:w="2980" w:type="dxa"/>
            <w:vAlign w:val="bottom"/>
          </w:tcPr>
          <w:p>
            <w:pPr>
              <w:spacing w:after="0"/>
              <w:rPr>
                <w:sz w:val="17"/>
                <w:szCs w:val="17"/>
                <w:color w:val="auto"/>
              </w:rPr>
            </w:pPr>
          </w:p>
        </w:tc>
        <w:tc>
          <w:tcPr>
            <w:tcW w:w="3080" w:type="dxa"/>
            <w:vAlign w:val="bottom"/>
          </w:tcPr>
          <w:p>
            <w:pPr>
              <w:jc w:val="center"/>
              <w:ind w:left="115"/>
              <w:spacing w:after="0" w:line="201" w:lineRule="exact"/>
              <w:rPr>
                <w:sz w:val="20"/>
                <w:szCs w:val="20"/>
                <w:color w:val="auto"/>
              </w:rPr>
            </w:pPr>
            <w:r>
              <w:rPr>
                <w:rFonts w:ascii="Calibri" w:cs="Calibri" w:eastAsia="Calibri" w:hAnsi="Calibri"/>
                <w:sz w:val="17"/>
                <w:szCs w:val="17"/>
                <w:color w:val="333333"/>
                <w:w w:val="99"/>
              </w:rPr>
              <w:t>Suite 700</w:t>
            </w:r>
          </w:p>
        </w:tc>
        <w:tc>
          <w:tcPr>
            <w:tcW w:w="2820" w:type="dxa"/>
            <w:vAlign w:val="bottom"/>
          </w:tcPr>
          <w:p>
            <w:pPr>
              <w:spacing w:after="0"/>
              <w:rPr>
                <w:sz w:val="17"/>
                <w:szCs w:val="17"/>
                <w:color w:val="auto"/>
              </w:rPr>
            </w:pPr>
          </w:p>
        </w:tc>
        <w:tc>
          <w:tcPr>
            <w:tcW w:w="2060" w:type="dxa"/>
            <w:vAlign w:val="bottom"/>
          </w:tcPr>
          <w:p>
            <w:pPr>
              <w:jc w:val="center"/>
              <w:ind w:left="326"/>
              <w:spacing w:after="0" w:line="201" w:lineRule="exact"/>
              <w:rPr>
                <w:sz w:val="20"/>
                <w:szCs w:val="20"/>
                <w:color w:val="auto"/>
              </w:rPr>
            </w:pPr>
            <w:r>
              <w:rPr>
                <w:rFonts w:ascii="Calibri" w:cs="Calibri" w:eastAsia="Calibri" w:hAnsi="Calibri"/>
                <w:sz w:val="17"/>
                <w:szCs w:val="17"/>
                <w:color w:val="333333"/>
              </w:rPr>
              <w:t>on March 5, 2026</w:t>
            </w:r>
          </w:p>
        </w:tc>
      </w:tr>
      <w:tr>
        <w:trPr>
          <w:trHeight w:val="203"/>
        </w:trPr>
        <w:tc>
          <w:tcPr>
            <w:tcW w:w="2980" w:type="dxa"/>
            <w:vAlign w:val="bottom"/>
          </w:tcPr>
          <w:p>
            <w:pPr>
              <w:spacing w:after="0"/>
              <w:rPr>
                <w:sz w:val="17"/>
                <w:szCs w:val="17"/>
                <w:color w:val="auto"/>
              </w:rPr>
            </w:pPr>
          </w:p>
        </w:tc>
        <w:tc>
          <w:tcPr>
            <w:tcW w:w="3080" w:type="dxa"/>
            <w:vAlign w:val="bottom"/>
          </w:tcPr>
          <w:p>
            <w:pPr>
              <w:jc w:val="center"/>
              <w:ind w:left="115"/>
              <w:spacing w:after="0" w:line="203" w:lineRule="exact"/>
              <w:rPr>
                <w:sz w:val="20"/>
                <w:szCs w:val="20"/>
                <w:color w:val="auto"/>
              </w:rPr>
            </w:pPr>
            <w:r>
              <w:rPr>
                <w:rFonts w:ascii="Calibri" w:cs="Calibri" w:eastAsia="Calibri" w:hAnsi="Calibri"/>
                <w:sz w:val="17"/>
                <w:szCs w:val="17"/>
                <w:color w:val="333333"/>
              </w:rPr>
              <w:t>Washington, D.C. 20004</w:t>
            </w:r>
          </w:p>
        </w:tc>
        <w:tc>
          <w:tcPr>
            <w:tcW w:w="28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91"/>
        </w:trPr>
        <w:tc>
          <w:tcPr>
            <w:tcW w:w="2980" w:type="dxa"/>
            <w:vAlign w:val="bottom"/>
          </w:tcPr>
          <w:p>
            <w:pPr>
              <w:spacing w:after="0"/>
              <w:rPr>
                <w:sz w:val="20"/>
                <w:szCs w:val="20"/>
                <w:color w:val="auto"/>
              </w:rPr>
            </w:pPr>
            <w:r>
              <w:rPr>
                <w:rFonts w:ascii="Calibri" w:cs="Calibri" w:eastAsia="Calibri" w:hAnsi="Calibri"/>
                <w:sz w:val="21"/>
                <w:szCs w:val="21"/>
                <w:b w:val="1"/>
                <w:bCs w:val="1"/>
                <w:color w:val="0591DB"/>
              </w:rPr>
              <w:t>ITEMS OF BUSINESS</w:t>
            </w:r>
          </w:p>
        </w:tc>
        <w:tc>
          <w:tcPr>
            <w:tcW w:w="3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49"/>
        </w:trPr>
        <w:tc>
          <w:tcPr>
            <w:tcW w:w="2980" w:type="dxa"/>
            <w:vAlign w:val="bottom"/>
            <w:tcBorders>
              <w:bottom w:val="single" w:sz="8" w:color="0591DB"/>
            </w:tcBorders>
          </w:tcPr>
          <w:p>
            <w:pPr>
              <w:spacing w:after="0"/>
              <w:rPr>
                <w:sz w:val="12"/>
                <w:szCs w:val="12"/>
                <w:color w:val="auto"/>
              </w:rPr>
            </w:pPr>
          </w:p>
        </w:tc>
        <w:tc>
          <w:tcPr>
            <w:tcW w:w="3080" w:type="dxa"/>
            <w:vAlign w:val="bottom"/>
            <w:tcBorders>
              <w:bottom w:val="single" w:sz="8" w:color="0591DB"/>
            </w:tcBorders>
          </w:tcPr>
          <w:p>
            <w:pPr>
              <w:spacing w:after="0"/>
              <w:rPr>
                <w:sz w:val="12"/>
                <w:szCs w:val="12"/>
                <w:color w:val="auto"/>
              </w:rPr>
            </w:pPr>
          </w:p>
        </w:tc>
        <w:tc>
          <w:tcPr>
            <w:tcW w:w="2820" w:type="dxa"/>
            <w:vAlign w:val="bottom"/>
            <w:tcBorders>
              <w:bottom w:val="single" w:sz="8" w:color="0591DB"/>
            </w:tcBorders>
          </w:tcPr>
          <w:p>
            <w:pPr>
              <w:spacing w:after="0"/>
              <w:rPr>
                <w:sz w:val="12"/>
                <w:szCs w:val="12"/>
                <w:color w:val="auto"/>
              </w:rPr>
            </w:pPr>
          </w:p>
        </w:tc>
        <w:tc>
          <w:tcPr>
            <w:tcW w:w="2060" w:type="dxa"/>
            <w:vAlign w:val="bottom"/>
            <w:tcBorders>
              <w:bottom w:val="single" w:sz="8" w:color="0591DB"/>
            </w:tcBorders>
          </w:tcPr>
          <w:p>
            <w:pPr>
              <w:spacing w:after="0"/>
              <w:rPr>
                <w:sz w:val="12"/>
                <w:szCs w:val="12"/>
                <w:color w:val="auto"/>
              </w:rPr>
            </w:pPr>
          </w:p>
        </w:tc>
      </w:tr>
      <w:tr>
        <w:trPr>
          <w:trHeight w:val="201"/>
        </w:trPr>
        <w:tc>
          <w:tcPr>
            <w:tcW w:w="2980" w:type="dxa"/>
            <w:vAlign w:val="bottom"/>
            <w:tcBorders>
              <w:left w:val="single" w:sz="8" w:color="0591DB"/>
            </w:tcBorders>
          </w:tcPr>
          <w:p>
            <w:pPr>
              <w:spacing w:after="0"/>
              <w:rPr>
                <w:sz w:val="17"/>
                <w:szCs w:val="17"/>
                <w:color w:val="auto"/>
              </w:rPr>
            </w:pPr>
          </w:p>
        </w:tc>
        <w:tc>
          <w:tcPr>
            <w:tcW w:w="3080" w:type="dxa"/>
            <w:vAlign w:val="bottom"/>
          </w:tcPr>
          <w:p>
            <w:pPr>
              <w:spacing w:after="0"/>
              <w:rPr>
                <w:sz w:val="17"/>
                <w:szCs w:val="17"/>
                <w:color w:val="auto"/>
              </w:rPr>
            </w:pPr>
          </w:p>
        </w:tc>
        <w:tc>
          <w:tcPr>
            <w:tcW w:w="2820" w:type="dxa"/>
            <w:vAlign w:val="bottom"/>
            <w:tcBorders>
              <w:right w:val="single" w:sz="8" w:color="0591DB"/>
            </w:tcBorders>
          </w:tcPr>
          <w:p>
            <w:pPr>
              <w:spacing w:after="0"/>
              <w:rPr>
                <w:sz w:val="17"/>
                <w:szCs w:val="17"/>
                <w:color w:val="auto"/>
              </w:rPr>
            </w:pPr>
          </w:p>
        </w:tc>
        <w:tc>
          <w:tcPr>
            <w:tcW w:w="2060" w:type="dxa"/>
            <w:vAlign w:val="bottom"/>
            <w:tcBorders>
              <w:right w:val="single" w:sz="8" w:color="0591DB"/>
            </w:tcBorders>
          </w:tcPr>
          <w:p>
            <w:pPr>
              <w:jc w:val="center"/>
              <w:spacing w:after="0" w:line="201" w:lineRule="exact"/>
              <w:rPr>
                <w:sz w:val="20"/>
                <w:szCs w:val="20"/>
                <w:color w:val="auto"/>
              </w:rPr>
            </w:pPr>
            <w:r>
              <w:rPr>
                <w:rFonts w:ascii="Calibri" w:cs="Calibri" w:eastAsia="Calibri" w:hAnsi="Calibri"/>
                <w:sz w:val="21"/>
                <w:szCs w:val="21"/>
                <w:b w:val="1"/>
                <w:bCs w:val="1"/>
                <w:color w:val="0591DB"/>
                <w:w w:val="94"/>
              </w:rPr>
              <w:t>BOARD OF DIRECTORS’</w:t>
            </w:r>
          </w:p>
        </w:tc>
      </w:tr>
      <w:tr>
        <w:trPr>
          <w:trHeight w:val="241"/>
        </w:trPr>
        <w:tc>
          <w:tcPr>
            <w:tcW w:w="2980" w:type="dxa"/>
            <w:vAlign w:val="bottom"/>
            <w:tcBorders>
              <w:left w:val="single" w:sz="8" w:color="0591DB"/>
            </w:tcBorders>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tcBorders>
              <w:right w:val="single" w:sz="8" w:color="0591DB"/>
            </w:tcBorders>
          </w:tcPr>
          <w:p>
            <w:pPr>
              <w:spacing w:after="0"/>
              <w:rPr>
                <w:sz w:val="20"/>
                <w:szCs w:val="20"/>
                <w:color w:val="auto"/>
              </w:rPr>
            </w:pPr>
          </w:p>
        </w:tc>
        <w:tc>
          <w:tcPr>
            <w:tcW w:w="206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VOTING</w:t>
            </w:r>
          </w:p>
        </w:tc>
      </w:tr>
      <w:tr>
        <w:trPr>
          <w:trHeight w:val="244"/>
        </w:trPr>
        <w:tc>
          <w:tcPr>
            <w:tcW w:w="2980" w:type="dxa"/>
            <w:vAlign w:val="bottom"/>
            <w:tcBorders>
              <w:left w:val="single" w:sz="8" w:color="0591DB"/>
            </w:tcBorders>
          </w:tcPr>
          <w:p>
            <w:pPr>
              <w:ind w:left="160"/>
              <w:spacing w:after="0" w:line="244" w:lineRule="exact"/>
              <w:rPr>
                <w:sz w:val="20"/>
                <w:szCs w:val="20"/>
                <w:color w:val="auto"/>
              </w:rPr>
            </w:pPr>
            <w:r>
              <w:rPr>
                <w:rFonts w:ascii="Calibri" w:cs="Calibri" w:eastAsia="Calibri" w:hAnsi="Calibri"/>
                <w:sz w:val="21"/>
                <w:szCs w:val="21"/>
                <w:b w:val="1"/>
                <w:bCs w:val="1"/>
                <w:color w:val="0591DB"/>
              </w:rPr>
              <w:t>PROPOSAL</w:t>
            </w:r>
          </w:p>
        </w:tc>
        <w:tc>
          <w:tcPr>
            <w:tcW w:w="3080" w:type="dxa"/>
            <w:vAlign w:val="bottom"/>
          </w:tcPr>
          <w:p>
            <w:pPr>
              <w:spacing w:after="0"/>
              <w:rPr>
                <w:sz w:val="21"/>
                <w:szCs w:val="21"/>
                <w:color w:val="auto"/>
              </w:rPr>
            </w:pPr>
          </w:p>
        </w:tc>
        <w:tc>
          <w:tcPr>
            <w:tcW w:w="2820" w:type="dxa"/>
            <w:vAlign w:val="bottom"/>
            <w:tcBorders>
              <w:right w:val="single" w:sz="8" w:color="0591DB"/>
            </w:tcBorders>
          </w:tcPr>
          <w:p>
            <w:pPr>
              <w:spacing w:after="0"/>
              <w:rPr>
                <w:sz w:val="21"/>
                <w:szCs w:val="21"/>
                <w:color w:val="auto"/>
              </w:rPr>
            </w:pPr>
          </w:p>
        </w:tc>
        <w:tc>
          <w:tcPr>
            <w:tcW w:w="206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4"/>
              </w:rPr>
              <w:t>RECOMMENDATION</w:t>
            </w:r>
          </w:p>
        </w:tc>
      </w:tr>
      <w:tr>
        <w:trPr>
          <w:trHeight w:val="30"/>
        </w:trPr>
        <w:tc>
          <w:tcPr>
            <w:tcW w:w="2980" w:type="dxa"/>
            <w:vAlign w:val="bottom"/>
            <w:tcBorders>
              <w:left w:val="single" w:sz="8" w:color="0591DB"/>
              <w:bottom w:val="single" w:sz="8" w:color="0591DB"/>
            </w:tcBorders>
          </w:tcPr>
          <w:p>
            <w:pPr>
              <w:spacing w:after="0"/>
              <w:rPr>
                <w:sz w:val="2"/>
                <w:szCs w:val="2"/>
                <w:color w:val="auto"/>
              </w:rPr>
            </w:pPr>
          </w:p>
        </w:tc>
        <w:tc>
          <w:tcPr>
            <w:tcW w:w="3080" w:type="dxa"/>
            <w:vAlign w:val="bottom"/>
            <w:tcBorders>
              <w:bottom w:val="single" w:sz="8" w:color="0591DB"/>
            </w:tcBorders>
          </w:tcPr>
          <w:p>
            <w:pPr>
              <w:spacing w:after="0"/>
              <w:rPr>
                <w:sz w:val="2"/>
                <w:szCs w:val="2"/>
                <w:color w:val="auto"/>
              </w:rPr>
            </w:pPr>
          </w:p>
        </w:tc>
        <w:tc>
          <w:tcPr>
            <w:tcW w:w="2820" w:type="dxa"/>
            <w:vAlign w:val="bottom"/>
            <w:tcBorders>
              <w:bottom w:val="single" w:sz="8" w:color="0591DB"/>
              <w:right w:val="single" w:sz="8" w:color="0591DB"/>
            </w:tcBorders>
          </w:tcPr>
          <w:p>
            <w:pPr>
              <w:spacing w:after="0"/>
              <w:rPr>
                <w:sz w:val="2"/>
                <w:szCs w:val="2"/>
                <w:color w:val="auto"/>
              </w:rPr>
            </w:pPr>
          </w:p>
        </w:tc>
        <w:tc>
          <w:tcPr>
            <w:tcW w:w="2060" w:type="dxa"/>
            <w:vAlign w:val="bottom"/>
            <w:tcBorders>
              <w:bottom w:val="single" w:sz="8" w:color="0591DB"/>
              <w:right w:val="single" w:sz="8" w:color="0591DB"/>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-1375410</wp:posOffset>
            </wp:positionV>
            <wp:extent cx="356870" cy="339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870" cy="3397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-1375410</wp:posOffset>
            </wp:positionV>
            <wp:extent cx="424815" cy="347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4815" cy="34798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-1375410</wp:posOffset>
            </wp:positionV>
            <wp:extent cx="246380" cy="415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380" cy="41592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-1375410</wp:posOffset>
            </wp:positionV>
            <wp:extent cx="280035" cy="390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0035" cy="39052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p>
      <w:pPr>
        <w:ind w:left="260"/>
        <w:spacing w:after="0" w:line="203" w:lineRule="auto"/>
        <w:rPr>
          <w:sz w:val="20"/>
          <w:szCs w:val="20"/>
          <w:color w:val="auto"/>
        </w:rPr>
      </w:pPr>
      <w:r>
        <w:rPr>
          <w:rFonts w:ascii="Calibri" w:cs="Calibri" w:eastAsia="Calibri" w:hAnsi="Calibri"/>
          <w:sz w:val="17"/>
          <w:szCs w:val="17"/>
          <w:b w:val="1"/>
          <w:bCs w:val="1"/>
          <w:color w:val="333333"/>
        </w:rPr>
        <w:t>Proposal 1</w:t>
      </w:r>
    </w:p>
    <w:p>
      <w:pPr>
        <w:ind w:left="260"/>
        <w:spacing w:after="0" w:line="232" w:lineRule="auto"/>
        <w:rPr>
          <w:sz w:val="20"/>
          <w:szCs w:val="20"/>
          <w:color w:val="auto"/>
        </w:rPr>
      </w:pPr>
      <w:r>
        <w:rPr>
          <w:rFonts w:ascii="Calibri" w:cs="Calibri" w:eastAsia="Calibri" w:hAnsi="Calibri"/>
          <w:sz w:val="17"/>
          <w:szCs w:val="17"/>
          <w:color w:val="333333"/>
        </w:rPr>
        <w:t>Consider and vote upon the electon as directors of the eight nominees named in the Proxy Statement</w:t>
      </w:r>
    </w:p>
    <w:p>
      <w:pPr>
        <w:spacing w:after="0" w:line="167"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390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390525"/>
                    </a:xfrm>
                    <a:prstGeom prst="rect">
                      <a:avLst/>
                    </a:prstGeom>
                    <a:noFill/>
                  </pic:spPr>
                </pic:pic>
              </a:graphicData>
            </a:graphic>
          </wp:anchor>
        </w:drawing>
      </w:r>
    </w:p>
    <w:p>
      <w:pPr>
        <w:ind w:left="260" w:right="200"/>
        <w:spacing w:after="0" w:line="232" w:lineRule="auto"/>
        <w:rPr>
          <w:sz w:val="20"/>
          <w:szCs w:val="20"/>
          <w:color w:val="auto"/>
        </w:rPr>
      </w:pPr>
      <w:r>
        <w:rPr>
          <w:rFonts w:ascii="Calibri" w:cs="Calibri" w:eastAsia="Calibri" w:hAnsi="Calibri"/>
          <w:sz w:val="17"/>
          <w:szCs w:val="17"/>
          <w:color w:val="333333"/>
        </w:rPr>
        <w:t>Consider and vote upon the ratfcaton of the appointment of KPMG LLP as FTI Consultng, Inc.’s independent registered public accountng frm for the year ending December 31, 2026</w:t>
      </w:r>
    </w:p>
    <w:p>
      <w:pPr>
        <w:spacing w:after="0" w:line="6"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Proposal 3</w:t>
      </w:r>
    </w:p>
    <w:p>
      <w:pPr>
        <w:ind w:left="260"/>
        <w:spacing w:after="0" w:line="232" w:lineRule="auto"/>
        <w:rPr>
          <w:sz w:val="20"/>
          <w:szCs w:val="20"/>
          <w:color w:val="auto"/>
        </w:rPr>
      </w:pPr>
      <w:r>
        <w:rPr>
          <w:rFonts w:ascii="Calibri" w:cs="Calibri" w:eastAsia="Calibri" w:hAnsi="Calibri"/>
          <w:sz w:val="17"/>
          <w:szCs w:val="17"/>
          <w:color w:val="333333"/>
        </w:rPr>
        <w:t>Consider and vote upon an advisory (non-binding) resoluton to approve the compensaton of the named executve ofcers for the year ended December 31, 2025 as described in the Proxy Statement</w:t>
      </w:r>
    </w:p>
    <w:p>
      <w:pPr>
        <w:spacing w:after="0" w:line="11" w:lineRule="exact"/>
        <w:rPr>
          <w:sz w:val="20"/>
          <w:szCs w:val="20"/>
          <w:color w:val="auto"/>
        </w:rPr>
      </w:pPr>
    </w:p>
    <w:p>
      <w:pPr>
        <w:ind w:left="260" w:right="180"/>
        <w:spacing w:after="0" w:line="233" w:lineRule="auto"/>
        <w:rPr>
          <w:sz w:val="20"/>
          <w:szCs w:val="20"/>
          <w:color w:val="auto"/>
        </w:rPr>
      </w:pPr>
      <w:r>
        <w:rPr>
          <w:rFonts w:ascii="Calibri" w:cs="Calibri" w:eastAsia="Calibri" w:hAnsi="Calibri"/>
          <w:sz w:val="17"/>
          <w:szCs w:val="17"/>
          <w:color w:val="333333"/>
        </w:rPr>
        <w:t>The transacton of any other business that may properly come before the meetng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-238125</wp:posOffset>
            </wp:positionV>
            <wp:extent cx="6929755" cy="254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-247015</wp:posOffset>
            </wp:positionV>
            <wp:extent cx="186690"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690" cy="135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0591DB"/>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92075</wp:posOffset>
            </wp:positionV>
            <wp:extent cx="178435"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435" cy="135890"/>
                    </a:xfrm>
                    <a:prstGeom prst="rect">
                      <a:avLst/>
                    </a:prstGeom>
                    <a:noFill/>
                  </pic:spPr>
                </pic:pic>
              </a:graphicData>
            </a:graphic>
          </wp:anchor>
        </w:drawing>
      </w:r>
    </w:p>
    <w:p>
      <w:pPr>
        <w:spacing w:after="0" w:line="374"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0591DB"/>
        </w:rPr>
        <w:t>FOR</w:t>
      </w:r>
    </w:p>
    <w:p>
      <w:pPr>
        <w:spacing w:after="0" w:line="627" w:lineRule="exact"/>
        <w:rPr>
          <w:sz w:val="20"/>
          <w:szCs w:val="20"/>
          <w:color w:val="auto"/>
        </w:rPr>
      </w:pPr>
    </w:p>
    <w:p>
      <w:pPr>
        <w:sectPr>
          <w:pgSz w:w="11900" w:h="16838" w:orient="portrait"/>
          <w:cols w:equalWidth="0" w:num="2">
            <w:col w:w="8920" w:space="500"/>
            <w:col w:w="1680"/>
          </w:cols>
          <w:pgMar w:left="320" w:top="478" w:right="479" w:bottom="1440" w:gutter="0" w:footer="0" w:header="0"/>
          <w:type w:val="continuous"/>
        </w:sectPr>
      </w:pPr>
    </w:p>
    <w:p>
      <w:pPr>
        <w:spacing w:after="0" w:line="22"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HOW TO ATTEND</w:t>
      </w:r>
    </w:p>
    <w:p>
      <w:pPr>
        <w:spacing w:after="0" w:line="108" w:lineRule="exact"/>
        <w:rPr>
          <w:sz w:val="20"/>
          <w:szCs w:val="20"/>
          <w:color w:val="auto"/>
        </w:rPr>
      </w:pPr>
    </w:p>
    <w:p>
      <w:pPr>
        <w:ind w:left="160" w:right="140"/>
        <w:spacing w:after="0"/>
        <w:rPr>
          <w:sz w:val="20"/>
          <w:szCs w:val="20"/>
          <w:color w:val="auto"/>
        </w:rPr>
      </w:pPr>
      <w:r>
        <w:rPr>
          <w:rFonts w:ascii="Calibri" w:cs="Calibri" w:eastAsia="Calibri" w:hAnsi="Calibri"/>
          <w:sz w:val="17"/>
          <w:szCs w:val="17"/>
          <w:color w:val="333333"/>
        </w:rPr>
        <w:t xml:space="preserve">Admission will be by tcket only. Please follow the advance registraton instructons set forth in the secton of the Proxy Statement ttled “Informaton About The Annual Meetng And Votng — How Do I Atend the Annual Meetng?” beginning on </w:t>
      </w:r>
      <w:r>
        <w:rPr>
          <w:rFonts w:ascii="Calibri" w:cs="Calibri" w:eastAsia="Calibri" w:hAnsi="Calibri"/>
          <w:sz w:val="17"/>
          <w:szCs w:val="17"/>
          <w:color w:val="0591DB"/>
        </w:rPr>
        <w:t>page 6</w:t>
      </w:r>
      <w:r>
        <w:rPr>
          <w:rFonts w:ascii="Calibri" w:cs="Calibri" w:eastAsia="Calibri" w:hAnsi="Calibri"/>
          <w:sz w:val="17"/>
          <w:szCs w:val="17"/>
          <w:color w:val="333333"/>
        </w:rPr>
        <w:t xml:space="preserve"> of the Proxy Statement. </w:t>
      </w:r>
      <w:r>
        <w:rPr>
          <w:rFonts w:ascii="Calibri" w:cs="Calibri" w:eastAsia="Calibri" w:hAnsi="Calibri"/>
          <w:sz w:val="17"/>
          <w:szCs w:val="17"/>
          <w:b w:val="1"/>
          <w:bCs w:val="1"/>
          <w:color w:val="333333"/>
        </w:rPr>
        <w:t>If you do not provide an</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 xml:space="preserve">admission tcket and comply with the photo identfcaton requirements outlined beginning on </w:t>
      </w:r>
      <w:r>
        <w:rPr>
          <w:rFonts w:ascii="Calibri" w:cs="Calibri" w:eastAsia="Calibri" w:hAnsi="Calibri"/>
          <w:sz w:val="17"/>
          <w:szCs w:val="17"/>
          <w:b w:val="1"/>
          <w:bCs w:val="1"/>
          <w:color w:val="0591DB"/>
        </w:rPr>
        <w:t>page 6</w:t>
      </w:r>
      <w:r>
        <w:rPr>
          <w:rFonts w:ascii="Calibri" w:cs="Calibri" w:eastAsia="Calibri" w:hAnsi="Calibri"/>
          <w:sz w:val="17"/>
          <w:szCs w:val="17"/>
          <w:b w:val="1"/>
          <w:bCs w:val="1"/>
          <w:color w:val="333333"/>
        </w:rPr>
        <w:t>, you will not be admited to the annual meetng of shareholders to be held on June 3, 2026 (the “Annual Meetng”). Cameras, recording devices and other electronic devices will not be permited at the Annual Meetng.</w:t>
      </w:r>
    </w:p>
    <w:p>
      <w:pPr>
        <w:spacing w:after="0" w:line="397"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VOTING</w:t>
      </w:r>
    </w:p>
    <w:p>
      <w:pPr>
        <w:spacing w:after="0" w:line="108" w:lineRule="exact"/>
        <w:rPr>
          <w:sz w:val="20"/>
          <w:szCs w:val="20"/>
          <w:color w:val="auto"/>
        </w:rPr>
      </w:pPr>
    </w:p>
    <w:p>
      <w:pPr>
        <w:ind w:left="160" w:right="300"/>
        <w:spacing w:after="0" w:line="232" w:lineRule="auto"/>
        <w:rPr>
          <w:sz w:val="20"/>
          <w:szCs w:val="20"/>
          <w:color w:val="auto"/>
        </w:rPr>
      </w:pPr>
      <w:r>
        <w:rPr>
          <w:rFonts w:ascii="Calibri" w:cs="Calibri" w:eastAsia="Calibri" w:hAnsi="Calibri"/>
          <w:sz w:val="17"/>
          <w:szCs w:val="17"/>
          <w:b w:val="1"/>
          <w:bCs w:val="1"/>
          <w:color w:val="333333"/>
        </w:rPr>
        <w:t xml:space="preserve">YOUR VOTE IS VERY IMPORTANT. </w:t>
      </w:r>
      <w:r>
        <w:rPr>
          <w:rFonts w:ascii="Calibri" w:cs="Calibri" w:eastAsia="Calibri" w:hAnsi="Calibri"/>
          <w:sz w:val="17"/>
          <w:szCs w:val="17"/>
          <w:color w:val="333333"/>
        </w:rPr>
        <w:t>Whether or not you plan to atend the meetng, we hope you will authorize a proxy to vote on your behalf as soon as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 xml:space="preserve">possible. For specifc instructons on how to authorize a proxy to vote your shares, please refer to the secton ttled “Informaton About The Annual Meetng And Votng” beginning on </w:t>
      </w:r>
      <w:r>
        <w:rPr>
          <w:rFonts w:ascii="Calibri" w:cs="Calibri" w:eastAsia="Calibri" w:hAnsi="Calibri"/>
          <w:sz w:val="17"/>
          <w:szCs w:val="17"/>
          <w:color w:val="0591DB"/>
        </w:rPr>
        <w:t>page 2</w:t>
      </w:r>
      <w:r>
        <w:rPr>
          <w:rFonts w:ascii="Calibri" w:cs="Calibri" w:eastAsia="Calibri" w:hAnsi="Calibri"/>
          <w:sz w:val="17"/>
          <w:szCs w:val="17"/>
          <w:color w:val="333333"/>
        </w:rPr>
        <w:t xml:space="preserve"> of the Proxy Statement. Make sure to have your proxy card or votng instructon form in hand to authorize a proxy to vote your shares. You may vote or authorize a proxy to vote your shares as follows:</w:t>
      </w:r>
    </w:p>
    <w:p>
      <w:pPr>
        <w:spacing w:after="0" w:line="236" w:lineRule="exact"/>
        <w:rPr>
          <w:sz w:val="20"/>
          <w:szCs w:val="20"/>
          <w:color w:val="auto"/>
        </w:rPr>
      </w:pPr>
    </w:p>
    <w:p>
      <w:pPr>
        <w:ind w:left="9560"/>
        <w:spacing w:after="0"/>
        <w:rPr>
          <w:sz w:val="20"/>
          <w:szCs w:val="20"/>
          <w:color w:val="auto"/>
        </w:rPr>
      </w:pPr>
      <w:r>
        <w:rPr>
          <w:rFonts w:ascii="Calibri" w:cs="Calibri" w:eastAsia="Calibri" w:hAnsi="Calibri"/>
          <w:sz w:val="17"/>
          <w:szCs w:val="17"/>
          <w:color w:val="333333"/>
        </w:rPr>
        <w:t>By mailing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-17780</wp:posOffset>
            </wp:positionV>
            <wp:extent cx="373380" cy="331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380" cy="33147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-34290</wp:posOffset>
            </wp:positionV>
            <wp:extent cx="237490" cy="347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490" cy="34798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-17780</wp:posOffset>
            </wp:positionV>
            <wp:extent cx="415925" cy="322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5925" cy="322580"/>
                    </a:xfrm>
                    <a:prstGeom prst="rect">
                      <a:avLst/>
                    </a:prstGeom>
                    <a:noFill/>
                  </pic:spPr>
                </pic:pic>
              </a:graphicData>
            </a:graphic>
          </wp:anchor>
        </w:drawing>
      </w:r>
    </w:p>
    <w:p>
      <w:pPr>
        <w:ind w:left="1140"/>
        <w:spacing w:after="0" w:line="232" w:lineRule="auto"/>
        <w:tabs>
          <w:tab w:leader="none" w:pos="3280" w:val="left"/>
          <w:tab w:leader="none" w:pos="6040" w:val="left"/>
          <w:tab w:leader="none" w:pos="9320" w:val="left"/>
        </w:tabs>
        <w:rPr>
          <w:sz w:val="20"/>
          <w:szCs w:val="20"/>
          <w:color w:val="auto"/>
        </w:rPr>
      </w:pPr>
      <w:r>
        <w:rPr>
          <w:rFonts w:ascii="Calibri" w:cs="Calibri" w:eastAsia="Calibri" w:hAnsi="Calibri"/>
          <w:sz w:val="17"/>
          <w:szCs w:val="17"/>
          <w:color w:val="333333"/>
        </w:rPr>
        <w:t>In person at the</w:t>
      </w:r>
      <w:r>
        <w:rPr>
          <w:sz w:val="20"/>
          <w:szCs w:val="20"/>
          <w:color w:val="auto"/>
        </w:rPr>
        <w:tab/>
      </w:r>
      <w:r>
        <w:rPr>
          <w:rFonts w:ascii="Calibri" w:cs="Calibri" w:eastAsia="Calibri" w:hAnsi="Calibri"/>
          <w:sz w:val="17"/>
          <w:szCs w:val="17"/>
          <w:color w:val="333333"/>
        </w:rPr>
        <w:t>By telephone at</w:t>
      </w:r>
      <w:r>
        <w:rPr>
          <w:sz w:val="20"/>
          <w:szCs w:val="20"/>
          <w:color w:val="auto"/>
        </w:rPr>
        <w:tab/>
      </w:r>
      <w:r>
        <w:rPr>
          <w:rFonts w:ascii="Calibri" w:cs="Calibri" w:eastAsia="Calibri" w:hAnsi="Calibri"/>
          <w:sz w:val="17"/>
          <w:szCs w:val="17"/>
          <w:color w:val="333333"/>
        </w:rPr>
        <w:t>Over the Internet at</w:t>
      </w:r>
      <w:r>
        <w:rPr>
          <w:sz w:val="20"/>
          <w:szCs w:val="20"/>
          <w:color w:val="auto"/>
        </w:rPr>
        <w:tab/>
      </w:r>
      <w:r>
        <w:rPr>
          <w:rFonts w:ascii="Calibri" w:cs="Calibri" w:eastAsia="Calibri" w:hAnsi="Calibri"/>
          <w:sz w:val="17"/>
          <w:szCs w:val="17"/>
          <w:color w:val="333333"/>
        </w:rPr>
        <w:t>completed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-119380</wp:posOffset>
            </wp:positionV>
            <wp:extent cx="399415" cy="280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9415" cy="280035"/>
                    </a:xfrm>
                    <a:prstGeom prst="rect">
                      <a:avLst/>
                    </a:prstGeom>
                    <a:noFill/>
                  </pic:spPr>
                </pic:pic>
              </a:graphicData>
            </a:graphic>
          </wp:anchor>
        </w:drawing>
      </w:r>
    </w:p>
    <w:p>
      <w:pPr>
        <w:ind w:left="1140"/>
        <w:spacing w:after="0" w:line="232" w:lineRule="auto"/>
        <w:tabs>
          <w:tab w:leader="none" w:pos="3240" w:val="left"/>
          <w:tab w:leader="none" w:pos="5820" w:val="left"/>
          <w:tab w:leader="none" w:pos="9540" w:val="left"/>
        </w:tabs>
        <w:rPr>
          <w:sz w:val="20"/>
          <w:szCs w:val="20"/>
          <w:color w:val="auto"/>
        </w:rPr>
      </w:pPr>
      <w:r>
        <w:rPr>
          <w:rFonts w:ascii="Calibri" w:cs="Calibri" w:eastAsia="Calibri" w:hAnsi="Calibri"/>
          <w:sz w:val="17"/>
          <w:szCs w:val="17"/>
          <w:color w:val="333333"/>
        </w:rPr>
        <w:t>Annual Meetng</w:t>
      </w:r>
      <w:r>
        <w:rPr>
          <w:sz w:val="20"/>
          <w:szCs w:val="20"/>
          <w:color w:val="auto"/>
        </w:rPr>
        <w:tab/>
      </w:r>
      <w:r>
        <w:rPr>
          <w:rFonts w:ascii="Calibri" w:cs="Calibri" w:eastAsia="Calibri" w:hAnsi="Calibri"/>
          <w:sz w:val="17"/>
          <w:szCs w:val="17"/>
          <w:color w:val="333333"/>
        </w:rPr>
        <w:t>+1.800.690.6903</w:t>
      </w:r>
      <w:r>
        <w:rPr>
          <w:sz w:val="20"/>
          <w:szCs w:val="20"/>
          <w:color w:val="auto"/>
        </w:rPr>
        <w:tab/>
      </w:r>
      <w:r>
        <w:rPr>
          <w:rFonts w:ascii="Calibri" w:cs="Calibri" w:eastAsia="Calibri" w:hAnsi="Calibri"/>
          <w:sz w:val="17"/>
          <w:szCs w:val="17"/>
          <w:color w:val="0591DB"/>
        </w:rPr>
        <w:t>www.proxypush.com/FCN</w:t>
      </w:r>
      <w:r>
        <w:rPr>
          <w:sz w:val="20"/>
          <w:szCs w:val="20"/>
          <w:color w:val="auto"/>
        </w:rPr>
        <w:tab/>
      </w:r>
      <w:r>
        <w:rPr>
          <w:rFonts w:ascii="Calibri" w:cs="Calibri" w:eastAsia="Calibri" w:hAnsi="Calibri"/>
          <w:sz w:val="17"/>
          <w:szCs w:val="17"/>
          <w:color w:val="333333"/>
        </w:rPr>
        <w:t>in the envelope</w:t>
      </w:r>
    </w:p>
    <w:p>
      <w:pPr>
        <w:ind w:left="9800"/>
        <w:spacing w:after="0" w:line="232" w:lineRule="auto"/>
        <w:rPr>
          <w:sz w:val="20"/>
          <w:szCs w:val="20"/>
          <w:color w:val="auto"/>
        </w:rPr>
      </w:pPr>
      <w:r>
        <w:rPr>
          <w:rFonts w:ascii="Calibri" w:cs="Calibri" w:eastAsia="Calibri" w:hAnsi="Calibri"/>
          <w:sz w:val="17"/>
          <w:szCs w:val="17"/>
          <w:color w:val="333333"/>
        </w:rPr>
        <w:t>provided</w:t>
      </w:r>
    </w:p>
    <w:p>
      <w:pPr>
        <w:spacing w:after="0" w:line="235"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POSTPONEMENTS AND ADJOURNMENTS</w:t>
      </w:r>
    </w:p>
    <w:p>
      <w:pPr>
        <w:spacing w:after="0" w:line="108" w:lineRule="exact"/>
        <w:rPr>
          <w:sz w:val="20"/>
          <w:szCs w:val="20"/>
          <w:color w:val="auto"/>
        </w:rPr>
      </w:pPr>
    </w:p>
    <w:p>
      <w:pPr>
        <w:ind w:left="160" w:right="140"/>
        <w:spacing w:after="0" w:line="233" w:lineRule="auto"/>
        <w:rPr>
          <w:sz w:val="20"/>
          <w:szCs w:val="20"/>
          <w:color w:val="auto"/>
        </w:rPr>
      </w:pPr>
      <w:r>
        <w:rPr>
          <w:rFonts w:ascii="Calibri" w:cs="Calibri" w:eastAsia="Calibri" w:hAnsi="Calibri"/>
          <w:sz w:val="17"/>
          <w:szCs w:val="17"/>
          <w:color w:val="333333"/>
        </w:rPr>
        <w:t>Any acton on the items of business described above may be considered at the meetng, at the tme and on the date specifed above, or at any other tme and date to which the meetng may be properly postponed or adjourned.</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1188720" cy="458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8720"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Michael Rosenthall</w:t>
      </w:r>
    </w:p>
    <w:p>
      <w:pPr>
        <w:ind w:left="160"/>
        <w:spacing w:after="0" w:line="232" w:lineRule="auto"/>
        <w:rPr>
          <w:sz w:val="20"/>
          <w:szCs w:val="20"/>
          <w:color w:val="auto"/>
        </w:rPr>
      </w:pPr>
      <w:r>
        <w:rPr>
          <w:rFonts w:ascii="Calibri" w:cs="Calibri" w:eastAsia="Calibri" w:hAnsi="Calibri"/>
          <w:sz w:val="17"/>
          <w:szCs w:val="17"/>
          <w:color w:val="333333"/>
        </w:rPr>
        <w:t>Associate General Counsel and Corporate Secretary</w:t>
      </w:r>
    </w:p>
    <w:p>
      <w:pPr>
        <w:ind w:left="160"/>
        <w:spacing w:after="0" w:line="232" w:lineRule="auto"/>
        <w:rPr>
          <w:sz w:val="20"/>
          <w:szCs w:val="20"/>
          <w:color w:val="auto"/>
        </w:rPr>
      </w:pPr>
      <w:r>
        <w:rPr>
          <w:rFonts w:ascii="Calibri" w:cs="Calibri" w:eastAsia="Calibri" w:hAnsi="Calibri"/>
          <w:sz w:val="17"/>
          <w:szCs w:val="17"/>
          <w:color w:val="333333"/>
        </w:rPr>
        <w:t>April 21, 2026</w:t>
      </w:r>
    </w:p>
    <w:p>
      <w:pPr>
        <w:spacing w:after="0" w:line="127" w:lineRule="exact"/>
        <w:rPr>
          <w:sz w:val="20"/>
          <w:szCs w:val="20"/>
          <w:color w:val="auto"/>
        </w:rPr>
      </w:pPr>
    </w:p>
    <w:p>
      <w:pPr>
        <w:jc w:val="center"/>
        <w:ind w:right="-259"/>
        <w:spacing w:after="0"/>
        <w:rPr>
          <w:sz w:val="20"/>
          <w:szCs w:val="20"/>
          <w:color w:val="auto"/>
        </w:rPr>
      </w:pPr>
      <w:r>
        <w:rPr>
          <w:rFonts w:ascii="Calibri" w:cs="Calibri" w:eastAsia="Calibri" w:hAnsi="Calibri"/>
          <w:sz w:val="17"/>
          <w:szCs w:val="17"/>
          <w:b w:val="1"/>
          <w:bCs w:val="1"/>
          <w:color w:val="333333"/>
        </w:rPr>
        <w:t>IMPORTANT NOTICE REGARDING THE AVAILABILITY OF PROXY MATERIALS FOR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38010" cy="407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8010" cy="407670"/>
                    </a:xfrm>
                    <a:prstGeom prst="rect">
                      <a:avLst/>
                    </a:prstGeom>
                    <a:noFill/>
                  </pic:spPr>
                </pic:pic>
              </a:graphicData>
            </a:graphic>
          </wp:anchor>
        </w:drawing>
      </w:r>
    </w:p>
    <w:p>
      <w:pPr>
        <w:jc w:val="center"/>
        <w:ind w:right="-259"/>
        <w:spacing w:after="0" w:line="232" w:lineRule="auto"/>
        <w:rPr>
          <w:sz w:val="20"/>
          <w:szCs w:val="20"/>
          <w:color w:val="auto"/>
        </w:rPr>
      </w:pPr>
      <w:r>
        <w:rPr>
          <w:rFonts w:ascii="Calibri" w:cs="Calibri" w:eastAsia="Calibri" w:hAnsi="Calibri"/>
          <w:sz w:val="17"/>
          <w:szCs w:val="17"/>
          <w:b w:val="1"/>
          <w:bCs w:val="1"/>
          <w:color w:val="333333"/>
        </w:rPr>
        <w:t>TO BE HELD ON JUNE 3, 2026:</w:t>
      </w:r>
    </w:p>
    <w:p>
      <w:pPr>
        <w:ind w:left="320"/>
        <w:spacing w:after="0" w:line="232" w:lineRule="auto"/>
        <w:rPr>
          <w:sz w:val="20"/>
          <w:szCs w:val="20"/>
          <w:color w:val="auto"/>
        </w:rPr>
      </w:pPr>
      <w:r>
        <w:rPr>
          <w:rFonts w:ascii="Calibri" w:cs="Calibri" w:eastAsia="Calibri" w:hAnsi="Calibri"/>
          <w:sz w:val="17"/>
          <w:szCs w:val="17"/>
          <w:color w:val="333333"/>
        </w:rPr>
        <w:t xml:space="preserve">Our Notce of Annual Meetng, 2026 Proxy Statement and 2025 Annual Report are available online at </w:t>
      </w:r>
      <w:r>
        <w:rPr>
          <w:rFonts w:ascii="Calibri" w:cs="Calibri" w:eastAsia="Calibri" w:hAnsi="Calibri"/>
          <w:sz w:val="17"/>
          <w:szCs w:val="17"/>
          <w:color w:val="0591DB"/>
        </w:rPr>
        <w:t>www.proxydocs.com/FCN</w:t>
      </w:r>
      <w:r>
        <w:rPr>
          <w:rFonts w:ascii="Calibri" w:cs="Calibri" w:eastAsia="Calibri" w:hAnsi="Calibri"/>
          <w:sz w:val="17"/>
          <w:szCs w:val="17"/>
          <w:color w:val="333333"/>
        </w:rPr>
        <w:t>.</w:t>
      </w:r>
    </w:p>
    <w:p>
      <w:pPr>
        <w:sectPr>
          <w:pgSz w:w="11900" w:h="16838" w:orient="portrait"/>
          <w:cols w:equalWidth="0" w:num="1">
            <w:col w:w="11100"/>
          </w:cols>
          <w:pgMar w:left="320" w:top="478" w:right="4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TABLE OF CONTENTS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10480" w:type="dxa"/>
            <w:vAlign w:val="bottom"/>
            <w:gridSpan w:val="44"/>
          </w:tcPr>
          <w:p>
            <w:pPr>
              <w:spacing w:after="0"/>
              <w:rPr>
                <w:sz w:val="20"/>
                <w:szCs w:val="20"/>
                <w:color w:val="auto"/>
              </w:rPr>
            </w:pPr>
            <w:r>
              <w:rPr>
                <w:rFonts w:ascii="Calibri" w:cs="Calibri" w:eastAsia="Calibri" w:hAnsi="Calibri"/>
                <w:sz w:val="18"/>
                <w:szCs w:val="18"/>
                <w:b w:val="1"/>
                <w:bCs w:val="1"/>
                <w:color w:val="0000EE"/>
              </w:rPr>
              <w:t>PROXY SUMMARY</w:t>
            </w:r>
          </w:p>
        </w:tc>
        <w:tc>
          <w:tcPr>
            <w:tcW w:w="400" w:type="dxa"/>
            <w:vAlign w:val="bottom"/>
          </w:tcPr>
          <w:p>
            <w:pPr>
              <w:jc w:val="right"/>
              <w:spacing w:after="0"/>
              <w:rPr>
                <w:sz w:val="20"/>
                <w:szCs w:val="20"/>
                <w:color w:val="auto"/>
              </w:rPr>
            </w:pPr>
            <w:r>
              <w:rPr>
                <w:rFonts w:ascii="Calibri" w:cs="Calibri" w:eastAsia="Calibri" w:hAnsi="Calibri"/>
                <w:sz w:val="18"/>
                <w:szCs w:val="18"/>
                <w:color w:val="333333"/>
              </w:rPr>
              <w:t>i</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1"/>
        </w:trPr>
        <w:tc>
          <w:tcPr>
            <w:tcW w:w="10480" w:type="dxa"/>
            <w:vAlign w:val="bottom"/>
            <w:gridSpan w:val="44"/>
          </w:tcPr>
          <w:p>
            <w:pPr>
              <w:spacing w:after="0"/>
              <w:rPr>
                <w:sz w:val="20"/>
                <w:szCs w:val="20"/>
                <w:color w:val="auto"/>
              </w:rPr>
            </w:pPr>
            <w:r>
              <w:rPr>
                <w:rFonts w:ascii="Calibri" w:cs="Calibri" w:eastAsia="Calibri" w:hAnsi="Calibri"/>
                <w:sz w:val="18"/>
                <w:szCs w:val="18"/>
                <w:b w:val="1"/>
                <w:bCs w:val="1"/>
                <w:color w:val="0000EE"/>
              </w:rPr>
              <w:t>PROXY STATEMENT FOR 2026 ANNUAL MEETING OF SHAREHOLDERS</w:t>
            </w:r>
          </w:p>
        </w:tc>
        <w:tc>
          <w:tcPr>
            <w:tcW w:w="400" w:type="dxa"/>
            <w:vAlign w:val="bottom"/>
          </w:tcPr>
          <w:p>
            <w:pPr>
              <w:jc w:val="right"/>
              <w:spacing w:after="0"/>
              <w:rPr>
                <w:sz w:val="20"/>
                <w:szCs w:val="20"/>
                <w:color w:val="auto"/>
              </w:rPr>
            </w:pPr>
            <w:r>
              <w:rPr>
                <w:rFonts w:ascii="Calibri" w:cs="Calibri" w:eastAsia="Calibri" w:hAnsi="Calibri"/>
                <w:sz w:val="18"/>
                <w:szCs w:val="18"/>
                <w:color w:val="333333"/>
              </w:rPr>
              <w:t>1</w:t>
            </w:r>
          </w:p>
        </w:tc>
      </w:tr>
      <w:tr>
        <w:trPr>
          <w:trHeight w:val="301"/>
        </w:trPr>
        <w:tc>
          <w:tcPr>
            <w:tcW w:w="4920" w:type="dxa"/>
            <w:vAlign w:val="bottom"/>
            <w:tcBorders>
              <w:top w:val="single" w:sz="8" w:color="0000EE"/>
            </w:tcBorders>
            <w:gridSpan w:val="32"/>
          </w:tcPr>
          <w:p>
            <w:pPr>
              <w:spacing w:after="0"/>
              <w:rPr>
                <w:sz w:val="20"/>
                <w:szCs w:val="20"/>
                <w:color w:val="auto"/>
              </w:rPr>
            </w:pPr>
            <w:r>
              <w:rPr>
                <w:rFonts w:ascii="Calibri" w:cs="Calibri" w:eastAsia="Calibri" w:hAnsi="Calibri"/>
                <w:sz w:val="18"/>
                <w:szCs w:val="18"/>
                <w:b w:val="1"/>
                <w:bCs w:val="1"/>
                <w:color w:val="0000EE"/>
              </w:rPr>
              <w:t>INFORMATION ABOUT THE ANNUAL MEETING AND VOTING</w:t>
            </w:r>
          </w:p>
        </w:tc>
        <w:tc>
          <w:tcPr>
            <w:tcW w:w="556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333333"/>
              </w:rPr>
              <w:t>2</w:t>
            </w:r>
          </w:p>
        </w:tc>
      </w:tr>
      <w:tr>
        <w:trPr>
          <w:trHeight w:val="301"/>
        </w:trPr>
        <w:tc>
          <w:tcPr>
            <w:tcW w:w="4300" w:type="dxa"/>
            <w:vAlign w:val="bottom"/>
            <w:tcBorders>
              <w:top w:val="single" w:sz="8" w:color="0000EE"/>
            </w:tcBorders>
            <w:gridSpan w:val="29"/>
          </w:tcPr>
          <w:p>
            <w:pPr>
              <w:spacing w:after="0"/>
              <w:rPr>
                <w:sz w:val="20"/>
                <w:szCs w:val="20"/>
                <w:color w:val="auto"/>
              </w:rPr>
            </w:pPr>
            <w:r>
              <w:rPr>
                <w:rFonts w:ascii="Calibri" w:cs="Calibri" w:eastAsia="Calibri" w:hAnsi="Calibri"/>
                <w:sz w:val="18"/>
                <w:szCs w:val="18"/>
                <w:b w:val="1"/>
                <w:bCs w:val="1"/>
                <w:color w:val="0000EE"/>
              </w:rPr>
              <w:t>ADDITIONAL INFORMATION</w:t>
            </w:r>
          </w:p>
        </w:tc>
        <w:tc>
          <w:tcPr>
            <w:tcW w:w="618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333333"/>
              </w:rPr>
              <w:t>7</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1"/>
        </w:trPr>
        <w:tc>
          <w:tcPr>
            <w:tcW w:w="10480" w:type="dxa"/>
            <w:vAlign w:val="bottom"/>
            <w:gridSpan w:val="44"/>
          </w:tcPr>
          <w:p>
            <w:pPr>
              <w:spacing w:after="0"/>
              <w:rPr>
                <w:sz w:val="20"/>
                <w:szCs w:val="20"/>
                <w:color w:val="auto"/>
              </w:rPr>
            </w:pPr>
            <w:r>
              <w:rPr>
                <w:rFonts w:ascii="Calibri" w:cs="Calibri" w:eastAsia="Calibri" w:hAnsi="Calibri"/>
                <w:sz w:val="18"/>
                <w:szCs w:val="18"/>
                <w:b w:val="1"/>
                <w:bCs w:val="1"/>
                <w:color w:val="0000EE"/>
              </w:rPr>
              <w:t>INFORMATION ABOUT THE BOARD OF DIRECTORS AND COMMITTEES</w:t>
            </w:r>
          </w:p>
        </w:tc>
        <w:tc>
          <w:tcPr>
            <w:tcW w:w="400" w:type="dxa"/>
            <w:vAlign w:val="bottom"/>
          </w:tcPr>
          <w:p>
            <w:pPr>
              <w:jc w:val="right"/>
              <w:spacing w:after="0"/>
              <w:rPr>
                <w:sz w:val="20"/>
                <w:szCs w:val="20"/>
                <w:color w:val="auto"/>
              </w:rPr>
            </w:pPr>
            <w:r>
              <w:rPr>
                <w:rFonts w:ascii="Calibri" w:cs="Calibri" w:eastAsia="Calibri" w:hAnsi="Calibri"/>
                <w:sz w:val="18"/>
                <w:szCs w:val="18"/>
                <w:color w:val="333333"/>
              </w:rPr>
              <w:t>7</w:t>
            </w:r>
          </w:p>
        </w:tc>
      </w:tr>
      <w:tr>
        <w:trPr>
          <w:trHeight w:val="194"/>
        </w:trPr>
        <w:tc>
          <w:tcPr>
            <w:tcW w:w="360" w:type="dxa"/>
            <w:vAlign w:val="bottom"/>
            <w:tcBorders>
              <w:top w:val="single" w:sz="8" w:color="0000EE"/>
            </w:tcBorders>
          </w:tcPr>
          <w:p>
            <w:pPr>
              <w:spacing w:after="0"/>
              <w:rPr>
                <w:sz w:val="16"/>
                <w:szCs w:val="16"/>
                <w:color w:val="auto"/>
              </w:rPr>
            </w:pPr>
          </w:p>
        </w:tc>
        <w:tc>
          <w:tcPr>
            <w:tcW w:w="2380" w:type="dxa"/>
            <w:vAlign w:val="bottom"/>
            <w:tcBorders>
              <w:top w:val="single" w:sz="8" w:color="0000EE"/>
              <w:bottom w:val="single" w:sz="8" w:color="0000EE"/>
            </w:tcBorders>
            <w:gridSpan w:val="18"/>
          </w:tcPr>
          <w:p>
            <w:pPr>
              <w:spacing w:after="0" w:line="194" w:lineRule="exact"/>
              <w:rPr>
                <w:sz w:val="20"/>
                <w:szCs w:val="20"/>
                <w:color w:val="auto"/>
              </w:rPr>
            </w:pPr>
            <w:r>
              <w:rPr>
                <w:rFonts w:ascii="Calibri" w:cs="Calibri" w:eastAsia="Calibri" w:hAnsi="Calibri"/>
                <w:sz w:val="18"/>
                <w:szCs w:val="18"/>
                <w:color w:val="0000EE"/>
                <w:w w:val="98"/>
              </w:rPr>
              <w:t>The Director Nominaton Process</w:t>
            </w:r>
          </w:p>
        </w:tc>
        <w:tc>
          <w:tcPr>
            <w:tcW w:w="2240" w:type="dxa"/>
            <w:vAlign w:val="bottom"/>
            <w:tcBorders>
              <w:top w:val="single" w:sz="8" w:color="0000EE"/>
            </w:tcBorders>
            <w:gridSpan w:val="14"/>
          </w:tcPr>
          <w:p>
            <w:pPr>
              <w:spacing w:after="0"/>
              <w:rPr>
                <w:sz w:val="16"/>
                <w:szCs w:val="16"/>
                <w:color w:val="auto"/>
              </w:rPr>
            </w:pPr>
          </w:p>
        </w:tc>
        <w:tc>
          <w:tcPr>
            <w:tcW w:w="5500" w:type="dxa"/>
            <w:vAlign w:val="bottom"/>
            <w:gridSpan w:val="11"/>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7</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Independence Of Directors</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13</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6180" w:type="dxa"/>
            <w:vAlign w:val="bottom"/>
            <w:tcBorders>
              <w:bottom w:val="single" w:sz="8" w:color="0000EE"/>
            </w:tcBorders>
            <w:gridSpan w:val="39"/>
          </w:tcPr>
          <w:p>
            <w:pPr>
              <w:spacing w:after="0" w:line="194" w:lineRule="exact"/>
              <w:rPr>
                <w:sz w:val="20"/>
                <w:szCs w:val="20"/>
                <w:color w:val="auto"/>
              </w:rPr>
            </w:pPr>
            <w:r>
              <w:rPr>
                <w:rFonts w:ascii="Calibri" w:cs="Calibri" w:eastAsia="Calibri" w:hAnsi="Calibri"/>
                <w:sz w:val="18"/>
                <w:szCs w:val="18"/>
                <w:color w:val="0000EE"/>
                <w:w w:val="95"/>
              </w:rPr>
              <w:t>Proposal No. 1 — Elect As Directors The Eight Nominees Named In The Proxy Statement</w:t>
            </w:r>
          </w:p>
        </w:tc>
        <w:tc>
          <w:tcPr>
            <w:tcW w:w="3940" w:type="dxa"/>
            <w:vAlign w:val="bottom"/>
            <w:gridSpan w:val="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14</w:t>
            </w:r>
          </w:p>
        </w:tc>
      </w:tr>
      <w:tr>
        <w:trPr>
          <w:trHeight w:val="194"/>
        </w:trPr>
        <w:tc>
          <w:tcPr>
            <w:tcW w:w="360" w:type="dxa"/>
            <w:vAlign w:val="bottom"/>
          </w:tcPr>
          <w:p>
            <w:pPr>
              <w:spacing w:after="0"/>
              <w:rPr>
                <w:sz w:val="16"/>
                <w:szCs w:val="16"/>
                <w:color w:val="auto"/>
              </w:rPr>
            </w:pPr>
          </w:p>
        </w:tc>
        <w:tc>
          <w:tcPr>
            <w:tcW w:w="3260" w:type="dxa"/>
            <w:vAlign w:val="bottom"/>
            <w:tcBorders>
              <w:bottom w:val="single" w:sz="8" w:color="0000EE"/>
            </w:tcBorders>
            <w:gridSpan w:val="25"/>
          </w:tcPr>
          <w:p>
            <w:pPr>
              <w:spacing w:after="0" w:line="194" w:lineRule="exact"/>
              <w:rPr>
                <w:sz w:val="20"/>
                <w:szCs w:val="20"/>
                <w:color w:val="auto"/>
              </w:rPr>
            </w:pPr>
            <w:r>
              <w:rPr>
                <w:rFonts w:ascii="Calibri" w:cs="Calibri" w:eastAsia="Calibri" w:hAnsi="Calibri"/>
                <w:sz w:val="18"/>
                <w:szCs w:val="18"/>
                <w:color w:val="0000EE"/>
                <w:w w:val="97"/>
              </w:rPr>
              <w:t>Informaton About The Nominees For Director</w:t>
            </w:r>
          </w:p>
        </w:tc>
        <w:tc>
          <w:tcPr>
            <w:tcW w:w="6860" w:type="dxa"/>
            <w:vAlign w:val="bottom"/>
            <w:gridSpan w:val="18"/>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15</w:t>
            </w:r>
          </w:p>
        </w:tc>
      </w:tr>
      <w:tr>
        <w:trPr>
          <w:trHeight w:val="194"/>
        </w:trPr>
        <w:tc>
          <w:tcPr>
            <w:tcW w:w="360" w:type="dxa"/>
            <w:vAlign w:val="bottom"/>
          </w:tcPr>
          <w:p>
            <w:pPr>
              <w:spacing w:after="0"/>
              <w:rPr>
                <w:sz w:val="16"/>
                <w:szCs w:val="16"/>
                <w:color w:val="auto"/>
              </w:rPr>
            </w:pPr>
          </w:p>
        </w:tc>
        <w:tc>
          <w:tcPr>
            <w:tcW w:w="2320" w:type="dxa"/>
            <w:vAlign w:val="bottom"/>
            <w:tcBorders>
              <w:bottom w:val="single" w:sz="8" w:color="0000EE"/>
            </w:tcBorders>
            <w:gridSpan w:val="17"/>
          </w:tcPr>
          <w:p>
            <w:pPr>
              <w:spacing w:after="0" w:line="194" w:lineRule="exact"/>
              <w:rPr>
                <w:sz w:val="20"/>
                <w:szCs w:val="20"/>
                <w:color w:val="auto"/>
              </w:rPr>
            </w:pPr>
            <w:r>
              <w:rPr>
                <w:rFonts w:ascii="Calibri" w:cs="Calibri" w:eastAsia="Calibri" w:hAnsi="Calibri"/>
                <w:sz w:val="18"/>
                <w:szCs w:val="18"/>
                <w:color w:val="0000EE"/>
                <w:w w:val="99"/>
              </w:rPr>
              <w:t>Director Atendance At Meetngs</w:t>
            </w:r>
          </w:p>
        </w:tc>
        <w:tc>
          <w:tcPr>
            <w:tcW w:w="7800" w:type="dxa"/>
            <w:vAlign w:val="bottom"/>
            <w:gridSpan w:val="2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23</w:t>
            </w:r>
          </w:p>
        </w:tc>
      </w:tr>
      <w:tr>
        <w:trPr>
          <w:trHeight w:val="194"/>
        </w:trPr>
        <w:tc>
          <w:tcPr>
            <w:tcW w:w="360" w:type="dxa"/>
            <w:vAlign w:val="bottom"/>
          </w:tcPr>
          <w:p>
            <w:pPr>
              <w:spacing w:after="0"/>
              <w:rPr>
                <w:sz w:val="16"/>
                <w:szCs w:val="16"/>
                <w:color w:val="auto"/>
              </w:rPr>
            </w:pPr>
          </w:p>
        </w:tc>
        <w:tc>
          <w:tcPr>
            <w:tcW w:w="2720" w:type="dxa"/>
            <w:vAlign w:val="bottom"/>
            <w:tcBorders>
              <w:bottom w:val="single" w:sz="8" w:color="0000EE"/>
            </w:tcBorders>
            <w:gridSpan w:val="21"/>
          </w:tcPr>
          <w:p>
            <w:pPr>
              <w:spacing w:after="0" w:line="194" w:lineRule="exact"/>
              <w:rPr>
                <w:sz w:val="20"/>
                <w:szCs w:val="20"/>
                <w:color w:val="auto"/>
              </w:rPr>
            </w:pPr>
            <w:r>
              <w:rPr>
                <w:rFonts w:ascii="Calibri" w:cs="Calibri" w:eastAsia="Calibri" w:hAnsi="Calibri"/>
                <w:sz w:val="18"/>
                <w:szCs w:val="18"/>
                <w:color w:val="0000EE"/>
                <w:w w:val="97"/>
              </w:rPr>
              <w:t>Commitees Of The Board Of Directors</w:t>
            </w:r>
          </w:p>
        </w:tc>
        <w:tc>
          <w:tcPr>
            <w:tcW w:w="7400" w:type="dxa"/>
            <w:vAlign w:val="bottom"/>
            <w:gridSpan w:val="2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23</w:t>
            </w:r>
          </w:p>
        </w:tc>
      </w:tr>
      <w:tr>
        <w:trPr>
          <w:trHeight w:val="194"/>
        </w:trPr>
        <w:tc>
          <w:tcPr>
            <w:tcW w:w="360" w:type="dxa"/>
            <w:vAlign w:val="bottom"/>
          </w:tcPr>
          <w:p>
            <w:pPr>
              <w:spacing w:after="0"/>
              <w:rPr>
                <w:sz w:val="16"/>
                <w:szCs w:val="16"/>
                <w:color w:val="auto"/>
              </w:rPr>
            </w:pPr>
          </w:p>
        </w:tc>
        <w:tc>
          <w:tcPr>
            <w:tcW w:w="7000" w:type="dxa"/>
            <w:vAlign w:val="bottom"/>
            <w:tcBorders>
              <w:bottom w:val="single" w:sz="8" w:color="0000EE"/>
            </w:tcBorders>
            <w:gridSpan w:val="40"/>
          </w:tcPr>
          <w:p>
            <w:pPr>
              <w:spacing w:after="0" w:line="194" w:lineRule="exact"/>
              <w:rPr>
                <w:sz w:val="20"/>
                <w:szCs w:val="20"/>
                <w:color w:val="auto"/>
              </w:rPr>
            </w:pPr>
            <w:r>
              <w:rPr>
                <w:rFonts w:ascii="Calibri" w:cs="Calibri" w:eastAsia="Calibri" w:hAnsi="Calibri"/>
                <w:sz w:val="18"/>
                <w:szCs w:val="18"/>
                <w:color w:val="0000EE"/>
                <w:w w:val="96"/>
              </w:rPr>
              <w:t>Compensaton Of Non-Employee Directors And Policy On Non-Employee Director Equity Ownership</w:t>
            </w:r>
          </w:p>
        </w:tc>
        <w:tc>
          <w:tcPr>
            <w:tcW w:w="3120" w:type="dxa"/>
            <w:vAlign w:val="bottom"/>
            <w:gridSpan w:val="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27</w:t>
            </w:r>
          </w:p>
        </w:tc>
      </w:tr>
      <w:tr>
        <w:trPr>
          <w:trHeight w:val="301"/>
        </w:trPr>
        <w:tc>
          <w:tcPr>
            <w:tcW w:w="2020" w:type="dxa"/>
            <w:vAlign w:val="bottom"/>
            <w:tcBorders>
              <w:bottom w:val="single" w:sz="8" w:color="0000EE"/>
            </w:tcBorders>
            <w:gridSpan w:val="8"/>
          </w:tcPr>
          <w:p>
            <w:pPr>
              <w:spacing w:after="0"/>
              <w:rPr>
                <w:sz w:val="20"/>
                <w:szCs w:val="20"/>
                <w:color w:val="auto"/>
              </w:rPr>
            </w:pPr>
            <w:r>
              <w:rPr>
                <w:rFonts w:ascii="Calibri" w:cs="Calibri" w:eastAsia="Calibri" w:hAnsi="Calibri"/>
                <w:sz w:val="18"/>
                <w:szCs w:val="18"/>
                <w:b w:val="1"/>
                <w:bCs w:val="1"/>
                <w:color w:val="0000EE"/>
                <w:w w:val="97"/>
              </w:rPr>
              <w:t>CORPORATE GOVERNANCE</w:t>
            </w:r>
          </w:p>
        </w:tc>
        <w:tc>
          <w:tcPr>
            <w:tcW w:w="8460" w:type="dxa"/>
            <w:vAlign w:val="bottom"/>
            <w:gridSpan w:val="36"/>
          </w:tcPr>
          <w:p>
            <w:pPr>
              <w:spacing w:after="0"/>
              <w:rPr>
                <w:sz w:val="24"/>
                <w:szCs w:val="24"/>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333333"/>
              </w:rPr>
              <w:t>32</w:t>
            </w:r>
          </w:p>
        </w:tc>
      </w:tr>
      <w:tr>
        <w:trPr>
          <w:trHeight w:val="194"/>
        </w:trPr>
        <w:tc>
          <w:tcPr>
            <w:tcW w:w="360" w:type="dxa"/>
            <w:vAlign w:val="bottom"/>
          </w:tcPr>
          <w:p>
            <w:pPr>
              <w:spacing w:after="0"/>
              <w:rPr>
                <w:sz w:val="16"/>
                <w:szCs w:val="16"/>
                <w:color w:val="auto"/>
              </w:rPr>
            </w:pPr>
          </w:p>
        </w:tc>
        <w:tc>
          <w:tcPr>
            <w:tcW w:w="1580" w:type="dxa"/>
            <w:vAlign w:val="bottom"/>
            <w:tcBorders>
              <w:bottom w:val="single" w:sz="8" w:color="0000EE"/>
            </w:tcBorders>
            <w:gridSpan w:val="6"/>
          </w:tcPr>
          <w:p>
            <w:pPr>
              <w:spacing w:after="0" w:line="194" w:lineRule="exact"/>
              <w:rPr>
                <w:sz w:val="20"/>
                <w:szCs w:val="20"/>
                <w:color w:val="auto"/>
              </w:rPr>
            </w:pPr>
            <w:r>
              <w:rPr>
                <w:rFonts w:ascii="Calibri" w:cs="Calibri" w:eastAsia="Calibri" w:hAnsi="Calibri"/>
                <w:sz w:val="18"/>
                <w:szCs w:val="18"/>
                <w:color w:val="0000EE"/>
                <w:w w:val="95"/>
              </w:rPr>
              <w:t>Governance Principles</w:t>
            </w:r>
          </w:p>
        </w:tc>
        <w:tc>
          <w:tcPr>
            <w:tcW w:w="8540" w:type="dxa"/>
            <w:vAlign w:val="bottom"/>
            <w:gridSpan w:val="37"/>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32</w:t>
            </w:r>
          </w:p>
        </w:tc>
      </w:tr>
      <w:tr>
        <w:trPr>
          <w:trHeight w:val="194"/>
        </w:trPr>
        <w:tc>
          <w:tcPr>
            <w:tcW w:w="360" w:type="dxa"/>
            <w:vAlign w:val="bottom"/>
          </w:tcPr>
          <w:p>
            <w:pPr>
              <w:spacing w:after="0"/>
              <w:rPr>
                <w:sz w:val="16"/>
                <w:szCs w:val="16"/>
                <w:color w:val="auto"/>
              </w:rPr>
            </w:pPr>
          </w:p>
        </w:tc>
        <w:tc>
          <w:tcPr>
            <w:tcW w:w="4240" w:type="dxa"/>
            <w:vAlign w:val="bottom"/>
            <w:tcBorders>
              <w:bottom w:val="single" w:sz="8" w:color="0000EE"/>
            </w:tcBorders>
            <w:gridSpan w:val="30"/>
          </w:tcPr>
          <w:p>
            <w:pPr>
              <w:spacing w:after="0" w:line="194" w:lineRule="exact"/>
              <w:rPr>
                <w:sz w:val="20"/>
                <w:szCs w:val="20"/>
                <w:color w:val="auto"/>
              </w:rPr>
            </w:pPr>
            <w:r>
              <w:rPr>
                <w:rFonts w:ascii="Calibri" w:cs="Calibri" w:eastAsia="Calibri" w:hAnsi="Calibri"/>
                <w:sz w:val="18"/>
                <w:szCs w:val="18"/>
                <w:color w:val="0000EE"/>
                <w:w w:val="97"/>
              </w:rPr>
              <w:t>Our Signifcant Corporate Governance Policies And Practces</w:t>
            </w:r>
          </w:p>
        </w:tc>
        <w:tc>
          <w:tcPr>
            <w:tcW w:w="5880" w:type="dxa"/>
            <w:vAlign w:val="bottom"/>
            <w:gridSpan w:val="1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32</w:t>
            </w:r>
          </w:p>
        </w:tc>
      </w:tr>
      <w:tr>
        <w:trPr>
          <w:trHeight w:val="194"/>
        </w:trPr>
        <w:tc>
          <w:tcPr>
            <w:tcW w:w="360" w:type="dxa"/>
            <w:vAlign w:val="bottom"/>
          </w:tcPr>
          <w:p>
            <w:pPr>
              <w:spacing w:after="0"/>
              <w:rPr>
                <w:sz w:val="16"/>
                <w:szCs w:val="16"/>
                <w:color w:val="auto"/>
              </w:rPr>
            </w:pPr>
          </w:p>
        </w:tc>
        <w:tc>
          <w:tcPr>
            <w:tcW w:w="1940" w:type="dxa"/>
            <w:vAlign w:val="bottom"/>
            <w:tcBorders>
              <w:bottom w:val="single" w:sz="8" w:color="0000EE"/>
            </w:tcBorders>
            <w:gridSpan w:val="11"/>
          </w:tcPr>
          <w:p>
            <w:pPr>
              <w:spacing w:after="0" w:line="194" w:lineRule="exact"/>
              <w:rPr>
                <w:sz w:val="20"/>
                <w:szCs w:val="20"/>
                <w:color w:val="auto"/>
              </w:rPr>
            </w:pPr>
            <w:r>
              <w:rPr>
                <w:rFonts w:ascii="Calibri" w:cs="Calibri" w:eastAsia="Calibri" w:hAnsi="Calibri"/>
                <w:sz w:val="18"/>
                <w:szCs w:val="18"/>
                <w:color w:val="0000EE"/>
                <w:w w:val="95"/>
              </w:rPr>
              <w:t>Board Leadership Structure</w:t>
            </w:r>
          </w:p>
        </w:tc>
        <w:tc>
          <w:tcPr>
            <w:tcW w:w="8180" w:type="dxa"/>
            <w:vAlign w:val="bottom"/>
            <w:gridSpan w:val="3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33</w:t>
            </w:r>
          </w:p>
        </w:tc>
      </w:tr>
      <w:tr>
        <w:trPr>
          <w:trHeight w:val="194"/>
        </w:trPr>
        <w:tc>
          <w:tcPr>
            <w:tcW w:w="360" w:type="dxa"/>
            <w:vAlign w:val="bottom"/>
          </w:tcPr>
          <w:p>
            <w:pPr>
              <w:spacing w:after="0"/>
              <w:rPr>
                <w:sz w:val="16"/>
                <w:szCs w:val="16"/>
                <w:color w:val="auto"/>
              </w:rPr>
            </w:pPr>
          </w:p>
        </w:tc>
        <w:tc>
          <w:tcPr>
            <w:tcW w:w="2200" w:type="dxa"/>
            <w:vAlign w:val="bottom"/>
            <w:tcBorders>
              <w:bottom w:val="single" w:sz="8" w:color="0000EE"/>
            </w:tcBorders>
            <w:gridSpan w:val="15"/>
          </w:tcPr>
          <w:p>
            <w:pPr>
              <w:spacing w:after="0" w:line="194" w:lineRule="exact"/>
              <w:rPr>
                <w:sz w:val="20"/>
                <w:szCs w:val="20"/>
                <w:color w:val="auto"/>
              </w:rPr>
            </w:pPr>
            <w:r>
              <w:rPr>
                <w:rFonts w:ascii="Calibri" w:cs="Calibri" w:eastAsia="Calibri" w:hAnsi="Calibri"/>
                <w:sz w:val="18"/>
                <w:szCs w:val="18"/>
                <w:color w:val="0000EE"/>
                <w:w w:val="95"/>
              </w:rPr>
              <w:t>Oversight Of Risk Management</w:t>
            </w:r>
          </w:p>
        </w:tc>
        <w:tc>
          <w:tcPr>
            <w:tcW w:w="7920" w:type="dxa"/>
            <w:vAlign w:val="bottom"/>
            <w:gridSpan w:val="28"/>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36</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Cybersecurity Oversight</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37</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Compensaton-Related Risks</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38</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2820" w:type="dxa"/>
            <w:vAlign w:val="bottom"/>
            <w:tcBorders>
              <w:bottom w:val="single" w:sz="8" w:color="0000EE"/>
            </w:tcBorders>
            <w:gridSpan w:val="23"/>
          </w:tcPr>
          <w:p>
            <w:pPr>
              <w:spacing w:after="0" w:line="194" w:lineRule="exact"/>
              <w:rPr>
                <w:sz w:val="20"/>
                <w:szCs w:val="20"/>
                <w:color w:val="auto"/>
              </w:rPr>
            </w:pPr>
            <w:r>
              <w:rPr>
                <w:rFonts w:ascii="Calibri" w:cs="Calibri" w:eastAsia="Calibri" w:hAnsi="Calibri"/>
                <w:sz w:val="18"/>
                <w:szCs w:val="18"/>
                <w:color w:val="0000EE"/>
                <w:w w:val="97"/>
              </w:rPr>
              <w:t>Board And Commitee Self-Assessments</w:t>
            </w:r>
          </w:p>
        </w:tc>
        <w:tc>
          <w:tcPr>
            <w:tcW w:w="7300" w:type="dxa"/>
            <w:vAlign w:val="bottom"/>
            <w:gridSpan w:val="20"/>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38</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Corporate Social Responsibility Oversight</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38</w:t>
            </w:r>
          </w:p>
        </w:tc>
      </w:tr>
      <w:tr>
        <w:trPr>
          <w:trHeight w:val="194"/>
        </w:trPr>
        <w:tc>
          <w:tcPr>
            <w:tcW w:w="36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5"/>
          </w:tcPr>
          <w:p>
            <w:pPr>
              <w:spacing w:after="0" w:line="194" w:lineRule="exact"/>
              <w:rPr>
                <w:sz w:val="20"/>
                <w:szCs w:val="20"/>
                <w:color w:val="auto"/>
              </w:rPr>
            </w:pPr>
            <w:r>
              <w:rPr>
                <w:rFonts w:ascii="Calibri" w:cs="Calibri" w:eastAsia="Calibri" w:hAnsi="Calibri"/>
                <w:sz w:val="18"/>
                <w:szCs w:val="18"/>
                <w:color w:val="0000EE"/>
                <w:w w:val="95"/>
              </w:rPr>
              <w:t>Succession Planning</w:t>
            </w:r>
          </w:p>
        </w:tc>
        <w:tc>
          <w:tcPr>
            <w:tcW w:w="1460" w:type="dxa"/>
            <w:vAlign w:val="bottom"/>
            <w:tcBorders>
              <w:top w:val="single" w:sz="8" w:color="0000EE"/>
            </w:tcBorders>
            <w:gridSpan w:val="19"/>
          </w:tcPr>
          <w:p>
            <w:pPr>
              <w:spacing w:after="0"/>
              <w:rPr>
                <w:sz w:val="16"/>
                <w:szCs w:val="16"/>
                <w:color w:val="auto"/>
              </w:rPr>
            </w:pPr>
          </w:p>
        </w:tc>
        <w:tc>
          <w:tcPr>
            <w:tcW w:w="7240" w:type="dxa"/>
            <w:vAlign w:val="bottom"/>
            <w:gridSpan w:val="1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38</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Code Of Conduct</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39</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Shareholder Nominees For Director</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39</w:t>
            </w:r>
          </w:p>
        </w:tc>
      </w:tr>
      <w:tr>
        <w:trPr>
          <w:trHeight w:val="194"/>
        </w:trPr>
        <w:tc>
          <w:tcPr>
            <w:tcW w:w="36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16"/>
          </w:tcPr>
          <w:p>
            <w:pPr>
              <w:spacing w:after="0" w:line="194" w:lineRule="exact"/>
              <w:rPr>
                <w:sz w:val="20"/>
                <w:szCs w:val="20"/>
                <w:color w:val="auto"/>
              </w:rPr>
            </w:pPr>
            <w:r>
              <w:rPr>
                <w:rFonts w:ascii="Calibri" w:cs="Calibri" w:eastAsia="Calibri" w:hAnsi="Calibri"/>
                <w:sz w:val="18"/>
                <w:szCs w:val="18"/>
                <w:color w:val="0000EE"/>
                <w:w w:val="97"/>
              </w:rPr>
              <w:t>Communicatons With Directors</w:t>
            </w:r>
          </w:p>
        </w:tc>
        <w:tc>
          <w:tcPr>
            <w:tcW w:w="240" w:type="dxa"/>
            <w:vAlign w:val="bottom"/>
            <w:tcBorders>
              <w:top w:val="single" w:sz="8" w:color="0000EE"/>
            </w:tcBorders>
            <w:gridSpan w:val="4"/>
          </w:tcPr>
          <w:p>
            <w:pPr>
              <w:spacing w:after="0"/>
              <w:rPr>
                <w:sz w:val="16"/>
                <w:szCs w:val="16"/>
                <w:color w:val="auto"/>
              </w:rPr>
            </w:pPr>
          </w:p>
        </w:tc>
        <w:tc>
          <w:tcPr>
            <w:tcW w:w="7620" w:type="dxa"/>
            <w:vAlign w:val="bottom"/>
            <w:gridSpan w:val="2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40</w:t>
            </w:r>
          </w:p>
        </w:tc>
      </w:tr>
      <w:tr>
        <w:trPr>
          <w:trHeight w:val="301"/>
        </w:trPr>
        <w:tc>
          <w:tcPr>
            <w:tcW w:w="6080" w:type="dxa"/>
            <w:vAlign w:val="bottom"/>
            <w:tcBorders>
              <w:bottom w:val="single" w:sz="8" w:color="0000EE"/>
            </w:tcBorders>
            <w:gridSpan w:val="39"/>
          </w:tcPr>
          <w:p>
            <w:pPr>
              <w:spacing w:after="0"/>
              <w:rPr>
                <w:sz w:val="20"/>
                <w:szCs w:val="20"/>
                <w:color w:val="auto"/>
              </w:rPr>
            </w:pPr>
            <w:r>
              <w:rPr>
                <w:rFonts w:ascii="Calibri" w:cs="Calibri" w:eastAsia="Calibri" w:hAnsi="Calibri"/>
                <w:sz w:val="18"/>
                <w:szCs w:val="18"/>
                <w:b w:val="1"/>
                <w:bCs w:val="1"/>
                <w:color w:val="0000EE"/>
                <w:w w:val="95"/>
              </w:rPr>
              <w:t>OTHER PROPOSALS TO BE PRESENTED AT THE ANNUAL MEETING OF SHAREHOLDERS</w:t>
            </w:r>
          </w:p>
        </w:tc>
        <w:tc>
          <w:tcPr>
            <w:tcW w:w="44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333333"/>
              </w:rPr>
              <w:t>41</w:t>
            </w:r>
          </w:p>
        </w:tc>
      </w:tr>
      <w:tr>
        <w:trPr>
          <w:trHeight w:val="194"/>
        </w:trPr>
        <w:tc>
          <w:tcPr>
            <w:tcW w:w="360" w:type="dxa"/>
            <w:vAlign w:val="bottom"/>
          </w:tcPr>
          <w:p>
            <w:pPr>
              <w:spacing w:after="0"/>
              <w:rPr>
                <w:sz w:val="16"/>
                <w:szCs w:val="16"/>
                <w:color w:val="auto"/>
              </w:rPr>
            </w:pPr>
          </w:p>
        </w:tc>
        <w:tc>
          <w:tcPr>
            <w:tcW w:w="9880" w:type="dxa"/>
            <w:vAlign w:val="bottom"/>
            <w:tcBorders>
              <w:bottom w:val="single" w:sz="8" w:color="0000EE"/>
            </w:tcBorders>
            <w:gridSpan w:val="41"/>
          </w:tcPr>
          <w:p>
            <w:pPr>
              <w:spacing w:after="0" w:line="194" w:lineRule="exact"/>
              <w:rPr>
                <w:sz w:val="20"/>
                <w:szCs w:val="20"/>
                <w:color w:val="auto"/>
              </w:rPr>
            </w:pPr>
            <w:r>
              <w:rPr>
                <w:rFonts w:ascii="Calibri" w:cs="Calibri" w:eastAsia="Calibri" w:hAnsi="Calibri"/>
                <w:sz w:val="18"/>
                <w:szCs w:val="18"/>
                <w:color w:val="0000EE"/>
                <w:w w:val="97"/>
              </w:rPr>
              <w:t>Proposal No. 2 — Ratfy The Appointment Of KPMG LLP As FTI Consultng, Inc.’s Independent Registered Public Accountng Firm For The Year</w:t>
            </w:r>
          </w:p>
        </w:tc>
        <w:tc>
          <w:tcPr>
            <w:tcW w:w="24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940" w:type="dxa"/>
            <w:vAlign w:val="bottom"/>
            <w:gridSpan w:val="42"/>
          </w:tcPr>
          <w:p>
            <w:pPr>
              <w:spacing w:after="0" w:line="194" w:lineRule="exact"/>
              <w:rPr>
                <w:sz w:val="20"/>
                <w:szCs w:val="20"/>
                <w:color w:val="auto"/>
              </w:rPr>
            </w:pPr>
            <w:r>
              <w:rPr>
                <w:rFonts w:ascii="Calibri" w:cs="Calibri" w:eastAsia="Calibri" w:hAnsi="Calibri"/>
                <w:sz w:val="18"/>
                <w:szCs w:val="18"/>
                <w:color w:val="0000EE"/>
              </w:rPr>
              <w:t>Ending December 31, 2026</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41</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w w:val="99"/>
              </w:rPr>
              <w:t>Proposal No. 3 — Vote On An Advisory (Non-Binding) Resoluton To Approve The Compensaton Of The Named Executve Ofcers For The Year</w:t>
            </w:r>
          </w:p>
        </w:tc>
        <w:tc>
          <w:tcPr>
            <w:tcW w:w="400" w:type="dxa"/>
            <w:vAlign w:val="bottom"/>
          </w:tcPr>
          <w:p>
            <w:pPr>
              <w:spacing w:after="0"/>
              <w:rPr>
                <w:sz w:val="16"/>
                <w:szCs w:val="16"/>
                <w:color w:val="auto"/>
              </w:rPr>
            </w:pPr>
          </w:p>
        </w:tc>
      </w:tr>
      <w:tr>
        <w:trPr>
          <w:trHeight w:val="194"/>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800" w:type="dxa"/>
            <w:vAlign w:val="bottom"/>
            <w:tcBorders>
              <w:top w:val="single" w:sz="8" w:color="0000EE"/>
            </w:tcBorders>
            <w:gridSpan w:val="41"/>
          </w:tcPr>
          <w:p>
            <w:pPr>
              <w:spacing w:after="0" w:line="194" w:lineRule="exact"/>
              <w:rPr>
                <w:sz w:val="20"/>
                <w:szCs w:val="20"/>
                <w:color w:val="auto"/>
              </w:rPr>
            </w:pPr>
            <w:r>
              <w:rPr>
                <w:rFonts w:ascii="Calibri" w:cs="Calibri" w:eastAsia="Calibri" w:hAnsi="Calibri"/>
                <w:sz w:val="18"/>
                <w:szCs w:val="18"/>
                <w:color w:val="0000EE"/>
              </w:rPr>
              <w:t>Ended December 31, 2025 As Described In The Proxy Statement</w:t>
            </w:r>
          </w:p>
        </w:tc>
        <w:tc>
          <w:tcPr>
            <w:tcW w:w="14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42</w:t>
            </w:r>
          </w:p>
        </w:tc>
      </w:tr>
      <w:tr>
        <w:trPr>
          <w:trHeight w:val="20"/>
        </w:trPr>
        <w:tc>
          <w:tcPr>
            <w:tcW w:w="54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1"/>
        </w:trPr>
        <w:tc>
          <w:tcPr>
            <w:tcW w:w="5600" w:type="dxa"/>
            <w:vAlign w:val="bottom"/>
            <w:tcBorders>
              <w:bottom w:val="single" w:sz="8" w:color="0000EE"/>
            </w:tcBorders>
            <w:gridSpan w:val="37"/>
          </w:tcPr>
          <w:p>
            <w:pPr>
              <w:spacing w:after="0"/>
              <w:rPr>
                <w:sz w:val="20"/>
                <w:szCs w:val="20"/>
                <w:color w:val="auto"/>
              </w:rPr>
            </w:pPr>
            <w:r>
              <w:rPr>
                <w:rFonts w:ascii="Calibri" w:cs="Calibri" w:eastAsia="Calibri" w:hAnsi="Calibri"/>
                <w:sz w:val="18"/>
                <w:szCs w:val="18"/>
                <w:b w:val="1"/>
                <w:bCs w:val="1"/>
                <w:color w:val="0000EE"/>
                <w:w w:val="95"/>
              </w:rPr>
              <w:t>SECURITY OWNERSHIP OF CERTAIN BENEFICIAL OWNERS AND MANAGEMENT</w:t>
            </w:r>
          </w:p>
        </w:tc>
        <w:tc>
          <w:tcPr>
            <w:tcW w:w="488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333333"/>
              </w:rPr>
              <w:t>44</w:t>
            </w:r>
          </w:p>
        </w:tc>
      </w:tr>
      <w:tr>
        <w:trPr>
          <w:trHeight w:val="301"/>
        </w:trPr>
        <w:tc>
          <w:tcPr>
            <w:tcW w:w="10480" w:type="dxa"/>
            <w:vAlign w:val="bottom"/>
            <w:gridSpan w:val="44"/>
          </w:tcPr>
          <w:p>
            <w:pPr>
              <w:spacing w:after="0"/>
              <w:rPr>
                <w:sz w:val="20"/>
                <w:szCs w:val="20"/>
                <w:color w:val="auto"/>
              </w:rPr>
            </w:pPr>
            <w:r>
              <w:rPr>
                <w:rFonts w:ascii="Calibri" w:cs="Calibri" w:eastAsia="Calibri" w:hAnsi="Calibri"/>
                <w:sz w:val="18"/>
                <w:szCs w:val="18"/>
                <w:b w:val="1"/>
                <w:bCs w:val="1"/>
                <w:color w:val="0000EE"/>
              </w:rPr>
              <w:t>INFORMATION ABOUT OUR EXECUTIVE OFFICERS AND COMPENSATION</w:t>
            </w:r>
          </w:p>
        </w:tc>
        <w:tc>
          <w:tcPr>
            <w:tcW w:w="400" w:type="dxa"/>
            <w:vAlign w:val="bottom"/>
          </w:tcPr>
          <w:p>
            <w:pPr>
              <w:jc w:val="right"/>
              <w:spacing w:after="0"/>
              <w:rPr>
                <w:sz w:val="20"/>
                <w:szCs w:val="20"/>
                <w:color w:val="auto"/>
              </w:rPr>
            </w:pPr>
            <w:r>
              <w:rPr>
                <w:rFonts w:ascii="Calibri" w:cs="Calibri" w:eastAsia="Calibri" w:hAnsi="Calibri"/>
                <w:sz w:val="18"/>
                <w:szCs w:val="18"/>
                <w:color w:val="333333"/>
              </w:rPr>
              <w:t>48</w:t>
            </w:r>
          </w:p>
        </w:tc>
      </w:tr>
      <w:tr>
        <w:trPr>
          <w:trHeight w:val="194"/>
        </w:trPr>
        <w:tc>
          <w:tcPr>
            <w:tcW w:w="360" w:type="dxa"/>
            <w:vAlign w:val="bottom"/>
            <w:tcBorders>
              <w:top w:val="single" w:sz="8" w:color="0000EE"/>
            </w:tcBorders>
          </w:tcPr>
          <w:p>
            <w:pPr>
              <w:spacing w:after="0"/>
              <w:rPr>
                <w:sz w:val="16"/>
                <w:szCs w:val="16"/>
                <w:color w:val="auto"/>
              </w:rPr>
            </w:pPr>
          </w:p>
        </w:tc>
        <w:tc>
          <w:tcPr>
            <w:tcW w:w="3640" w:type="dxa"/>
            <w:vAlign w:val="bottom"/>
            <w:tcBorders>
              <w:top w:val="single" w:sz="8" w:color="0000EE"/>
              <w:bottom w:val="single" w:sz="8" w:color="0000EE"/>
            </w:tcBorders>
            <w:gridSpan w:val="27"/>
          </w:tcPr>
          <w:p>
            <w:pPr>
              <w:spacing w:after="0" w:line="194" w:lineRule="exact"/>
              <w:rPr>
                <w:sz w:val="20"/>
                <w:szCs w:val="20"/>
                <w:color w:val="auto"/>
              </w:rPr>
            </w:pPr>
            <w:r>
              <w:rPr>
                <w:rFonts w:ascii="Calibri" w:cs="Calibri" w:eastAsia="Calibri" w:hAnsi="Calibri"/>
                <w:sz w:val="18"/>
                <w:szCs w:val="18"/>
                <w:color w:val="0000EE"/>
                <w:w w:val="99"/>
              </w:rPr>
              <w:t>Non-Director Executve Ofcers And Key Employees</w:t>
            </w:r>
          </w:p>
        </w:tc>
        <w:tc>
          <w:tcPr>
            <w:tcW w:w="1140" w:type="dxa"/>
            <w:vAlign w:val="bottom"/>
            <w:tcBorders>
              <w:top w:val="single" w:sz="8" w:color="0000EE"/>
            </w:tcBorders>
            <w:gridSpan w:val="8"/>
          </w:tcPr>
          <w:p>
            <w:pPr>
              <w:spacing w:after="0"/>
              <w:rPr>
                <w:sz w:val="16"/>
                <w:szCs w:val="16"/>
                <w:color w:val="auto"/>
              </w:rPr>
            </w:pPr>
          </w:p>
        </w:tc>
        <w:tc>
          <w:tcPr>
            <w:tcW w:w="5340" w:type="dxa"/>
            <w:vAlign w:val="bottom"/>
            <w:gridSpan w:val="8"/>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48</w:t>
            </w:r>
          </w:p>
        </w:tc>
      </w:tr>
      <w:tr>
        <w:trPr>
          <w:trHeight w:val="194"/>
        </w:trPr>
        <w:tc>
          <w:tcPr>
            <w:tcW w:w="360" w:type="dxa"/>
            <w:vAlign w:val="bottom"/>
          </w:tcPr>
          <w:p>
            <w:pPr>
              <w:spacing w:after="0"/>
              <w:rPr>
                <w:sz w:val="16"/>
                <w:szCs w:val="16"/>
                <w:color w:val="auto"/>
              </w:rPr>
            </w:pPr>
          </w:p>
        </w:tc>
        <w:tc>
          <w:tcPr>
            <w:tcW w:w="2740" w:type="dxa"/>
            <w:vAlign w:val="bottom"/>
            <w:tcBorders>
              <w:bottom w:val="single" w:sz="8" w:color="0000EE"/>
            </w:tcBorders>
            <w:gridSpan w:val="22"/>
          </w:tcPr>
          <w:p>
            <w:pPr>
              <w:spacing w:after="0" w:line="194" w:lineRule="exact"/>
              <w:rPr>
                <w:sz w:val="20"/>
                <w:szCs w:val="20"/>
                <w:color w:val="auto"/>
              </w:rPr>
            </w:pPr>
            <w:r>
              <w:rPr>
                <w:rFonts w:ascii="Calibri" w:cs="Calibri" w:eastAsia="Calibri" w:hAnsi="Calibri"/>
                <w:sz w:val="18"/>
                <w:szCs w:val="18"/>
                <w:color w:val="0000EE"/>
                <w:w w:val="97"/>
              </w:rPr>
              <w:t>Compensaton Discussion And Analysis</w:t>
            </w:r>
          </w:p>
        </w:tc>
        <w:tc>
          <w:tcPr>
            <w:tcW w:w="7380" w:type="dxa"/>
            <w:vAlign w:val="bottom"/>
            <w:gridSpan w:val="21"/>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49</w:t>
            </w:r>
          </w:p>
        </w:tc>
      </w:tr>
      <w:tr>
        <w:trPr>
          <w:trHeight w:val="194"/>
        </w:trPr>
        <w:tc>
          <w:tcPr>
            <w:tcW w:w="360" w:type="dxa"/>
            <w:vAlign w:val="bottom"/>
          </w:tcPr>
          <w:p>
            <w:pPr>
              <w:spacing w:after="0"/>
              <w:rPr>
                <w:sz w:val="16"/>
                <w:szCs w:val="16"/>
                <w:color w:val="auto"/>
              </w:rPr>
            </w:pPr>
          </w:p>
        </w:tc>
        <w:tc>
          <w:tcPr>
            <w:tcW w:w="4740" w:type="dxa"/>
            <w:vAlign w:val="bottom"/>
            <w:tcBorders>
              <w:bottom w:val="single" w:sz="8" w:color="0000EE"/>
            </w:tcBorders>
            <w:gridSpan w:val="34"/>
          </w:tcPr>
          <w:p>
            <w:pPr>
              <w:spacing w:after="0" w:line="194" w:lineRule="exact"/>
              <w:rPr>
                <w:sz w:val="20"/>
                <w:szCs w:val="20"/>
                <w:color w:val="auto"/>
              </w:rPr>
            </w:pPr>
            <w:r>
              <w:rPr>
                <w:rFonts w:ascii="Calibri" w:cs="Calibri" w:eastAsia="Calibri" w:hAnsi="Calibri"/>
                <w:sz w:val="18"/>
                <w:szCs w:val="18"/>
                <w:color w:val="0000EE"/>
                <w:w w:val="98"/>
              </w:rPr>
              <w:t>Report Of The Compensaton Commitee Of The Board Of Directors</w:t>
            </w:r>
          </w:p>
        </w:tc>
        <w:tc>
          <w:tcPr>
            <w:tcW w:w="5380" w:type="dxa"/>
            <w:vAlign w:val="bottom"/>
            <w:gridSpan w:val="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84</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Summary Compensaton Table</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85</w:t>
            </w:r>
          </w:p>
        </w:tc>
      </w:tr>
      <w:tr>
        <w:trPr>
          <w:trHeight w:val="194"/>
        </w:trPr>
        <w:tc>
          <w:tcPr>
            <w:tcW w:w="360" w:type="dxa"/>
            <w:vAlign w:val="bottom"/>
          </w:tcPr>
          <w:p>
            <w:pPr>
              <w:spacing w:after="0"/>
              <w:rPr>
                <w:sz w:val="16"/>
                <w:szCs w:val="16"/>
                <w:color w:val="auto"/>
              </w:rPr>
            </w:pPr>
          </w:p>
        </w:tc>
        <w:tc>
          <w:tcPr>
            <w:tcW w:w="2140" w:type="dxa"/>
            <w:vAlign w:val="bottom"/>
            <w:tcBorders>
              <w:top w:val="single" w:sz="8" w:color="0000EE"/>
            </w:tcBorders>
            <w:gridSpan w:val="14"/>
          </w:tcPr>
          <w:p>
            <w:pPr>
              <w:spacing w:after="0" w:line="194" w:lineRule="exact"/>
              <w:rPr>
                <w:sz w:val="20"/>
                <w:szCs w:val="20"/>
                <w:color w:val="auto"/>
              </w:rPr>
            </w:pPr>
            <w:r>
              <w:rPr>
                <w:rFonts w:ascii="Calibri" w:cs="Calibri" w:eastAsia="Calibri" w:hAnsi="Calibri"/>
                <w:sz w:val="18"/>
                <w:szCs w:val="18"/>
                <w:color w:val="0000EE"/>
              </w:rPr>
              <w:t>Equity Compensaton Plans</w:t>
            </w:r>
          </w:p>
        </w:tc>
        <w:tc>
          <w:tcPr>
            <w:tcW w:w="7980" w:type="dxa"/>
            <w:vAlign w:val="bottom"/>
            <w:gridSpan w:val="2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88</w:t>
            </w:r>
          </w:p>
        </w:tc>
      </w:tr>
      <w:tr>
        <w:trPr>
          <w:trHeight w:val="20"/>
        </w:trPr>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Pay Versus Performance Disclosure</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94</w:t>
            </w:r>
          </w:p>
        </w:tc>
      </w:tr>
      <w:tr>
        <w:trPr>
          <w:trHeight w:val="20"/>
        </w:trPr>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80" w:type="dxa"/>
            <w:vAlign w:val="bottom"/>
            <w:gridSpan w:val="1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5360" w:type="dxa"/>
            <w:vAlign w:val="bottom"/>
            <w:tcBorders>
              <w:bottom w:val="single" w:sz="8" w:color="0000EE"/>
            </w:tcBorders>
            <w:gridSpan w:val="37"/>
          </w:tcPr>
          <w:p>
            <w:pPr>
              <w:spacing w:after="0" w:line="194" w:lineRule="exact"/>
              <w:rPr>
                <w:sz w:val="20"/>
                <w:szCs w:val="20"/>
                <w:color w:val="auto"/>
              </w:rPr>
            </w:pPr>
            <w:r>
              <w:rPr>
                <w:rFonts w:ascii="Calibri" w:cs="Calibri" w:eastAsia="Calibri" w:hAnsi="Calibri"/>
                <w:sz w:val="18"/>
                <w:szCs w:val="18"/>
                <w:color w:val="0000EE"/>
                <w:w w:val="96"/>
              </w:rPr>
              <w:t>Employment Agreements And Terminaton And Change In Control Payments</w:t>
            </w:r>
          </w:p>
        </w:tc>
        <w:tc>
          <w:tcPr>
            <w:tcW w:w="4760" w:type="dxa"/>
            <w:vAlign w:val="bottom"/>
            <w:gridSpan w:val="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98</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CEO Pay Rato</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104</w:t>
            </w:r>
          </w:p>
        </w:tc>
      </w:tr>
      <w:tr>
        <w:trPr>
          <w:trHeight w:val="20"/>
        </w:trPr>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98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1"/>
        </w:trPr>
        <w:tc>
          <w:tcPr>
            <w:tcW w:w="4500" w:type="dxa"/>
            <w:vAlign w:val="bottom"/>
            <w:tcBorders>
              <w:bottom w:val="single" w:sz="8" w:color="0000EE"/>
            </w:tcBorders>
            <w:gridSpan w:val="30"/>
          </w:tcPr>
          <w:p>
            <w:pPr>
              <w:spacing w:after="0"/>
              <w:rPr>
                <w:sz w:val="20"/>
                <w:szCs w:val="20"/>
                <w:color w:val="auto"/>
              </w:rPr>
            </w:pPr>
            <w:r>
              <w:rPr>
                <w:rFonts w:ascii="Calibri" w:cs="Calibri" w:eastAsia="Calibri" w:hAnsi="Calibri"/>
                <w:sz w:val="18"/>
                <w:szCs w:val="18"/>
                <w:b w:val="1"/>
                <w:bCs w:val="1"/>
                <w:color w:val="0000EE"/>
                <w:w w:val="95"/>
              </w:rPr>
              <w:t>CERTAIN RELATIONSHIPS AND RELATED-PARTY TRANSACTIONS</w:t>
            </w:r>
          </w:p>
        </w:tc>
        <w:tc>
          <w:tcPr>
            <w:tcW w:w="598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Calibri" w:cs="Calibri" w:eastAsia="Calibri" w:hAnsi="Calibri"/>
                <w:sz w:val="18"/>
                <w:szCs w:val="18"/>
                <w:color w:val="333333"/>
              </w:rPr>
              <w:t>105</w:t>
            </w:r>
          </w:p>
        </w:tc>
      </w:tr>
      <w:tr>
        <w:trPr>
          <w:trHeight w:val="194"/>
        </w:trPr>
        <w:tc>
          <w:tcPr>
            <w:tcW w:w="360" w:type="dxa"/>
            <w:vAlign w:val="bottom"/>
          </w:tcPr>
          <w:p>
            <w:pPr>
              <w:spacing w:after="0"/>
              <w:rPr>
                <w:sz w:val="16"/>
                <w:szCs w:val="16"/>
                <w:color w:val="auto"/>
              </w:rPr>
            </w:pPr>
          </w:p>
        </w:tc>
        <w:tc>
          <w:tcPr>
            <w:tcW w:w="10120" w:type="dxa"/>
            <w:vAlign w:val="bottom"/>
            <w:gridSpan w:val="43"/>
          </w:tcPr>
          <w:p>
            <w:pPr>
              <w:spacing w:after="0" w:line="194" w:lineRule="exact"/>
              <w:rPr>
                <w:sz w:val="20"/>
                <w:szCs w:val="20"/>
                <w:color w:val="auto"/>
              </w:rPr>
            </w:pPr>
            <w:r>
              <w:rPr>
                <w:rFonts w:ascii="Calibri" w:cs="Calibri" w:eastAsia="Calibri" w:hAnsi="Calibri"/>
                <w:sz w:val="18"/>
                <w:szCs w:val="18"/>
                <w:color w:val="0000EE"/>
              </w:rPr>
              <w:t>Review And Approval Of Related-Party Transactons</w:t>
            </w: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105</w:t>
            </w:r>
          </w:p>
        </w:tc>
      </w:tr>
      <w:tr>
        <w:trPr>
          <w:trHeight w:val="194"/>
        </w:trPr>
        <w:tc>
          <w:tcPr>
            <w:tcW w:w="360" w:type="dxa"/>
            <w:vAlign w:val="bottom"/>
          </w:tcPr>
          <w:p>
            <w:pPr>
              <w:spacing w:after="0"/>
              <w:rPr>
                <w:sz w:val="16"/>
                <w:szCs w:val="16"/>
                <w:color w:val="auto"/>
              </w:rPr>
            </w:pPr>
          </w:p>
        </w:tc>
        <w:tc>
          <w:tcPr>
            <w:tcW w:w="3620" w:type="dxa"/>
            <w:vAlign w:val="bottom"/>
            <w:tcBorders>
              <w:top w:val="single" w:sz="8" w:color="0000EE"/>
            </w:tcBorders>
            <w:gridSpan w:val="26"/>
          </w:tcPr>
          <w:p>
            <w:pPr>
              <w:spacing w:after="0" w:line="194" w:lineRule="exact"/>
              <w:rPr>
                <w:sz w:val="20"/>
                <w:szCs w:val="20"/>
                <w:color w:val="auto"/>
              </w:rPr>
            </w:pPr>
            <w:r>
              <w:rPr>
                <w:rFonts w:ascii="Calibri" w:cs="Calibri" w:eastAsia="Calibri" w:hAnsi="Calibri"/>
                <w:sz w:val="18"/>
                <w:szCs w:val="18"/>
                <w:color w:val="0000EE"/>
              </w:rPr>
              <w:t>2025 Related-Party Transactons</w:t>
            </w:r>
          </w:p>
        </w:tc>
        <w:tc>
          <w:tcPr>
            <w:tcW w:w="6500" w:type="dxa"/>
            <w:vAlign w:val="bottom"/>
            <w:gridSpan w:val="17"/>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Calibri" w:cs="Calibri" w:eastAsia="Calibri" w:hAnsi="Calibri"/>
                <w:sz w:val="18"/>
                <w:szCs w:val="18"/>
                <w:color w:val="333333"/>
              </w:rPr>
              <w:t>105</w:t>
            </w:r>
          </w:p>
        </w:tc>
      </w:tr>
      <w:tr>
        <w:trPr>
          <w:trHeight w:val="20"/>
        </w:trPr>
        <w:tc>
          <w:tcPr>
            <w:tcW w:w="360" w:type="dxa"/>
            <w:vAlign w:val="bottom"/>
          </w:tcPr>
          <w:p>
            <w:pPr>
              <w:spacing w:after="0" w:line="20" w:lineRule="exact"/>
              <w:rPr>
                <w:sz w:val="1"/>
                <w:szCs w:val="1"/>
                <w:color w:val="auto"/>
              </w:rPr>
            </w:pPr>
          </w:p>
        </w:tc>
        <w:tc>
          <w:tcPr>
            <w:tcW w:w="2260" w:type="dxa"/>
            <w:vAlign w:val="bottom"/>
            <w:gridSpan w:val="16"/>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740" w:type="dxa"/>
            <w:vAlign w:val="bottom"/>
            <w:gridSpan w:val="2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1"/>
        </w:trPr>
        <w:tc>
          <w:tcPr>
            <w:tcW w:w="10480" w:type="dxa"/>
            <w:vAlign w:val="bottom"/>
            <w:gridSpan w:val="44"/>
          </w:tcPr>
          <w:p>
            <w:pPr>
              <w:spacing w:after="0"/>
              <w:rPr>
                <w:sz w:val="20"/>
                <w:szCs w:val="20"/>
                <w:color w:val="auto"/>
              </w:rPr>
            </w:pPr>
            <w:r>
              <w:rPr>
                <w:rFonts w:ascii="Calibri" w:cs="Calibri" w:eastAsia="Calibri" w:hAnsi="Calibri"/>
                <w:sz w:val="18"/>
                <w:szCs w:val="18"/>
                <w:b w:val="1"/>
                <w:bCs w:val="1"/>
                <w:color w:val="0000EE"/>
              </w:rPr>
              <w:t>DELINQUENT SECTION 16(A) REPORTS</w:t>
            </w:r>
          </w:p>
        </w:tc>
        <w:tc>
          <w:tcPr>
            <w:tcW w:w="400" w:type="dxa"/>
            <w:vAlign w:val="bottom"/>
          </w:tcPr>
          <w:p>
            <w:pPr>
              <w:jc w:val="right"/>
              <w:spacing w:after="0"/>
              <w:rPr>
                <w:sz w:val="20"/>
                <w:szCs w:val="20"/>
                <w:color w:val="auto"/>
              </w:rPr>
            </w:pPr>
            <w:r>
              <w:rPr>
                <w:rFonts w:ascii="Calibri" w:cs="Calibri" w:eastAsia="Calibri" w:hAnsi="Calibri"/>
                <w:sz w:val="18"/>
                <w:szCs w:val="18"/>
                <w:color w:val="333333"/>
              </w:rPr>
              <w:t>107</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040"/>
          </w:cols>
          <w:pgMar w:left="320" w:top="478" w:right="5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5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95"/>
        </w:trPr>
        <w:tc>
          <w:tcPr>
            <w:tcW w:w="160" w:type="dxa"/>
            <w:vAlign w:val="bottom"/>
          </w:tcPr>
          <w:p>
            <w:pPr>
              <w:spacing w:after="0"/>
              <w:rPr>
                <w:sz w:val="24"/>
                <w:szCs w:val="24"/>
                <w:color w:val="auto"/>
              </w:rPr>
            </w:pPr>
          </w:p>
        </w:tc>
        <w:tc>
          <w:tcPr>
            <w:tcW w:w="3260" w:type="dxa"/>
            <w:vAlign w:val="bottom"/>
            <w:tcBorders>
              <w:bottom w:val="single" w:sz="8" w:color="0000EE"/>
            </w:tcBorders>
            <w:gridSpan w:val="4"/>
          </w:tcPr>
          <w:p>
            <w:pPr>
              <w:spacing w:after="0"/>
              <w:rPr>
                <w:sz w:val="20"/>
                <w:szCs w:val="20"/>
                <w:color w:val="auto"/>
              </w:rPr>
            </w:pPr>
            <w:r>
              <w:rPr>
                <w:rFonts w:ascii="Calibri" w:cs="Calibri" w:eastAsia="Calibri" w:hAnsi="Calibri"/>
                <w:sz w:val="18"/>
                <w:szCs w:val="18"/>
                <w:b w:val="1"/>
                <w:bCs w:val="1"/>
                <w:color w:val="0000EE"/>
                <w:w w:val="95"/>
              </w:rPr>
              <w:t>PRINCIPAL ACCOUNTANT FEES AND SERVICES</w:t>
            </w:r>
          </w:p>
        </w:tc>
        <w:tc>
          <w:tcPr>
            <w:tcW w:w="710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Calibri" w:cs="Calibri" w:eastAsia="Calibri" w:hAnsi="Calibri"/>
                <w:sz w:val="18"/>
                <w:szCs w:val="18"/>
                <w:color w:val="333333"/>
              </w:rPr>
              <w:t>108</w:t>
            </w:r>
          </w:p>
        </w:tc>
      </w:tr>
      <w:tr>
        <w:trPr>
          <w:trHeight w:val="301"/>
        </w:trPr>
        <w:tc>
          <w:tcPr>
            <w:tcW w:w="16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Calibri" w:cs="Calibri" w:eastAsia="Calibri" w:hAnsi="Calibri"/>
                <w:sz w:val="18"/>
                <w:szCs w:val="18"/>
                <w:b w:val="1"/>
                <w:bCs w:val="1"/>
                <w:color w:val="0000EE"/>
              </w:rPr>
              <w:t>REPORT OF THE AUDIT COMMITTEE OF THE BOARD OF DIRECTORS</w:t>
            </w:r>
          </w:p>
        </w:tc>
        <w:tc>
          <w:tcPr>
            <w:tcW w:w="520" w:type="dxa"/>
            <w:vAlign w:val="bottom"/>
          </w:tcPr>
          <w:p>
            <w:pPr>
              <w:jc w:val="right"/>
              <w:spacing w:after="0"/>
              <w:rPr>
                <w:sz w:val="20"/>
                <w:szCs w:val="20"/>
                <w:color w:val="auto"/>
              </w:rPr>
            </w:pPr>
            <w:r>
              <w:rPr>
                <w:rFonts w:ascii="Calibri" w:cs="Calibri" w:eastAsia="Calibri" w:hAnsi="Calibri"/>
                <w:sz w:val="18"/>
                <w:szCs w:val="18"/>
                <w:color w:val="333333"/>
              </w:rPr>
              <w:t>109</w:t>
            </w:r>
          </w:p>
        </w:tc>
      </w:tr>
      <w:tr>
        <w:trPr>
          <w:trHeight w:val="301"/>
        </w:trPr>
        <w:tc>
          <w:tcPr>
            <w:tcW w:w="160" w:type="dxa"/>
            <w:vAlign w:val="bottom"/>
          </w:tcPr>
          <w:p>
            <w:pPr>
              <w:spacing w:after="0"/>
              <w:rPr>
                <w:sz w:val="24"/>
                <w:szCs w:val="24"/>
                <w:color w:val="auto"/>
              </w:rPr>
            </w:pPr>
          </w:p>
        </w:tc>
        <w:tc>
          <w:tcPr>
            <w:tcW w:w="4780" w:type="dxa"/>
            <w:vAlign w:val="bottom"/>
            <w:tcBorders>
              <w:top w:val="single" w:sz="8" w:color="0000EE"/>
            </w:tcBorders>
            <w:gridSpan w:val="6"/>
          </w:tcPr>
          <w:p>
            <w:pPr>
              <w:spacing w:after="0"/>
              <w:rPr>
                <w:sz w:val="20"/>
                <w:szCs w:val="20"/>
                <w:color w:val="auto"/>
              </w:rPr>
            </w:pPr>
            <w:r>
              <w:rPr>
                <w:rFonts w:ascii="Calibri" w:cs="Calibri" w:eastAsia="Calibri" w:hAnsi="Calibri"/>
                <w:sz w:val="18"/>
                <w:szCs w:val="18"/>
                <w:b w:val="1"/>
                <w:bCs w:val="1"/>
                <w:color w:val="0000EE"/>
                <w:w w:val="97"/>
              </w:rPr>
              <w:t>PROPOSALS FOR THE 2027 ANNUAL MEETING OF SHAREHOLDERS</w:t>
            </w:r>
          </w:p>
        </w:tc>
        <w:tc>
          <w:tcPr>
            <w:tcW w:w="55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Calibri" w:cs="Calibri" w:eastAsia="Calibri" w:hAnsi="Calibri"/>
                <w:sz w:val="18"/>
                <w:szCs w:val="18"/>
                <w:color w:val="333333"/>
              </w:rPr>
              <w:t>111</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1"/>
        </w:trPr>
        <w:tc>
          <w:tcPr>
            <w:tcW w:w="16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Calibri" w:cs="Calibri" w:eastAsia="Calibri" w:hAnsi="Calibri"/>
                <w:sz w:val="18"/>
                <w:szCs w:val="18"/>
                <w:b w:val="1"/>
                <w:bCs w:val="1"/>
                <w:color w:val="0000EE"/>
              </w:rPr>
              <w:t>APPENDIX A — DEFINITIONS AND RECONCILIATIONS OF NON-GAAP TO THE MOST DIRECTLY COMPARABLE GAAP FINANCIAL MEASURES</w:t>
            </w:r>
          </w:p>
        </w:tc>
        <w:tc>
          <w:tcPr>
            <w:tcW w:w="520" w:type="dxa"/>
            <w:vAlign w:val="bottom"/>
          </w:tcPr>
          <w:p>
            <w:pPr>
              <w:jc w:val="right"/>
              <w:spacing w:after="0"/>
              <w:rPr>
                <w:sz w:val="20"/>
                <w:szCs w:val="20"/>
                <w:color w:val="auto"/>
              </w:rPr>
            </w:pPr>
            <w:r>
              <w:rPr>
                <w:rFonts w:ascii="Calibri" w:cs="Calibri" w:eastAsia="Calibri" w:hAnsi="Calibri"/>
                <w:sz w:val="18"/>
                <w:szCs w:val="18"/>
                <w:color w:val="333333"/>
              </w:rPr>
              <w:t>A-1</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4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1"/>
        </w:trPr>
        <w:tc>
          <w:tcPr>
            <w:tcW w:w="16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Calibri" w:cs="Calibri" w:eastAsia="Calibri" w:hAnsi="Calibri"/>
                <w:sz w:val="18"/>
                <w:szCs w:val="18"/>
                <w:b w:val="1"/>
                <w:bCs w:val="1"/>
                <w:color w:val="0000EE"/>
              </w:rPr>
              <w:t>APPENDIX B — DEFINITIONS OF ADJUSTED EPS AND ADJUSTED EBITDA FOR PURPOSES OF CALCULATING ANNUAL INCENTIVE PAY FOR THE</w:t>
            </w:r>
          </w:p>
        </w:tc>
        <w:tc>
          <w:tcPr>
            <w:tcW w:w="52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740" w:type="dxa"/>
            <w:vAlign w:val="bottom"/>
            <w:tcBorders>
              <w:top w:val="single" w:sz="8" w:color="0000EE"/>
            </w:tcBorders>
            <w:gridSpan w:val="8"/>
          </w:tcPr>
          <w:p>
            <w:pPr>
              <w:spacing w:after="0" w:line="194" w:lineRule="exact"/>
              <w:rPr>
                <w:sz w:val="20"/>
                <w:szCs w:val="20"/>
                <w:color w:val="auto"/>
              </w:rPr>
            </w:pPr>
            <w:r>
              <w:rPr>
                <w:rFonts w:ascii="Calibri" w:cs="Calibri" w:eastAsia="Calibri" w:hAnsi="Calibri"/>
                <w:sz w:val="18"/>
                <w:szCs w:val="18"/>
                <w:b w:val="1"/>
                <w:bCs w:val="1"/>
                <w:color w:val="0000EE"/>
              </w:rPr>
              <w:t>BONUS YEAR ENDED DECEMBER 31, 2025 AND RECONCILIATIONS TO THE MOST DIRECTLY COMPARABLE GAAP MEASURES</w:t>
            </w:r>
          </w:p>
        </w:tc>
        <w:tc>
          <w:tcPr>
            <w:tcW w:w="440" w:type="dxa"/>
            <w:vAlign w:val="bottom"/>
            <w:gridSpan w:val="2"/>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Calibri" w:cs="Calibri" w:eastAsia="Calibri" w:hAnsi="Calibri"/>
                <w:sz w:val="18"/>
                <w:szCs w:val="18"/>
                <w:color w:val="333333"/>
              </w:rPr>
              <w:t>B-1</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46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1"/>
        </w:trPr>
        <w:tc>
          <w:tcPr>
            <w:tcW w:w="16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Calibri" w:cs="Calibri" w:eastAsia="Calibri" w:hAnsi="Calibri"/>
                <w:sz w:val="18"/>
                <w:szCs w:val="18"/>
                <w:b w:val="1"/>
                <w:bCs w:val="1"/>
                <w:color w:val="0000EE"/>
                <w:w w:val="98"/>
              </w:rPr>
              <w:t>APPENDIX C — RECONCILIATIONS OF THE NUMBER OF “EMPLOYEES, EXCLUDING INDEPENDENT CONTRACTORS,” TO THE NUMBER OF “FULL-</w:t>
            </w:r>
          </w:p>
        </w:tc>
        <w:tc>
          <w:tcPr>
            <w:tcW w:w="52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300" w:type="dxa"/>
            <w:vAlign w:val="bottom"/>
            <w:tcBorders>
              <w:top w:val="single" w:sz="8" w:color="0000EE"/>
              <w:bottom w:val="single" w:sz="8" w:color="0000EE"/>
            </w:tcBorders>
            <w:gridSpan w:val="2"/>
          </w:tcPr>
          <w:p>
            <w:pPr>
              <w:spacing w:after="0" w:line="194" w:lineRule="exact"/>
              <w:rPr>
                <w:sz w:val="20"/>
                <w:szCs w:val="20"/>
                <w:color w:val="auto"/>
              </w:rPr>
            </w:pPr>
            <w:r>
              <w:rPr>
                <w:rFonts w:ascii="Calibri" w:cs="Calibri" w:eastAsia="Calibri" w:hAnsi="Calibri"/>
                <w:sz w:val="18"/>
                <w:szCs w:val="18"/>
                <w:b w:val="1"/>
                <w:bCs w:val="1"/>
                <w:color w:val="0000EE"/>
                <w:w w:val="95"/>
              </w:rPr>
              <w:t>TIME EQUIVALENT EMPLOYEES”</w:t>
            </w:r>
          </w:p>
        </w:tc>
        <w:tc>
          <w:tcPr>
            <w:tcW w:w="7620" w:type="dxa"/>
            <w:vAlign w:val="bottom"/>
            <w:tcBorders>
              <w:top w:val="single" w:sz="8" w:color="0000EE"/>
            </w:tcBorders>
            <w:gridSpan w:val="7"/>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Calibri" w:cs="Calibri" w:eastAsia="Calibri" w:hAnsi="Calibri"/>
                <w:sz w:val="18"/>
                <w:szCs w:val="18"/>
                <w:color w:val="333333"/>
              </w:rPr>
              <w:t>C-1</w:t>
            </w:r>
          </w:p>
        </w:tc>
      </w:tr>
    </w:tbl>
    <w:p>
      <w:pPr>
        <w:sectPr>
          <w:pgSz w:w="11900" w:h="16838" w:orient="portrait"/>
          <w:cols w:equalWidth="0" w:num="1">
            <w:col w:w="11040"/>
          </w:cols>
          <w:pgMar w:left="320" w:top="467"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PROXY SUMMARY</w:t>
      </w:r>
    </w:p>
    <w:p>
      <w:pPr>
        <w:spacing w:after="0" w:line="215"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This Proxy Summary highlights certain informaton contained elsewhere in this proxy statement (“Proxy Statement”) for the annual meetng of shareholders to be held on June 3, 2026 (the “Annual Meetng”). This Proxy Summary does not contain all the informaton that you should consider. Please read the entre Proxy Statement carefully before votng or authorizing a proxy to vote on your behalf.</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08"/>
        </w:trPr>
        <w:tc>
          <w:tcPr>
            <w:tcW w:w="5640" w:type="dxa"/>
            <w:vAlign w:val="bottom"/>
          </w:tcPr>
          <w:p>
            <w:pPr>
              <w:spacing w:after="0"/>
              <w:rPr>
                <w:sz w:val="20"/>
                <w:szCs w:val="20"/>
                <w:color w:val="auto"/>
              </w:rPr>
            </w:pPr>
            <w:r>
              <w:rPr>
                <w:rFonts w:ascii="Calibri" w:cs="Calibri" w:eastAsia="Calibri" w:hAnsi="Calibri"/>
                <w:sz w:val="17"/>
                <w:szCs w:val="17"/>
                <w:b w:val="1"/>
                <w:bCs w:val="1"/>
                <w:color w:val="0C3A68"/>
              </w:rPr>
              <w:t>GENERAL INFORMATION</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5640" w:type="dxa"/>
            <w:vAlign w:val="bottom"/>
          </w:tcPr>
          <w:p>
            <w:pPr>
              <w:ind w:left="100"/>
              <w:spacing w:after="0"/>
              <w:rPr>
                <w:sz w:val="20"/>
                <w:szCs w:val="20"/>
                <w:color w:val="auto"/>
              </w:rPr>
            </w:pPr>
            <w:r>
              <w:rPr>
                <w:rFonts w:ascii="Calibri" w:cs="Calibri" w:eastAsia="Calibri" w:hAnsi="Calibri"/>
                <w:sz w:val="17"/>
                <w:szCs w:val="17"/>
                <w:b w:val="1"/>
                <w:bCs w:val="1"/>
                <w:color w:val="333333"/>
              </w:rPr>
              <w:t>Date:</w:t>
            </w:r>
          </w:p>
        </w:tc>
        <w:tc>
          <w:tcPr>
            <w:tcW w:w="5280" w:type="dxa"/>
            <w:vAlign w:val="bottom"/>
          </w:tcPr>
          <w:p>
            <w:pPr>
              <w:ind w:left="160"/>
              <w:spacing w:after="0"/>
              <w:rPr>
                <w:sz w:val="20"/>
                <w:szCs w:val="20"/>
                <w:color w:val="auto"/>
              </w:rPr>
            </w:pPr>
            <w:r>
              <w:rPr>
                <w:rFonts w:ascii="Calibri" w:cs="Calibri" w:eastAsia="Calibri" w:hAnsi="Calibri"/>
                <w:sz w:val="17"/>
                <w:szCs w:val="17"/>
                <w:color w:val="333333"/>
              </w:rPr>
              <w:t>June 3, 2026</w:t>
            </w:r>
          </w:p>
        </w:tc>
        <w:tc>
          <w:tcPr>
            <w:tcW w:w="0" w:type="dxa"/>
            <w:vAlign w:val="bottom"/>
          </w:tcPr>
          <w:p>
            <w:pPr>
              <w:spacing w:after="0"/>
              <w:rPr>
                <w:sz w:val="1"/>
                <w:szCs w:val="1"/>
                <w:color w:val="auto"/>
              </w:rPr>
            </w:pPr>
          </w:p>
        </w:tc>
      </w:tr>
      <w:tr>
        <w:trPr>
          <w:trHeight w:val="78"/>
        </w:trPr>
        <w:tc>
          <w:tcPr>
            <w:tcW w:w="5640" w:type="dxa"/>
            <w:vAlign w:val="bottom"/>
          </w:tcPr>
          <w:p>
            <w:pPr>
              <w:spacing w:after="0"/>
              <w:rPr>
                <w:sz w:val="6"/>
                <w:szCs w:val="6"/>
                <w:color w:val="auto"/>
              </w:rPr>
            </w:pPr>
          </w:p>
        </w:tc>
        <w:tc>
          <w:tcPr>
            <w:tcW w:w="5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Time:</w:t>
            </w:r>
          </w:p>
        </w:tc>
        <w:tc>
          <w:tcPr>
            <w:tcW w:w="5280" w:type="dxa"/>
            <w:vAlign w:val="bottom"/>
            <w:tcBorders>
              <w:bottom w:val="single" w:sz="8" w:color="EFF2EF"/>
            </w:tcBorders>
            <w:shd w:val="clear" w:color="auto" w:fill="EFF2EF"/>
          </w:tcPr>
          <w:p>
            <w:pPr>
              <w:ind w:left="160"/>
              <w:spacing w:after="0" w:line="203" w:lineRule="exact"/>
              <w:rPr>
                <w:sz w:val="20"/>
                <w:szCs w:val="20"/>
                <w:color w:val="auto"/>
              </w:rPr>
            </w:pPr>
            <w:r>
              <w:rPr>
                <w:rFonts w:ascii="Calibri" w:cs="Calibri" w:eastAsia="Calibri" w:hAnsi="Calibri"/>
                <w:sz w:val="17"/>
                <w:szCs w:val="17"/>
                <w:color w:val="333333"/>
              </w:rPr>
              <w:t>9:30 a.m., Eastern Time</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5280" w:type="dxa"/>
            <w:vAlign w:val="bottom"/>
          </w:tcPr>
          <w:p>
            <w:pPr>
              <w:ind w:left="160"/>
              <w:spacing w:after="0" w:line="173" w:lineRule="exact"/>
              <w:rPr>
                <w:sz w:val="20"/>
                <w:szCs w:val="20"/>
                <w:color w:val="auto"/>
              </w:rPr>
            </w:pPr>
            <w:r>
              <w:rPr>
                <w:rFonts w:ascii="Calibri" w:cs="Calibri" w:eastAsia="Calibri" w:hAnsi="Calibri"/>
                <w:sz w:val="17"/>
                <w:szCs w:val="17"/>
                <w:color w:val="333333"/>
              </w:rPr>
              <w:t>FTI Consultng, Inc.</w:t>
            </w:r>
          </w:p>
        </w:tc>
        <w:tc>
          <w:tcPr>
            <w:tcW w:w="0" w:type="dxa"/>
            <w:vAlign w:val="bottom"/>
          </w:tcPr>
          <w:p>
            <w:pPr>
              <w:spacing w:after="0"/>
              <w:rPr>
                <w:sz w:val="1"/>
                <w:szCs w:val="1"/>
                <w:color w:val="auto"/>
              </w:rPr>
            </w:pPr>
          </w:p>
        </w:tc>
      </w:tr>
      <w:tr>
        <w:trPr>
          <w:trHeight w:val="201"/>
        </w:trPr>
        <w:tc>
          <w:tcPr>
            <w:tcW w:w="5640" w:type="dxa"/>
            <w:vAlign w:val="bottom"/>
            <w:vMerge w:val="restart"/>
          </w:tcPr>
          <w:p>
            <w:pPr>
              <w:ind w:left="100"/>
              <w:spacing w:after="0"/>
              <w:rPr>
                <w:sz w:val="20"/>
                <w:szCs w:val="20"/>
                <w:color w:val="auto"/>
              </w:rPr>
            </w:pPr>
            <w:r>
              <w:rPr>
                <w:rFonts w:ascii="Calibri" w:cs="Calibri" w:eastAsia="Calibri" w:hAnsi="Calibri"/>
                <w:sz w:val="17"/>
                <w:szCs w:val="17"/>
                <w:b w:val="1"/>
                <w:bCs w:val="1"/>
                <w:color w:val="333333"/>
              </w:rPr>
              <w:t>Locaton:</w:t>
            </w:r>
          </w:p>
        </w:tc>
        <w:tc>
          <w:tcPr>
            <w:tcW w:w="5280" w:type="dxa"/>
            <w:vAlign w:val="bottom"/>
          </w:tcPr>
          <w:p>
            <w:pPr>
              <w:ind w:left="160"/>
              <w:spacing w:after="0" w:line="201" w:lineRule="exact"/>
              <w:rPr>
                <w:sz w:val="20"/>
                <w:szCs w:val="20"/>
                <w:color w:val="auto"/>
              </w:rPr>
            </w:pPr>
            <w:r>
              <w:rPr>
                <w:rFonts w:ascii="Calibri" w:cs="Calibri" w:eastAsia="Calibri" w:hAnsi="Calibri"/>
                <w:sz w:val="17"/>
                <w:szCs w:val="17"/>
                <w:color w:val="333333"/>
              </w:rPr>
              <w:t>555 12</w:t>
            </w:r>
            <w:r>
              <w:rPr>
                <w:rFonts w:ascii="Calibri" w:cs="Calibri" w:eastAsia="Calibri" w:hAnsi="Calibri"/>
                <w:sz w:val="12"/>
                <w:szCs w:val="12"/>
                <w:color w:val="333333"/>
              </w:rPr>
              <w:t>th</w:t>
            </w:r>
            <w:r>
              <w:rPr>
                <w:rFonts w:ascii="Calibri" w:cs="Calibri" w:eastAsia="Calibri" w:hAnsi="Calibri"/>
                <w:sz w:val="17"/>
                <w:szCs w:val="17"/>
                <w:color w:val="333333"/>
              </w:rPr>
              <w:t xml:space="preserve"> Street NW</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5280" w:type="dxa"/>
            <w:vAlign w:val="bottom"/>
            <w:vMerge w:val="restart"/>
          </w:tcPr>
          <w:p>
            <w:pPr>
              <w:ind w:left="160"/>
              <w:spacing w:after="0" w:line="201" w:lineRule="exact"/>
              <w:rPr>
                <w:sz w:val="20"/>
                <w:szCs w:val="20"/>
                <w:color w:val="auto"/>
              </w:rPr>
            </w:pPr>
            <w:r>
              <w:rPr>
                <w:rFonts w:ascii="Calibri" w:cs="Calibri" w:eastAsia="Calibri" w:hAnsi="Calibri"/>
                <w:sz w:val="17"/>
                <w:szCs w:val="17"/>
                <w:color w:val="333333"/>
              </w:rPr>
              <w:t>Suite 700</w:t>
            </w:r>
          </w:p>
        </w:tc>
        <w:tc>
          <w:tcPr>
            <w:tcW w:w="0" w:type="dxa"/>
            <w:vAlign w:val="bottom"/>
          </w:tcPr>
          <w:p>
            <w:pPr>
              <w:spacing w:after="0"/>
              <w:rPr>
                <w:sz w:val="1"/>
                <w:szCs w:val="1"/>
                <w:color w:val="auto"/>
              </w:rPr>
            </w:pPr>
          </w:p>
        </w:tc>
      </w:tr>
      <w:tr>
        <w:trPr>
          <w:trHeight w:val="91"/>
        </w:trPr>
        <w:tc>
          <w:tcPr>
            <w:tcW w:w="5640" w:type="dxa"/>
            <w:vAlign w:val="bottom"/>
          </w:tcPr>
          <w:p>
            <w:pPr>
              <w:spacing w:after="0"/>
              <w:rPr>
                <w:sz w:val="7"/>
                <w:szCs w:val="7"/>
                <w:color w:val="auto"/>
              </w:rPr>
            </w:pPr>
          </w:p>
        </w:tc>
        <w:tc>
          <w:tcPr>
            <w:tcW w:w="5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5280" w:type="dxa"/>
            <w:vAlign w:val="bottom"/>
          </w:tcPr>
          <w:p>
            <w:pPr>
              <w:ind w:left="160"/>
              <w:spacing w:after="0" w:line="203" w:lineRule="exact"/>
              <w:rPr>
                <w:sz w:val="20"/>
                <w:szCs w:val="20"/>
                <w:color w:val="auto"/>
              </w:rPr>
            </w:pPr>
            <w:r>
              <w:rPr>
                <w:rFonts w:ascii="Calibri" w:cs="Calibri" w:eastAsia="Calibri" w:hAnsi="Calibri"/>
                <w:sz w:val="17"/>
                <w:szCs w:val="17"/>
                <w:color w:val="333333"/>
              </w:rPr>
              <w:t>Washington, D.C. 20004</w:t>
            </w:r>
          </w:p>
        </w:tc>
        <w:tc>
          <w:tcPr>
            <w:tcW w:w="0" w:type="dxa"/>
            <w:vAlign w:val="bottom"/>
          </w:tcPr>
          <w:p>
            <w:pPr>
              <w:spacing w:after="0"/>
              <w:rPr>
                <w:sz w:val="1"/>
                <w:szCs w:val="1"/>
                <w:color w:val="auto"/>
              </w:rPr>
            </w:pPr>
          </w:p>
        </w:tc>
      </w:tr>
      <w:tr>
        <w:trPr>
          <w:trHeight w:val="92"/>
        </w:trPr>
        <w:tc>
          <w:tcPr>
            <w:tcW w:w="56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Record Date:</w:t>
            </w:r>
          </w:p>
        </w:tc>
        <w:tc>
          <w:tcPr>
            <w:tcW w:w="5280" w:type="dxa"/>
            <w:vAlign w:val="bottom"/>
            <w:tcBorders>
              <w:bottom w:val="single" w:sz="8" w:color="EFF2EF"/>
            </w:tcBorders>
            <w:shd w:val="clear" w:color="auto" w:fill="EFF2EF"/>
          </w:tcPr>
          <w:p>
            <w:pPr>
              <w:ind w:left="160"/>
              <w:spacing w:after="0" w:line="203" w:lineRule="exact"/>
              <w:rPr>
                <w:sz w:val="20"/>
                <w:szCs w:val="20"/>
                <w:color w:val="auto"/>
              </w:rPr>
            </w:pPr>
            <w:r>
              <w:rPr>
                <w:rFonts w:ascii="Calibri" w:cs="Calibri" w:eastAsia="Calibri" w:hAnsi="Calibri"/>
                <w:sz w:val="17"/>
                <w:szCs w:val="17"/>
                <w:color w:val="333333"/>
              </w:rPr>
              <w:t>Close of business on March 5, 2026</w:t>
            </w:r>
          </w:p>
        </w:tc>
        <w:tc>
          <w:tcPr>
            <w:tcW w:w="0" w:type="dxa"/>
            <w:vAlign w:val="bottom"/>
          </w:tcPr>
          <w:p>
            <w:pPr>
              <w:spacing w:after="0"/>
              <w:rPr>
                <w:sz w:val="1"/>
                <w:szCs w:val="1"/>
                <w:color w:val="auto"/>
              </w:rPr>
            </w:pPr>
          </w:p>
        </w:tc>
      </w:tr>
      <w:tr>
        <w:trPr>
          <w:trHeight w:val="203"/>
        </w:trPr>
        <w:tc>
          <w:tcPr>
            <w:tcW w:w="564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333333"/>
              </w:rPr>
              <w:t>Stock Symbol:</w:t>
            </w:r>
          </w:p>
        </w:tc>
        <w:tc>
          <w:tcPr>
            <w:tcW w:w="5280" w:type="dxa"/>
            <w:vAlign w:val="bottom"/>
          </w:tcPr>
          <w:p>
            <w:pPr>
              <w:ind w:left="160"/>
              <w:spacing w:after="0" w:line="203" w:lineRule="exact"/>
              <w:rPr>
                <w:sz w:val="20"/>
                <w:szCs w:val="20"/>
                <w:color w:val="auto"/>
              </w:rPr>
            </w:pPr>
            <w:r>
              <w:rPr>
                <w:rFonts w:ascii="Calibri" w:cs="Calibri" w:eastAsia="Calibri" w:hAnsi="Calibri"/>
                <w:sz w:val="17"/>
                <w:szCs w:val="17"/>
                <w:color w:val="333333"/>
              </w:rPr>
              <w:t>FCN</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Exchange:</w:t>
            </w:r>
          </w:p>
        </w:tc>
        <w:tc>
          <w:tcPr>
            <w:tcW w:w="5280" w:type="dxa"/>
            <w:vAlign w:val="bottom"/>
            <w:tcBorders>
              <w:bottom w:val="single" w:sz="8" w:color="EFF2EF"/>
            </w:tcBorders>
            <w:shd w:val="clear" w:color="auto" w:fill="EFF2EF"/>
          </w:tcPr>
          <w:p>
            <w:pPr>
              <w:ind w:left="160"/>
              <w:spacing w:after="0" w:line="203" w:lineRule="exact"/>
              <w:rPr>
                <w:sz w:val="20"/>
                <w:szCs w:val="20"/>
                <w:color w:val="auto"/>
              </w:rPr>
            </w:pPr>
            <w:r>
              <w:rPr>
                <w:rFonts w:ascii="Calibri" w:cs="Calibri" w:eastAsia="Calibri" w:hAnsi="Calibri"/>
                <w:sz w:val="17"/>
                <w:szCs w:val="17"/>
                <w:color w:val="333333"/>
              </w:rPr>
              <w:t>New York Stock Exchange (the “NYSE”)</w:t>
            </w:r>
          </w:p>
        </w:tc>
        <w:tc>
          <w:tcPr>
            <w:tcW w:w="0" w:type="dxa"/>
            <w:vAlign w:val="bottom"/>
          </w:tcPr>
          <w:p>
            <w:pPr>
              <w:spacing w:after="0"/>
              <w:rPr>
                <w:sz w:val="1"/>
                <w:szCs w:val="1"/>
                <w:color w:val="auto"/>
              </w:rPr>
            </w:pPr>
          </w:p>
        </w:tc>
      </w:tr>
      <w:tr>
        <w:trPr>
          <w:trHeight w:val="173"/>
        </w:trPr>
        <w:tc>
          <w:tcPr>
            <w:tcW w:w="5640" w:type="dxa"/>
            <w:vAlign w:val="bottom"/>
          </w:tcPr>
          <w:p>
            <w:pPr>
              <w:ind w:left="100"/>
              <w:spacing w:after="0" w:line="173" w:lineRule="exact"/>
              <w:rPr>
                <w:sz w:val="20"/>
                <w:szCs w:val="20"/>
                <w:color w:val="auto"/>
              </w:rPr>
            </w:pPr>
            <w:r>
              <w:rPr>
                <w:rFonts w:ascii="Calibri" w:cs="Calibri" w:eastAsia="Calibri" w:hAnsi="Calibri"/>
                <w:sz w:val="17"/>
                <w:szCs w:val="17"/>
                <w:b w:val="1"/>
                <w:bCs w:val="1"/>
                <w:color w:val="333333"/>
              </w:rPr>
              <w:t>Common Stock Outstanding as of the Close of Business on the Record Date</w:t>
            </w:r>
          </w:p>
        </w:tc>
        <w:tc>
          <w:tcPr>
            <w:tcW w:w="5280" w:type="dxa"/>
            <w:vAlign w:val="bottom"/>
          </w:tcPr>
          <w:p>
            <w:pPr>
              <w:ind w:left="160"/>
              <w:spacing w:after="0" w:line="173" w:lineRule="exact"/>
              <w:rPr>
                <w:sz w:val="20"/>
                <w:szCs w:val="20"/>
                <w:color w:val="auto"/>
              </w:rPr>
            </w:pPr>
            <w:r>
              <w:rPr>
                <w:rFonts w:ascii="Calibri" w:cs="Calibri" w:eastAsia="Calibri" w:hAnsi="Calibri"/>
                <w:sz w:val="17"/>
                <w:szCs w:val="17"/>
                <w:color w:val="333333"/>
              </w:rPr>
              <w:t>30,118,488 shares of common stock, par value $0.01 per share</w:t>
            </w:r>
          </w:p>
        </w:tc>
        <w:tc>
          <w:tcPr>
            <w:tcW w:w="0" w:type="dxa"/>
            <w:vAlign w:val="bottom"/>
          </w:tcPr>
          <w:p>
            <w:pPr>
              <w:spacing w:after="0"/>
              <w:rPr>
                <w:sz w:val="1"/>
                <w:szCs w:val="1"/>
                <w:color w:val="auto"/>
              </w:rPr>
            </w:pPr>
          </w:p>
        </w:tc>
      </w:tr>
      <w:tr>
        <w:trPr>
          <w:trHeight w:val="203"/>
        </w:trPr>
        <w:tc>
          <w:tcPr>
            <w:tcW w:w="564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333333"/>
              </w:rPr>
              <w:t>Enttled to Vote at the Annual Meetng:</w:t>
            </w:r>
          </w:p>
        </w:tc>
        <w:tc>
          <w:tcPr>
            <w:tcW w:w="5280" w:type="dxa"/>
            <w:vAlign w:val="bottom"/>
          </w:tcPr>
          <w:p>
            <w:pPr>
              <w:ind w:left="160"/>
              <w:spacing w:after="0" w:line="203" w:lineRule="exact"/>
              <w:rPr>
                <w:sz w:val="20"/>
                <w:szCs w:val="20"/>
                <w:color w:val="auto"/>
              </w:rPr>
            </w:pPr>
            <w:r>
              <w:rPr>
                <w:rFonts w:ascii="Calibri" w:cs="Calibri" w:eastAsia="Calibri" w:hAnsi="Calibri"/>
                <w:sz w:val="17"/>
                <w:szCs w:val="17"/>
                <w:color w:val="333333"/>
              </w:rPr>
              <w:t>(“Common Stock”)</w:t>
            </w:r>
          </w:p>
        </w:tc>
        <w:tc>
          <w:tcPr>
            <w:tcW w:w="0" w:type="dxa"/>
            <w:vAlign w:val="bottom"/>
          </w:tcPr>
          <w:p>
            <w:pPr>
              <w:spacing w:after="0"/>
              <w:rPr>
                <w:sz w:val="1"/>
                <w:szCs w:val="1"/>
                <w:color w:val="auto"/>
              </w:rPr>
            </w:pPr>
          </w:p>
        </w:tc>
      </w:tr>
      <w:tr>
        <w:trPr>
          <w:trHeight w:val="78"/>
        </w:trPr>
        <w:tc>
          <w:tcPr>
            <w:tcW w:w="5640" w:type="dxa"/>
            <w:vAlign w:val="bottom"/>
          </w:tcPr>
          <w:p>
            <w:pPr>
              <w:spacing w:after="0"/>
              <w:rPr>
                <w:sz w:val="6"/>
                <w:szCs w:val="6"/>
                <w:color w:val="auto"/>
              </w:rPr>
            </w:pPr>
          </w:p>
        </w:tc>
        <w:tc>
          <w:tcPr>
            <w:tcW w:w="5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Registrar and Transfer Agent:</w:t>
            </w:r>
          </w:p>
        </w:tc>
        <w:tc>
          <w:tcPr>
            <w:tcW w:w="5280" w:type="dxa"/>
            <w:vAlign w:val="bottom"/>
            <w:tcBorders>
              <w:bottom w:val="single" w:sz="8" w:color="EFF2EF"/>
            </w:tcBorders>
            <w:shd w:val="clear" w:color="auto" w:fill="EFF2EF"/>
          </w:tcPr>
          <w:p>
            <w:pPr>
              <w:ind w:left="160"/>
              <w:spacing w:after="0" w:line="203" w:lineRule="exact"/>
              <w:rPr>
                <w:sz w:val="20"/>
                <w:szCs w:val="20"/>
                <w:color w:val="auto"/>
              </w:rPr>
            </w:pPr>
            <w:r>
              <w:rPr>
                <w:rFonts w:ascii="Calibri" w:cs="Calibri" w:eastAsia="Calibri" w:hAnsi="Calibri"/>
                <w:sz w:val="17"/>
                <w:szCs w:val="17"/>
                <w:color w:val="333333"/>
              </w:rPr>
              <w:t>Equinit, LLC</w:t>
            </w:r>
          </w:p>
        </w:tc>
        <w:tc>
          <w:tcPr>
            <w:tcW w:w="0" w:type="dxa"/>
            <w:vAlign w:val="bottom"/>
          </w:tcPr>
          <w:p>
            <w:pPr>
              <w:spacing w:after="0"/>
              <w:rPr>
                <w:sz w:val="1"/>
                <w:szCs w:val="1"/>
                <w:color w:val="auto"/>
              </w:rPr>
            </w:pPr>
          </w:p>
        </w:tc>
      </w:tr>
      <w:tr>
        <w:trPr>
          <w:trHeight w:val="203"/>
        </w:trPr>
        <w:tc>
          <w:tcPr>
            <w:tcW w:w="564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333333"/>
              </w:rPr>
              <w:t>State of Incorporaton:</w:t>
            </w:r>
          </w:p>
        </w:tc>
        <w:tc>
          <w:tcPr>
            <w:tcW w:w="5280" w:type="dxa"/>
            <w:vAlign w:val="bottom"/>
          </w:tcPr>
          <w:p>
            <w:pPr>
              <w:ind w:left="160"/>
              <w:spacing w:after="0" w:line="203" w:lineRule="exact"/>
              <w:rPr>
                <w:sz w:val="20"/>
                <w:szCs w:val="20"/>
                <w:color w:val="auto"/>
              </w:rPr>
            </w:pPr>
            <w:r>
              <w:rPr>
                <w:rFonts w:ascii="Calibri" w:cs="Calibri" w:eastAsia="Calibri" w:hAnsi="Calibri"/>
                <w:sz w:val="17"/>
                <w:szCs w:val="17"/>
                <w:color w:val="333333"/>
              </w:rPr>
              <w:t>Maryland</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Year of Incorporaton:</w:t>
            </w:r>
          </w:p>
        </w:tc>
        <w:tc>
          <w:tcPr>
            <w:tcW w:w="5280" w:type="dxa"/>
            <w:vAlign w:val="bottom"/>
            <w:tcBorders>
              <w:bottom w:val="single" w:sz="8" w:color="EFF2EF"/>
            </w:tcBorders>
            <w:shd w:val="clear" w:color="auto" w:fill="EFF2EF"/>
          </w:tcPr>
          <w:p>
            <w:pPr>
              <w:ind w:left="160"/>
              <w:spacing w:after="0" w:line="203" w:lineRule="exact"/>
              <w:rPr>
                <w:sz w:val="20"/>
                <w:szCs w:val="20"/>
                <w:color w:val="auto"/>
              </w:rPr>
            </w:pPr>
            <w:r>
              <w:rPr>
                <w:rFonts w:ascii="Calibri" w:cs="Calibri" w:eastAsia="Calibri" w:hAnsi="Calibri"/>
                <w:sz w:val="17"/>
                <w:szCs w:val="17"/>
                <w:color w:val="333333"/>
              </w:rPr>
              <w:t>1982</w:t>
            </w:r>
          </w:p>
        </w:tc>
        <w:tc>
          <w:tcPr>
            <w:tcW w:w="0" w:type="dxa"/>
            <w:vAlign w:val="bottom"/>
          </w:tcPr>
          <w:p>
            <w:pPr>
              <w:spacing w:after="0"/>
              <w:rPr>
                <w:sz w:val="1"/>
                <w:szCs w:val="1"/>
                <w:color w:val="auto"/>
              </w:rPr>
            </w:pPr>
          </w:p>
        </w:tc>
      </w:tr>
      <w:tr>
        <w:trPr>
          <w:trHeight w:val="203"/>
        </w:trPr>
        <w:tc>
          <w:tcPr>
            <w:tcW w:w="564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333333"/>
              </w:rPr>
              <w:t>Public Company Since:</w:t>
            </w:r>
          </w:p>
        </w:tc>
        <w:tc>
          <w:tcPr>
            <w:tcW w:w="5280" w:type="dxa"/>
            <w:vAlign w:val="bottom"/>
          </w:tcPr>
          <w:p>
            <w:pPr>
              <w:ind w:left="160"/>
              <w:spacing w:after="0" w:line="203" w:lineRule="exact"/>
              <w:rPr>
                <w:sz w:val="20"/>
                <w:szCs w:val="20"/>
                <w:color w:val="auto"/>
              </w:rPr>
            </w:pPr>
            <w:r>
              <w:rPr>
                <w:rFonts w:ascii="Calibri" w:cs="Calibri" w:eastAsia="Calibri" w:hAnsi="Calibri"/>
                <w:sz w:val="17"/>
                <w:szCs w:val="17"/>
                <w:color w:val="333333"/>
              </w:rPr>
              <w:t>1996</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Corporate Website:</w:t>
            </w:r>
          </w:p>
        </w:tc>
        <w:tc>
          <w:tcPr>
            <w:tcW w:w="5280" w:type="dxa"/>
            <w:vAlign w:val="bottom"/>
            <w:tcBorders>
              <w:bottom w:val="single" w:sz="8" w:color="EFF2EF"/>
            </w:tcBorders>
            <w:shd w:val="clear" w:color="auto" w:fill="EFF2EF"/>
          </w:tcPr>
          <w:p>
            <w:pPr>
              <w:ind w:left="160"/>
              <w:spacing w:after="0" w:line="203" w:lineRule="exact"/>
              <w:rPr>
                <w:sz w:val="20"/>
                <w:szCs w:val="20"/>
                <w:color w:val="auto"/>
              </w:rPr>
            </w:pPr>
            <w:r>
              <w:rPr>
                <w:rFonts w:ascii="Calibri" w:cs="Calibri" w:eastAsia="Calibri" w:hAnsi="Calibri"/>
                <w:sz w:val="17"/>
                <w:szCs w:val="17"/>
                <w:color w:val="0591DB"/>
              </w:rPr>
              <w:t>www.ficonsultng.com</w:t>
            </w:r>
          </w:p>
        </w:tc>
        <w:tc>
          <w:tcPr>
            <w:tcW w:w="0" w:type="dxa"/>
            <w:vAlign w:val="bottom"/>
          </w:tcPr>
          <w:p>
            <w:pPr>
              <w:spacing w:after="0"/>
              <w:rPr>
                <w:sz w:val="1"/>
                <w:szCs w:val="1"/>
                <w:color w:val="auto"/>
              </w:rPr>
            </w:pPr>
          </w:p>
        </w:tc>
      </w:tr>
      <w:tr>
        <w:trPr>
          <w:trHeight w:val="390"/>
        </w:trPr>
        <w:tc>
          <w:tcPr>
            <w:tcW w:w="5640" w:type="dxa"/>
            <w:vAlign w:val="bottom"/>
          </w:tcPr>
          <w:p>
            <w:pPr>
              <w:spacing w:after="0"/>
              <w:rPr>
                <w:sz w:val="20"/>
                <w:szCs w:val="20"/>
                <w:color w:val="auto"/>
              </w:rPr>
            </w:pPr>
            <w:r>
              <w:rPr>
                <w:rFonts w:ascii="Calibri" w:cs="Calibri" w:eastAsia="Calibri" w:hAnsi="Calibri"/>
                <w:sz w:val="17"/>
                <w:szCs w:val="17"/>
                <w:b w:val="1"/>
                <w:bCs w:val="1"/>
                <w:color w:val="0C3A68"/>
              </w:rPr>
              <w:t>FORWARD-LOOKING STATEMENTS</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60" w:right="40"/>
        <w:spacing w:after="0"/>
        <w:rPr>
          <w:sz w:val="20"/>
          <w:szCs w:val="20"/>
          <w:color w:val="auto"/>
        </w:rPr>
      </w:pPr>
      <w:r>
        <w:rPr>
          <w:rFonts w:ascii="Calibri" w:cs="Calibri" w:eastAsia="Calibri" w:hAnsi="Calibri"/>
          <w:sz w:val="17"/>
          <w:szCs w:val="17"/>
          <w:color w:val="333333"/>
        </w:rPr>
        <w:t>This document includes forward-looking statements within the meaning of the Private Securites Litgaton Reform Act of 1995 that involve substantal uncertaintes and risks and are based on estmates and assumptons. All statements other than statements of historical or current facts, including statements regarding the Company’s Board of Directors, corporate governance practces, executve compensaton program and equity compensaton utlizaton, sustainability and corporate responsibility-related maters and plans, initatves, projectons, goals, commitments, expectatons or prospects, made in this document are forward-looking. We use words such as antcipates, believes, commits, expects, future, goal, intends, plans, projects, seeks, aspires and similar expressions to identfy forward-looking statements. Any references to standards of measurement and performance made regarding our sustainability and corporate responsibility-related plans, goals, commitments, intentons, aspiratons, forecasts or projectons, or expectatons are developing and based on assumptons and beliefs. Forward-looking statements refect management’s current expectatons and are inherently uncertain. Actual results or outcomes could difer materially for a variety of reasons. Risks and uncertaintes that could cause our actual results to difer signifcantly from management’s expectatons are described in our annual report on Form 10-K for the year ended December 31, 2025, fled with the Securites and Exchange Commission (the “SEC”) on February 26, 2026. No assurance can be given that any plan, goal, commitment, intenton, aspiraton, forecast, or projecton or expectaton can or will be achieved. The inclusion of any forward-looking informaton should not be regarded as a representaton by us or any other person that the future plans,</w:t>
      </w:r>
    </w:p>
    <w:p>
      <w:pPr>
        <w:spacing w:after="0" w:line="260"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i</w:t>
      </w:r>
    </w:p>
    <w:p>
      <w:pPr>
        <w:sectPr>
          <w:pgSz w:w="11900" w:h="16838" w:orient="portrait"/>
          <w:cols w:equalWidth="0" w:num="1">
            <w:col w:w="11080"/>
          </w:cols>
          <w:pgMar w:left="320" w:top="478"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estmates, forecasts or projectons, intentons, aspiratons, beliefs or expectatons contemplated by us will be achieved. Given these risks, uncertaintes and other factors, you should not place undue reliance on any forward-looking statements. The Company expressly disclaims any obligaton to update or alter any statements whether as a result of new informaton, future events or otherwise, except as required by law. Website references and references to policies and reports throughout this document are provided for convenience only, and the content of referenced websites, policies and reports is not incorporated by reference into this document.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ABOUT FTI CONSULTING</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Our Purpose</w:t>
      </w:r>
    </w:p>
    <w:p>
      <w:pPr>
        <w:spacing w:after="0" w:line="212" w:lineRule="exact"/>
        <w:rPr>
          <w:sz w:val="20"/>
          <w:szCs w:val="20"/>
          <w:color w:val="auto"/>
        </w:rPr>
      </w:pPr>
    </w:p>
    <w:p>
      <w:pPr>
        <w:ind w:left="160" w:right="100"/>
        <w:spacing w:after="0" w:line="233" w:lineRule="auto"/>
        <w:rPr>
          <w:sz w:val="20"/>
          <w:szCs w:val="20"/>
          <w:color w:val="auto"/>
        </w:rPr>
      </w:pPr>
      <w:r>
        <w:rPr>
          <w:rFonts w:ascii="Calibri" w:cs="Calibri" w:eastAsia="Calibri" w:hAnsi="Calibri"/>
          <w:sz w:val="17"/>
          <w:szCs w:val="17"/>
          <w:color w:val="333333"/>
        </w:rPr>
        <w:t xml:space="preserve">We are one company with fve business segments that are united by </w:t>
      </w:r>
      <w:r>
        <w:rPr>
          <w:rFonts w:ascii="Calibri" w:cs="Calibri" w:eastAsia="Calibri" w:hAnsi="Calibri"/>
          <w:sz w:val="17"/>
          <w:szCs w:val="17"/>
          <w:b w:val="1"/>
          <w:bCs w:val="1"/>
          <w:color w:val="333333"/>
        </w:rPr>
        <w:t>one purpose</w:t>
      </w:r>
      <w:r>
        <w:rPr>
          <w:rFonts w:ascii="Calibri" w:cs="Calibri" w:eastAsia="Calibri" w:hAnsi="Calibri"/>
          <w:sz w:val="17"/>
          <w:szCs w:val="17"/>
          <w:color w:val="333333"/>
        </w:rPr>
        <w:t>: to help our clients when they are facing major moments of crisis and transformaton.</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Our Values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Integrity | Creatvity | Achievement | Respect | Empathy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168910</wp:posOffset>
            </wp:positionV>
            <wp:extent cx="4619625" cy="4551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19625"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Calibri" w:cs="Calibri" w:eastAsia="Calibri" w:hAnsi="Calibri"/>
          <w:sz w:val="17"/>
          <w:szCs w:val="17"/>
          <w:color w:val="333333"/>
        </w:rPr>
        <w:t>ii</w:t>
      </w:r>
    </w:p>
    <w:p>
      <w:pPr>
        <w:sectPr>
          <w:pgSz w:w="11900" w:h="16838" w:orient="portrait"/>
          <w:cols w:equalWidth="0" w:num="1">
            <w:col w:w="10940"/>
          </w:cols>
          <w:pgMar w:left="320" w:top="478"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FTI Consultng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5137785" cy="4916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7785" cy="4916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4459"/>
        <w:spacing w:after="0"/>
        <w:rPr>
          <w:sz w:val="20"/>
          <w:szCs w:val="20"/>
          <w:color w:val="auto"/>
        </w:rPr>
      </w:pPr>
      <w:r>
        <w:rPr>
          <w:rFonts w:ascii="Calibri" w:cs="Calibri" w:eastAsia="Calibri" w:hAnsi="Calibri"/>
          <w:sz w:val="17"/>
          <w:szCs w:val="17"/>
          <w:color w:val="333333"/>
        </w:rPr>
        <w:t>iii</w:t>
      </w:r>
    </w:p>
    <w:p>
      <w:pPr>
        <w:sectPr>
          <w:pgSz w:w="11900" w:h="16838" w:orient="portrait"/>
          <w:cols w:equalWidth="0" w:num="1">
            <w:col w:w="10139"/>
          </w:cols>
          <w:pgMar w:left="320" w:top="4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2025 Awards &amp; Recogniton</w:t>
      </w:r>
    </w:p>
    <w:p>
      <w:pPr>
        <w:spacing w:after="0" w:line="212" w:lineRule="exact"/>
        <w:rPr>
          <w:sz w:val="20"/>
          <w:szCs w:val="20"/>
          <w:color w:val="auto"/>
        </w:rPr>
      </w:pPr>
    </w:p>
    <w:p>
      <w:pPr>
        <w:ind w:left="160"/>
        <w:spacing w:after="0" w:line="233" w:lineRule="auto"/>
        <w:rPr>
          <w:sz w:val="20"/>
          <w:szCs w:val="20"/>
          <w:color w:val="auto"/>
        </w:rPr>
      </w:pPr>
      <w:r>
        <w:rPr>
          <w:rFonts w:ascii="Calibri" w:cs="Calibri" w:eastAsia="Calibri" w:hAnsi="Calibri"/>
          <w:sz w:val="17"/>
          <w:szCs w:val="17"/>
          <w:color w:val="333333"/>
        </w:rPr>
        <w:t>FTI Consultng is a leading global expert frm for organizatons facing crisis and transformaton. Below are select awards and recognitons FTI Consultng received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245745</wp:posOffset>
            </wp:positionV>
            <wp:extent cx="5146675" cy="5316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6675" cy="531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79"/>
        <w:spacing w:after="0"/>
        <w:rPr>
          <w:sz w:val="20"/>
          <w:szCs w:val="20"/>
          <w:color w:val="auto"/>
        </w:rPr>
      </w:pPr>
      <w:r>
        <w:rPr>
          <w:rFonts w:ascii="Calibri" w:cs="Calibri" w:eastAsia="Calibri" w:hAnsi="Calibri"/>
          <w:sz w:val="17"/>
          <w:szCs w:val="17"/>
          <w:color w:val="333333"/>
        </w:rPr>
        <w:t>iv</w:t>
      </w:r>
    </w:p>
    <w:p>
      <w:pPr>
        <w:sectPr>
          <w:pgSz w:w="11900" w:h="16838" w:orient="portrait"/>
          <w:cols w:equalWidth="0" w:num="1">
            <w:col w:w="10780"/>
          </w:cols>
          <w:pgMar w:left="320" w:top="478" w:right="7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2025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038215" cy="5019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8215" cy="501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0" w:hanging="433"/>
        <w:spacing w:after="0"/>
        <w:tabs>
          <w:tab w:leader="none" w:pos="600" w:val="left"/>
        </w:tabs>
        <w:numPr>
          <w:ilvl w:val="0"/>
          <w:numId w:val="7"/>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See </w:t>
      </w:r>
      <w:r>
        <w:rPr>
          <w:rFonts w:ascii="Calibri" w:cs="Calibri" w:eastAsia="Calibri" w:hAnsi="Calibri"/>
          <w:sz w:val="14"/>
          <w:szCs w:val="14"/>
          <w:u w:val="single" w:color="auto"/>
          <w:color w:val="0591DB"/>
        </w:rPr>
        <w:t>Appendix A</w:t>
      </w:r>
      <w:r>
        <w:rPr>
          <w:rFonts w:ascii="Calibri" w:cs="Calibri" w:eastAsia="Calibri" w:hAnsi="Calibri"/>
          <w:sz w:val="14"/>
          <w:szCs w:val="14"/>
          <w:color w:val="333333"/>
        </w:rPr>
        <w:t xml:space="preserve"> for the defnitons of Adjusted EBITDA, earnings per diluted share (“EPS”), as adjusted (“Adjusted EPS”), and other fnancial measures for fnancial reportng purposes referred to in this Proxy Statement that have not been presented or prepared in accordance with generally accepted accountng principles in the United States (“GAAP”) and are considered not in conformity with GAAP (“non-GAAP”) under the rules promulgated by the SEC and the reconciliatons of non-GAAP fnancial measures to the most directly comparable GAAP fnancial measures, as well as the reasons management believes these non-GAAP fnancial measures provide useful informaton to investors. Certain of these non-GAAP fnancial measures are not defned the same as the similarly named fnancial measures used to establish annual incentve pay (“AIP”) of our partcipatng named executve ofcers (“NEO”) for the year ended December 31, 2025 (“2025 AIP”). See the secton of this Proxy Statement ttled “Informaton About Our Executve Ofcers And Compensaton — Compensaton Discussion And Analysis — 2025 Pay Outcomes — 2025 Annual Incentve Pay — Financial Metrics” beginning on </w:t>
      </w:r>
      <w:r>
        <w:rPr>
          <w:rFonts w:ascii="Calibri" w:cs="Calibri" w:eastAsia="Calibri" w:hAnsi="Calibri"/>
          <w:sz w:val="14"/>
          <w:szCs w:val="14"/>
          <w:color w:val="0591DB"/>
        </w:rPr>
        <w:t>page 68</w:t>
      </w:r>
      <w:r>
        <w:rPr>
          <w:rFonts w:ascii="Calibri" w:cs="Calibri" w:eastAsia="Calibri" w:hAnsi="Calibri"/>
          <w:sz w:val="14"/>
          <w:szCs w:val="14"/>
          <w:color w:val="333333"/>
        </w:rPr>
        <w:t xml:space="preserve"> and </w:t>
      </w:r>
      <w:r>
        <w:rPr>
          <w:rFonts w:ascii="Calibri" w:cs="Calibri" w:eastAsia="Calibri" w:hAnsi="Calibri"/>
          <w:sz w:val="14"/>
          <w:szCs w:val="14"/>
          <w:u w:val="single" w:color="auto"/>
          <w:color w:val="0591DB"/>
        </w:rPr>
        <w:t>Appendix B</w:t>
      </w:r>
      <w:r>
        <w:rPr>
          <w:rFonts w:ascii="Calibri" w:cs="Calibri" w:eastAsia="Calibri" w:hAnsi="Calibri"/>
          <w:sz w:val="14"/>
          <w:szCs w:val="14"/>
          <w:color w:val="333333"/>
        </w:rPr>
        <w:t xml:space="preserve"> for the defnitons of similarly named non-GAAP fnancial measures for determining 2025 AIP of our partcipatng NEOs and the reconciliatons of such non-GAAP fnancial measures to the most directly comparable GAAP fnancial measures.</w:t>
      </w:r>
    </w:p>
    <w:p>
      <w:pPr>
        <w:spacing w:after="0" w:line="242"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v</w:t>
      </w:r>
    </w:p>
    <w:p>
      <w:pPr>
        <w:sectPr>
          <w:pgSz w:w="11900" w:h="16838" w:orient="portrait"/>
          <w:cols w:equalWidth="0" w:num="1">
            <w:col w:w="11060"/>
          </w:cols>
          <w:pgMar w:left="320" w:top="478"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Our Strategy for Sustainable Growth</w:t>
      </w:r>
    </w:p>
    <w:p>
      <w:pPr>
        <w:spacing w:after="0" w:line="212" w:lineRule="exact"/>
        <w:rPr>
          <w:sz w:val="20"/>
          <w:szCs w:val="20"/>
          <w:color w:val="auto"/>
        </w:rPr>
      </w:pPr>
    </w:p>
    <w:p>
      <w:pPr>
        <w:ind w:left="160" w:right="460"/>
        <w:spacing w:after="0" w:line="233" w:lineRule="auto"/>
        <w:rPr>
          <w:sz w:val="20"/>
          <w:szCs w:val="20"/>
          <w:color w:val="auto"/>
        </w:rPr>
      </w:pPr>
      <w:r>
        <w:rPr>
          <w:rFonts w:ascii="Calibri" w:cs="Calibri" w:eastAsia="Calibri" w:hAnsi="Calibri"/>
          <w:sz w:val="17"/>
          <w:szCs w:val="17"/>
          <w:color w:val="333333"/>
        </w:rPr>
        <w:t xml:space="preserve">We believe that the </w:t>
      </w:r>
      <w:r>
        <w:rPr>
          <w:rFonts w:ascii="Calibri" w:cs="Calibri" w:eastAsia="Calibri" w:hAnsi="Calibri"/>
          <w:sz w:val="17"/>
          <w:szCs w:val="17"/>
          <w:i w:val="1"/>
          <w:iCs w:val="1"/>
          <w:color w:val="333333"/>
        </w:rPr>
        <w:t>fundamental strength of this Company</w:t>
      </w:r>
      <w:r>
        <w:rPr>
          <w:rFonts w:ascii="Calibri" w:cs="Calibri" w:eastAsia="Calibri" w:hAnsi="Calibri"/>
          <w:sz w:val="17"/>
          <w:szCs w:val="17"/>
          <w:color w:val="333333"/>
        </w:rPr>
        <w:t xml:space="preserve"> is our people’s </w:t>
      </w:r>
      <w:r>
        <w:rPr>
          <w:rFonts w:ascii="Calibri" w:cs="Calibri" w:eastAsia="Calibri" w:hAnsi="Calibri"/>
          <w:sz w:val="17"/>
          <w:szCs w:val="17"/>
          <w:b w:val="1"/>
          <w:bCs w:val="1"/>
          <w:color w:val="333333"/>
        </w:rPr>
        <w:t>unrelentng commitment to deliver for their clients when they are facing</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moments of crisis and transformaton</w:t>
      </w:r>
      <w:r>
        <w:rPr>
          <w:rFonts w:ascii="Calibri" w:cs="Calibri" w:eastAsia="Calibri" w:hAnsi="Calibri"/>
          <w:sz w:val="17"/>
          <w:szCs w:val="17"/>
          <w:color w:val="333333"/>
        </w:rPr>
        <w:t>.</w:t>
      </w:r>
    </w:p>
    <w:p>
      <w:pPr>
        <w:spacing w:after="0" w:line="212"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Sustainable growth in professional services comes from atractng, developing, promotng and retaining great professionals with ambitons to grow their business and deepen their client relatonships. Our fnancial results have shown that if we do the right things for our business over any medium-term period, even though market conditons and quarterly results can fuctuate, through those eforts we can build a powerful growth engine that delivers for our people, clients and shareholders.</w:t>
      </w:r>
    </w:p>
    <w:p>
      <w:pPr>
        <w:spacing w:after="0" w:line="214"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 xml:space="preserve">This focus means not overreactng to temporary factors that are out of management’s control and being willing to support our strong segments, practces and professionals, even in the face of short-term market headwinds, because we believe over any multyear period, the fnancial performance of great professional services frms is dictated by components of the business that </w:t>
      </w:r>
      <w:r>
        <w:rPr>
          <w:rFonts w:ascii="Calibri" w:cs="Calibri" w:eastAsia="Calibri" w:hAnsi="Calibri"/>
          <w:sz w:val="17"/>
          <w:szCs w:val="17"/>
          <w:i w:val="1"/>
          <w:iCs w:val="1"/>
          <w:color w:val="333333"/>
        </w:rPr>
        <w:t>can be infuenced by management</w:t>
      </w:r>
      <w:r>
        <w:rPr>
          <w:rFonts w:ascii="Calibri" w:cs="Calibri" w:eastAsia="Calibri" w:hAnsi="Calibri"/>
          <w:sz w:val="17"/>
          <w:szCs w:val="17"/>
          <w:color w:val="333333"/>
        </w:rPr>
        <w:t>, such as:</w:t>
      </w:r>
    </w:p>
    <w:p>
      <w:pPr>
        <w:spacing w:after="0" w:line="120" w:lineRule="exact"/>
        <w:rPr>
          <w:sz w:val="20"/>
          <w:szCs w:val="20"/>
          <w:color w:val="auto"/>
        </w:rPr>
      </w:pPr>
    </w:p>
    <w:p>
      <w:pPr>
        <w:ind w:left="1020" w:right="340" w:hanging="318"/>
        <w:spacing w:after="0" w:line="233" w:lineRule="auto"/>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Atractng, developing, promotng and retaining talented professionals </w:t>
      </w:r>
      <w:r>
        <w:rPr>
          <w:rFonts w:ascii="Calibri" w:cs="Calibri" w:eastAsia="Calibri" w:hAnsi="Calibri"/>
          <w:sz w:val="17"/>
          <w:szCs w:val="17"/>
          <w:color w:val="333333"/>
        </w:rPr>
        <w:t>who can strengthen and build leading positons in areas of critcal</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client needs.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Investng EBITDA </w:t>
      </w:r>
      <w:r>
        <w:rPr>
          <w:rFonts w:ascii="Calibri" w:cs="Calibri" w:eastAsia="Calibri" w:hAnsi="Calibri"/>
          <w:sz w:val="17"/>
          <w:szCs w:val="17"/>
          <w:color w:val="333333"/>
        </w:rPr>
        <w:t>behind key growth areas in which we have a right to win.</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color w:val="333333"/>
        </w:rPr>
        <w:t xml:space="preserve">Leveraging investments to build positons that will support </w:t>
      </w:r>
      <w:r>
        <w:rPr>
          <w:rFonts w:ascii="Calibri" w:cs="Calibri" w:eastAsia="Calibri" w:hAnsi="Calibri"/>
          <w:sz w:val="17"/>
          <w:szCs w:val="17"/>
          <w:b w:val="1"/>
          <w:bCs w:val="1"/>
          <w:color w:val="333333"/>
        </w:rPr>
        <w:t>proftable growth on a sustained basis through a variety of economic conditons</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color w:val="333333"/>
        </w:rPr>
        <w:t xml:space="preserve">Actvely evaluatng and considering opportunistc acquisitons but commitng on a day-in, day-out basis to </w:t>
      </w:r>
      <w:r>
        <w:rPr>
          <w:rFonts w:ascii="Calibri" w:cs="Calibri" w:eastAsia="Calibri" w:hAnsi="Calibri"/>
          <w:sz w:val="17"/>
          <w:szCs w:val="17"/>
          <w:b w:val="1"/>
          <w:bCs w:val="1"/>
          <w:color w:val="333333"/>
        </w:rPr>
        <w:t>growth by organic means</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Maintaining a strong balance sheet </w:t>
      </w:r>
      <w:r>
        <w:rPr>
          <w:rFonts w:ascii="Calibri" w:cs="Calibri" w:eastAsia="Calibri" w:hAnsi="Calibri"/>
          <w:sz w:val="17"/>
          <w:szCs w:val="17"/>
          <w:color w:val="333333"/>
        </w:rPr>
        <w:t>and commitng to using our</w:t>
      </w:r>
      <w:r>
        <w:rPr>
          <w:rFonts w:ascii="Calibri" w:cs="Calibri" w:eastAsia="Calibri" w:hAnsi="Calibri"/>
          <w:sz w:val="17"/>
          <w:szCs w:val="17"/>
          <w:b w:val="1"/>
          <w:bCs w:val="1"/>
          <w:color w:val="333333"/>
        </w:rPr>
        <w:t xml:space="preserve"> robust cash fow generaton to enhance shareholder returns</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Creatng an inclusive and high-performing culture </w:t>
      </w:r>
      <w:r>
        <w:rPr>
          <w:rFonts w:ascii="Calibri" w:cs="Calibri" w:eastAsia="Calibri" w:hAnsi="Calibri"/>
          <w:sz w:val="17"/>
          <w:szCs w:val="17"/>
          <w:color w:val="333333"/>
        </w:rPr>
        <w:t>where our professionals can grow their career and achieve their full potental.</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Being a responsible corporate citzen </w:t>
      </w:r>
      <w:r>
        <w:rPr>
          <w:rFonts w:ascii="Calibri" w:cs="Calibri" w:eastAsia="Calibri" w:hAnsi="Calibri"/>
          <w:sz w:val="17"/>
          <w:szCs w:val="17"/>
          <w:color w:val="333333"/>
        </w:rPr>
        <w:t>that drives positve change in the communites in which we do business.</w:t>
      </w:r>
    </w:p>
    <w:p>
      <w:pPr>
        <w:spacing w:after="0" w:line="22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delivered record revenues, EPS and Adjusted EPS in 2025. Our record 2025 revenues and Adjusted EPS refect eight and 11 consecutve years of growth, respectvely. This performance was achieved despite the headwinds our business faced in 2025, demonstratng the power and diversity of our platorm and the relevance of our professionals’ deep expertse in an increasingly disrupted world. We believe if we contnue to have the confdence to not overreact to short-term factors, over the medium and long term, we can build businesses that great people want to be a part of — businesses that atract great people, support their ambitons and foster their professional development, and allow them to build teams and client relatonships that, through the short-term headwinds and tailwinds, become sustainable, powerful, durable and resilient growth engines over tme.</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vi</w:t>
      </w:r>
    </w:p>
    <w:p>
      <w:pPr>
        <w:sectPr>
          <w:pgSz w:w="11900" w:h="16838" w:orient="portrait"/>
          <w:cols w:equalWidth="0" w:num="1">
            <w:col w:w="11080"/>
          </w:cols>
          <w:pgMar w:left="320" w:top="478"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Our Strategy in Acton – A Powerful Platorm for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5104130" cy="6522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04130" cy="652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00" w:hanging="433"/>
        <w:spacing w:after="0" w:line="207" w:lineRule="auto"/>
        <w:tabs>
          <w:tab w:leader="none" w:pos="600" w:val="left"/>
        </w:tabs>
        <w:numPr>
          <w:ilvl w:val="0"/>
          <w:numId w:val="9"/>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See </w:t>
      </w:r>
      <w:r>
        <w:rPr>
          <w:rFonts w:ascii="Calibri" w:cs="Calibri" w:eastAsia="Calibri" w:hAnsi="Calibri"/>
          <w:sz w:val="14"/>
          <w:szCs w:val="14"/>
          <w:color w:val="0591DB"/>
        </w:rPr>
        <w:t>Appendix A</w:t>
      </w:r>
      <w:r>
        <w:rPr>
          <w:rFonts w:ascii="Calibri" w:cs="Calibri" w:eastAsia="Calibri" w:hAnsi="Calibri"/>
          <w:sz w:val="14"/>
          <w:szCs w:val="14"/>
          <w:color w:val="333333"/>
        </w:rPr>
        <w:t xml:space="preserve"> for the defnitons of Adjusted EBITDA, Adjusted EPS, organic revenue growth and other non-GAAP fnancial measures for fnancial reportng purposes referred to in this Proxy Statement and the reconciliatons of non-GAAP fnancial measures to the most directly comparable GAAP fnancial measures, as well as the reasons management believes these non-GAAP fnancial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-233045</wp:posOffset>
            </wp:positionV>
            <wp:extent cx="420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116"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color w:val="333333"/>
        </w:rPr>
        <w:t>vii</w:t>
      </w:r>
    </w:p>
    <w:p>
      <w:pPr>
        <w:sectPr>
          <w:pgSz w:w="11900" w:h="16838" w:orient="portrait"/>
          <w:cols w:equalWidth="0" w:num="1">
            <w:col w:w="11000"/>
          </w:cols>
          <w:pgMar w:left="320" w:top="478" w:right="5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2" w:lineRule="exact"/>
        <w:rPr>
          <w:sz w:val="20"/>
          <w:szCs w:val="20"/>
          <w:color w:val="auto"/>
        </w:rPr>
      </w:pPr>
    </w:p>
    <w:p>
      <w:pPr>
        <w:ind w:left="600"/>
        <w:spacing w:after="0" w:line="243" w:lineRule="auto"/>
        <w:rPr>
          <w:sz w:val="20"/>
          <w:szCs w:val="20"/>
          <w:color w:val="auto"/>
        </w:rPr>
      </w:pPr>
      <w:r>
        <w:rPr>
          <w:rFonts w:ascii="Calibri" w:cs="Calibri" w:eastAsia="Calibri" w:hAnsi="Calibri"/>
          <w:sz w:val="14"/>
          <w:szCs w:val="14"/>
          <w:color w:val="333333"/>
        </w:rPr>
        <w:t xml:space="preserve">provide useful informaton to investors. Certain of these non-GAAP fnancial measures are not defned the same as the similarly named fnancial measures used to establish 2025 AIP of our partcipatng NEOs. See the secton of this Proxy Statement ttled “Informaton About Our Executve Ofcers And Compensaton — Compensaton Discussion And Analysis — 2025 Pay Outcomes — 2025 Annual Incentve Pay — Financial Metrics” beginning on </w:t>
      </w:r>
      <w:r>
        <w:rPr>
          <w:rFonts w:ascii="Calibri" w:cs="Calibri" w:eastAsia="Calibri" w:hAnsi="Calibri"/>
          <w:sz w:val="14"/>
          <w:szCs w:val="14"/>
          <w:color w:val="0591DB"/>
        </w:rPr>
        <w:t>page 68</w:t>
      </w:r>
      <w:r>
        <w:rPr>
          <w:rFonts w:ascii="Calibri" w:cs="Calibri" w:eastAsia="Calibri" w:hAnsi="Calibri"/>
          <w:sz w:val="14"/>
          <w:szCs w:val="14"/>
          <w:color w:val="333333"/>
        </w:rPr>
        <w:t xml:space="preserve"> and </w:t>
      </w:r>
      <w:r>
        <w:rPr>
          <w:rFonts w:ascii="Calibri" w:cs="Calibri" w:eastAsia="Calibri" w:hAnsi="Calibri"/>
          <w:sz w:val="14"/>
          <w:szCs w:val="14"/>
          <w:color w:val="0591DB"/>
        </w:rPr>
        <w:t>Appendix B</w:t>
      </w:r>
      <w:r>
        <w:rPr>
          <w:rFonts w:ascii="Calibri" w:cs="Calibri" w:eastAsia="Calibri" w:hAnsi="Calibri"/>
          <w:sz w:val="14"/>
          <w:szCs w:val="14"/>
          <w:color w:val="333333"/>
        </w:rPr>
        <w:t xml:space="preserve"> for the defnitons of similarly named fnancial measures for determining 2025 AIP of our partcipatng NEOs and the reconciliatons of such non-GAAP fnancial measures to the most directly comparable GAAP fnancial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-123825</wp:posOffset>
            </wp:positionV>
            <wp:extent cx="4171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18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ESG-RELATED PRACTICES, POLICIES, PROGRESS AND ACHIEVEMENTS</w:t>
      </w:r>
    </w:p>
    <w:p>
      <w:pPr>
        <w:spacing w:after="0" w:line="212" w:lineRule="exact"/>
        <w:rPr>
          <w:sz w:val="20"/>
          <w:szCs w:val="20"/>
          <w:color w:val="auto"/>
        </w:rPr>
      </w:pPr>
    </w:p>
    <w:p>
      <w:pPr>
        <w:jc w:val="both"/>
        <w:ind w:left="160"/>
        <w:spacing w:after="0" w:line="232" w:lineRule="auto"/>
        <w:rPr>
          <w:sz w:val="20"/>
          <w:szCs w:val="20"/>
          <w:color w:val="auto"/>
        </w:rPr>
      </w:pPr>
      <w:r>
        <w:rPr>
          <w:rFonts w:ascii="Calibri" w:cs="Calibri" w:eastAsia="Calibri" w:hAnsi="Calibri"/>
          <w:sz w:val="17"/>
          <w:szCs w:val="17"/>
          <w:color w:val="333333"/>
        </w:rPr>
        <w:t>FTI Consultng believes proactvely identfying and addressing Environmental, Social and Governance (“ESG”) risks and opportunites are important to both sustaining our strong growth trajectory and maintaining our operatons. The following pages discuss key ESG-related initatves and progress the Company made in 2025.</w:t>
      </w:r>
    </w:p>
    <w:p>
      <w:pPr>
        <w:spacing w:after="0" w:line="214" w:lineRule="exact"/>
        <w:rPr>
          <w:sz w:val="20"/>
          <w:szCs w:val="20"/>
          <w:color w:val="auto"/>
        </w:rPr>
      </w:pPr>
    </w:p>
    <w:p>
      <w:pPr>
        <w:jc w:val="both"/>
        <w:ind w:left="160"/>
        <w:spacing w:after="0" w:line="233" w:lineRule="auto"/>
        <w:rPr>
          <w:sz w:val="20"/>
          <w:szCs w:val="20"/>
          <w:color w:val="auto"/>
        </w:rPr>
      </w:pPr>
      <w:r>
        <w:rPr>
          <w:rFonts w:ascii="Calibri" w:cs="Calibri" w:eastAsia="Calibri" w:hAnsi="Calibri"/>
          <w:sz w:val="17"/>
          <w:szCs w:val="17"/>
          <w:color w:val="333333"/>
        </w:rPr>
        <w:t>For further informaton on these disclosures, FTI Consultng’s ESG Program and the calculaton of FTI Consultng’s environmental impact, please review the Governance page on our website, which includes our Environmental Responsibility &amp; Climate Change Disclosure Policy.</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Environmental</w:t>
      </w:r>
    </w:p>
    <w:p>
      <w:pPr>
        <w:spacing w:after="0" w:line="212" w:lineRule="exact"/>
        <w:rPr>
          <w:sz w:val="20"/>
          <w:szCs w:val="20"/>
          <w:color w:val="auto"/>
        </w:rPr>
      </w:pPr>
    </w:p>
    <w:p>
      <w:pPr>
        <w:ind w:left="160" w:right="180"/>
        <w:spacing w:after="0" w:line="233" w:lineRule="auto"/>
        <w:rPr>
          <w:sz w:val="20"/>
          <w:szCs w:val="20"/>
          <w:color w:val="auto"/>
        </w:rPr>
      </w:pPr>
      <w:r>
        <w:rPr>
          <w:rFonts w:ascii="Calibri" w:cs="Calibri" w:eastAsia="Calibri" w:hAnsi="Calibri"/>
          <w:sz w:val="17"/>
          <w:szCs w:val="17"/>
          <w:i w:val="1"/>
          <w:iCs w:val="1"/>
          <w:color w:val="333333"/>
        </w:rPr>
        <w:t xml:space="preserve">As a global company with widespread operatons, FTI Consultng and its professionals are commited to doing our part in addressing climate change and reducing our emissions intensity per full-tme equivalent (“FTE”) </w:t>
      </w:r>
      <w:r>
        <w:rPr>
          <w:rFonts w:ascii="Calibri" w:cs="Calibri" w:eastAsia="Calibri" w:hAnsi="Calibri"/>
          <w:sz w:val="12"/>
          <w:szCs w:val="12"/>
          <w:i w:val="1"/>
          <w:iCs w:val="1"/>
          <w:color w:val="333333"/>
        </w:rPr>
        <w:t>(1)</w:t>
      </w:r>
      <w:r>
        <w:rPr>
          <w:rFonts w:ascii="Calibri" w:cs="Calibri" w:eastAsia="Calibri" w:hAnsi="Calibri"/>
          <w:sz w:val="17"/>
          <w:szCs w:val="17"/>
          <w:i w:val="1"/>
          <w:iCs w:val="1"/>
          <w:color w:val="333333"/>
        </w:rPr>
        <w:t xml:space="preserve"> employee as we grow.</w:t>
      </w:r>
    </w:p>
    <w:p>
      <w:pPr>
        <w:spacing w:after="0" w:line="119" w:lineRule="exact"/>
        <w:rPr>
          <w:sz w:val="20"/>
          <w:szCs w:val="20"/>
          <w:color w:val="auto"/>
        </w:rPr>
      </w:pPr>
    </w:p>
    <w:p>
      <w:pPr>
        <w:ind w:left="1020" w:hanging="318"/>
        <w:spacing w:after="0" w:line="233" w:lineRule="auto"/>
        <w:tabs>
          <w:tab w:leader="none" w:pos="1020" w:val="left"/>
        </w:tabs>
        <w:numPr>
          <w:ilvl w:val="0"/>
          <w:numId w:val="10"/>
        </w:numPr>
        <w:rPr>
          <w:rFonts w:ascii="MS PGothic" w:cs="MS PGothic" w:eastAsia="MS PGothic" w:hAnsi="MS PGothic"/>
          <w:sz w:val="17"/>
          <w:szCs w:val="17"/>
          <w:color w:val="0591DB"/>
        </w:rPr>
      </w:pPr>
      <w:r>
        <w:rPr>
          <w:rFonts w:ascii="Calibri" w:cs="Calibri" w:eastAsia="Calibri" w:hAnsi="Calibri"/>
          <w:sz w:val="17"/>
          <w:szCs w:val="17"/>
          <w:color w:val="333333"/>
        </w:rPr>
        <w:t>In 2025, we received validaton from the Science Based Targets initatve (“SBTi”) for our 2030 near-term emissions reducton targets for Scope 1, 2 and 3 against a 1.5-degree scenario. Our SBTi emissions reducton targets include:</w:t>
      </w:r>
    </w:p>
    <w:p>
      <w:pPr>
        <w:spacing w:after="0" w:line="114" w:lineRule="exact"/>
        <w:rPr>
          <w:rFonts w:ascii="MS PGothic" w:cs="MS PGothic" w:eastAsia="MS PGothic" w:hAnsi="MS PGothic"/>
          <w:sz w:val="17"/>
          <w:szCs w:val="17"/>
          <w:color w:val="0591DB"/>
        </w:rPr>
      </w:pPr>
    </w:p>
    <w:p>
      <w:pPr>
        <w:ind w:left="1580" w:hanging="436"/>
        <w:spacing w:after="0"/>
        <w:tabs>
          <w:tab w:leader="none" w:pos="1580" w:val="left"/>
        </w:tabs>
        <w:numPr>
          <w:ilvl w:val="1"/>
          <w:numId w:val="10"/>
        </w:numPr>
        <w:rPr>
          <w:rFonts w:ascii="MS PGothic" w:cs="MS PGothic" w:eastAsia="MS PGothic" w:hAnsi="MS PGothic"/>
          <w:sz w:val="17"/>
          <w:szCs w:val="17"/>
          <w:color w:val="0591DB"/>
        </w:rPr>
      </w:pPr>
      <w:r>
        <w:rPr>
          <w:rFonts w:ascii="Calibri" w:cs="Calibri" w:eastAsia="Calibri" w:hAnsi="Calibri"/>
          <w:sz w:val="17"/>
          <w:szCs w:val="17"/>
          <w:color w:val="333333"/>
        </w:rPr>
        <w:t>53.8% absolute reducton in combined Scope 1 and Scope 2 emissions.</w:t>
      </w:r>
    </w:p>
    <w:p>
      <w:pPr>
        <w:spacing w:after="0" w:line="44" w:lineRule="exact"/>
        <w:rPr>
          <w:rFonts w:ascii="MS PGothic" w:cs="MS PGothic" w:eastAsia="MS PGothic" w:hAnsi="MS PGothic"/>
          <w:sz w:val="17"/>
          <w:szCs w:val="17"/>
          <w:color w:val="0591DB"/>
        </w:rPr>
      </w:pPr>
    </w:p>
    <w:p>
      <w:pPr>
        <w:ind w:left="1580" w:hanging="436"/>
        <w:spacing w:after="0" w:line="195" w:lineRule="auto"/>
        <w:tabs>
          <w:tab w:leader="none" w:pos="1580" w:val="left"/>
        </w:tabs>
        <w:numPr>
          <w:ilvl w:val="1"/>
          <w:numId w:val="10"/>
        </w:numPr>
        <w:rPr>
          <w:rFonts w:ascii="MS PGothic" w:cs="MS PGothic" w:eastAsia="MS PGothic" w:hAnsi="MS PGothic"/>
          <w:sz w:val="17"/>
          <w:szCs w:val="17"/>
          <w:color w:val="0591DB"/>
        </w:rPr>
      </w:pPr>
      <w:r>
        <w:rPr>
          <w:rFonts w:ascii="Calibri" w:cs="Calibri" w:eastAsia="Calibri" w:hAnsi="Calibri"/>
          <w:sz w:val="17"/>
          <w:szCs w:val="17"/>
          <w:color w:val="333333"/>
        </w:rPr>
        <w:t xml:space="preserve">55% reducton per FTE </w:t>
      </w:r>
      <w:r>
        <w:rPr>
          <w:rFonts w:ascii="Calibri" w:cs="Calibri" w:eastAsia="Calibri" w:hAnsi="Calibri"/>
          <w:sz w:val="12"/>
          <w:szCs w:val="12"/>
          <w:color w:val="333333"/>
        </w:rPr>
        <w:t>(1)</w:t>
      </w:r>
      <w:r>
        <w:rPr>
          <w:rFonts w:ascii="Calibri" w:cs="Calibri" w:eastAsia="Calibri" w:hAnsi="Calibri"/>
          <w:sz w:val="17"/>
          <w:szCs w:val="17"/>
          <w:color w:val="333333"/>
        </w:rPr>
        <w:t xml:space="preserve"> in Scope 3 emissions from business travel, capital goods, and purchased goods and services combined </w:t>
      </w:r>
      <w:r>
        <w:rPr>
          <w:rFonts w:ascii="Calibri" w:cs="Calibri" w:eastAsia="Calibri" w:hAnsi="Calibri"/>
          <w:sz w:val="12"/>
          <w:szCs w:val="12"/>
          <w:color w:val="333333"/>
        </w:rPr>
        <w:t>(2)</w:t>
      </w:r>
      <w:r>
        <w:rPr>
          <w:rFonts w:ascii="Calibri" w:cs="Calibri" w:eastAsia="Calibri" w:hAnsi="Calibri"/>
          <w:sz w:val="17"/>
          <w:szCs w:val="17"/>
          <w:color w:val="333333"/>
        </w:rPr>
        <w:t>.</w:t>
      </w:r>
    </w:p>
    <w:p>
      <w:pPr>
        <w:spacing w:after="0" w:line="45" w:lineRule="exact"/>
        <w:rPr>
          <w:rFonts w:ascii="MS PGothic" w:cs="MS PGothic" w:eastAsia="MS PGothic" w:hAnsi="MS PGothic"/>
          <w:sz w:val="17"/>
          <w:szCs w:val="17"/>
          <w:color w:val="0591DB"/>
        </w:rPr>
      </w:pPr>
    </w:p>
    <w:p>
      <w:pPr>
        <w:ind w:left="1020" w:right="100" w:hanging="318"/>
        <w:spacing w:after="0" w:line="219" w:lineRule="auto"/>
        <w:tabs>
          <w:tab w:leader="none" w:pos="1020" w:val="left"/>
        </w:tabs>
        <w:numPr>
          <w:ilvl w:val="0"/>
          <w:numId w:val="10"/>
        </w:numPr>
        <w:rPr>
          <w:rFonts w:ascii="MS PGothic" w:cs="MS PGothic" w:eastAsia="MS PGothic" w:hAnsi="MS PGothic"/>
          <w:sz w:val="17"/>
          <w:szCs w:val="17"/>
          <w:color w:val="0591DB"/>
        </w:rPr>
      </w:pPr>
      <w:r>
        <w:rPr>
          <w:rFonts w:ascii="Calibri" w:cs="Calibri" w:eastAsia="Calibri" w:hAnsi="Calibri"/>
          <w:sz w:val="17"/>
          <w:szCs w:val="17"/>
          <w:color w:val="333333"/>
        </w:rPr>
        <w:t>In additon to our SBTi targets, FTI Consultng remains commited to our ambiton to achieve net-zero greenhouse gas (“GHG”) emissions by 2030, and we are assessing how best to align this goal with our SBTi 2030 near-term reducton targets. We expect to disclose FTI Consultng’s Scope 1, 2 and 3 emissions data in our annual Corporate Sustainability Report.</w:t>
      </w:r>
    </w:p>
    <w:p>
      <w:pPr>
        <w:spacing w:after="0" w:line="2" w:lineRule="exact"/>
        <w:rPr>
          <w:rFonts w:ascii="MS PGothic" w:cs="MS PGothic" w:eastAsia="MS PGothic" w:hAnsi="MS PGothic"/>
          <w:sz w:val="17"/>
          <w:szCs w:val="17"/>
          <w:color w:val="0591DB"/>
        </w:rPr>
      </w:pPr>
    </w:p>
    <w:p>
      <w:pPr>
        <w:ind w:left="1020" w:right="40" w:hanging="318"/>
        <w:spacing w:after="0" w:line="232" w:lineRule="auto"/>
        <w:tabs>
          <w:tab w:leader="none" w:pos="1020" w:val="left"/>
        </w:tabs>
        <w:numPr>
          <w:ilvl w:val="0"/>
          <w:numId w:val="10"/>
        </w:numPr>
        <w:rPr>
          <w:rFonts w:ascii="MS PGothic" w:cs="MS PGothic" w:eastAsia="MS PGothic" w:hAnsi="MS PGothic"/>
          <w:sz w:val="17"/>
          <w:szCs w:val="17"/>
          <w:color w:val="0591DB"/>
        </w:rPr>
      </w:pPr>
      <w:r>
        <w:rPr>
          <w:rFonts w:ascii="Calibri" w:cs="Calibri" w:eastAsia="Calibri" w:hAnsi="Calibri"/>
          <w:sz w:val="17"/>
          <w:szCs w:val="17"/>
          <w:color w:val="333333"/>
        </w:rPr>
        <w:t>Increased percentage of real estate portolio, as measured by square footage, powered or ofset by 100% renewable energy from 56% in 2024 to 61% in 2025.</w:t>
      </w:r>
    </w:p>
    <w:p>
      <w:pPr>
        <w:ind w:left="1020" w:hanging="318"/>
        <w:spacing w:after="0" w:line="232" w:lineRule="auto"/>
        <w:tabs>
          <w:tab w:leader="none" w:pos="1020" w:val="left"/>
        </w:tabs>
        <w:numPr>
          <w:ilvl w:val="0"/>
          <w:numId w:val="10"/>
        </w:numPr>
        <w:rPr>
          <w:rFonts w:ascii="MS PGothic" w:cs="MS PGothic" w:eastAsia="MS PGothic" w:hAnsi="MS PGothic"/>
          <w:sz w:val="17"/>
          <w:szCs w:val="17"/>
          <w:color w:val="0591DB"/>
        </w:rPr>
      </w:pPr>
      <w:r>
        <w:rPr>
          <w:rFonts w:ascii="Calibri" w:cs="Calibri" w:eastAsia="Calibri" w:hAnsi="Calibri"/>
          <w:sz w:val="17"/>
          <w:szCs w:val="17"/>
          <w:color w:val="333333"/>
        </w:rPr>
        <w:t xml:space="preserve">75% of FTEs </w:t>
      </w:r>
      <w:r>
        <w:rPr>
          <w:rFonts w:ascii="Calibri" w:cs="Calibri" w:eastAsia="Calibri" w:hAnsi="Calibri"/>
          <w:sz w:val="12"/>
          <w:szCs w:val="12"/>
          <w:color w:val="333333"/>
        </w:rPr>
        <w:t>(1)</w:t>
      </w:r>
      <w:r>
        <w:rPr>
          <w:rFonts w:ascii="Calibri" w:cs="Calibri" w:eastAsia="Calibri" w:hAnsi="Calibri"/>
          <w:sz w:val="17"/>
          <w:szCs w:val="17"/>
          <w:color w:val="333333"/>
        </w:rPr>
        <w:t xml:space="preserve"> sit in LEED-certfed (or equivalent) buildings.</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0"/>
        </w:numPr>
        <w:rPr>
          <w:rFonts w:ascii="MS PGothic" w:cs="MS PGothic" w:eastAsia="MS PGothic" w:hAnsi="MS PGothic"/>
          <w:sz w:val="17"/>
          <w:szCs w:val="17"/>
          <w:color w:val="0591DB"/>
        </w:rPr>
      </w:pPr>
      <w:r>
        <w:rPr>
          <w:rFonts w:ascii="Calibri" w:cs="Calibri" w:eastAsia="Calibri" w:hAnsi="Calibri"/>
          <w:sz w:val="17"/>
          <w:szCs w:val="17"/>
          <w:color w:val="333333"/>
        </w:rPr>
        <w:t xml:space="preserve">Reduced energy consumpton per FTE </w:t>
      </w:r>
      <w:r>
        <w:rPr>
          <w:rFonts w:ascii="Calibri" w:cs="Calibri" w:eastAsia="Calibri" w:hAnsi="Calibri"/>
          <w:sz w:val="12"/>
          <w:szCs w:val="12"/>
          <w:color w:val="333333"/>
        </w:rPr>
        <w:t>(1)</w:t>
      </w:r>
      <w:r>
        <w:rPr>
          <w:rFonts w:ascii="Calibri" w:cs="Calibri" w:eastAsia="Calibri" w:hAnsi="Calibri"/>
          <w:sz w:val="17"/>
          <w:szCs w:val="17"/>
          <w:color w:val="333333"/>
        </w:rPr>
        <w:t xml:space="preserve"> by 45% in 2025 compared with 2019.</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0"/>
        </w:numPr>
        <w:rPr>
          <w:rFonts w:ascii="MS PGothic" w:cs="MS PGothic" w:eastAsia="MS PGothic" w:hAnsi="MS PGothic"/>
          <w:sz w:val="17"/>
          <w:szCs w:val="17"/>
          <w:color w:val="0591DB"/>
        </w:rPr>
      </w:pPr>
      <w:r>
        <w:rPr>
          <w:rFonts w:ascii="Calibri" w:cs="Calibri" w:eastAsia="Calibri" w:hAnsi="Calibri"/>
          <w:sz w:val="17"/>
          <w:szCs w:val="17"/>
          <w:color w:val="333333"/>
        </w:rPr>
        <w:t xml:space="preserve">Reduced square footage per FTE </w:t>
      </w:r>
      <w:r>
        <w:rPr>
          <w:rFonts w:ascii="Calibri" w:cs="Calibri" w:eastAsia="Calibri" w:hAnsi="Calibri"/>
          <w:sz w:val="12"/>
          <w:szCs w:val="12"/>
          <w:color w:val="333333"/>
        </w:rPr>
        <w:t>(1)</w:t>
      </w:r>
      <w:r>
        <w:rPr>
          <w:rFonts w:ascii="Calibri" w:cs="Calibri" w:eastAsia="Calibri" w:hAnsi="Calibri"/>
          <w:sz w:val="17"/>
          <w:szCs w:val="17"/>
          <w:color w:val="333333"/>
        </w:rPr>
        <w:t xml:space="preserve"> by 45% in 2025 compared with 2019.</w:t>
      </w:r>
    </w:p>
    <w:p>
      <w:pPr>
        <w:spacing w:after="0" w:line="225" w:lineRule="exact"/>
        <w:rPr>
          <w:sz w:val="20"/>
          <w:szCs w:val="20"/>
          <w:color w:val="auto"/>
        </w:rPr>
      </w:pPr>
    </w:p>
    <w:p>
      <w:pPr>
        <w:ind w:left="160" w:right="40"/>
        <w:spacing w:after="0" w:line="233" w:lineRule="auto"/>
        <w:rPr>
          <w:sz w:val="20"/>
          <w:szCs w:val="20"/>
          <w:color w:val="auto"/>
        </w:rPr>
      </w:pPr>
      <w:r>
        <w:rPr>
          <w:rFonts w:ascii="Calibri" w:cs="Calibri" w:eastAsia="Calibri" w:hAnsi="Calibri"/>
          <w:sz w:val="17"/>
          <w:szCs w:val="17"/>
          <w:color w:val="333333"/>
        </w:rPr>
        <w:t>For more informaton about FTI Consultng’s environmental practces and the methodology used to calculate our environmental impact, please review the Company’s Environmental Responsibility &amp; Climate Change Disclosure Policy, available on the Governance page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254000</wp:posOffset>
            </wp:positionV>
            <wp:extent cx="14522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00" w:hanging="433"/>
        <w:spacing w:after="0" w:line="215" w:lineRule="auto"/>
        <w:tabs>
          <w:tab w:leader="none" w:pos="600" w:val="left"/>
        </w:tabs>
        <w:numPr>
          <w:ilvl w:val="0"/>
          <w:numId w:val="11"/>
        </w:numPr>
        <w:rPr>
          <w:rFonts w:ascii="Calibri" w:cs="Calibri" w:eastAsia="Calibri" w:hAnsi="Calibri"/>
          <w:sz w:val="21"/>
          <w:szCs w:val="21"/>
          <w:color w:val="333333"/>
          <w:vertAlign w:val="superscript"/>
        </w:rPr>
      </w:pPr>
      <w:r>
        <w:rPr>
          <w:rFonts w:ascii="Calibri" w:cs="Calibri" w:eastAsia="Calibri" w:hAnsi="Calibri"/>
          <w:sz w:val="14"/>
          <w:szCs w:val="14"/>
          <w:color w:val="333333"/>
        </w:rPr>
        <w:t>We calculate full-tme equivalent employees by adding FTI Consultng’s total employee headcount, as reported in our Annual Report on Form 10-K for each applicable calendar year ended December 31, to the number of independent contractors as of December 31 of each calendar year. For the purpose of this calculaton, independent contractors are defned as temporary resources who, at tmes, may travel for business purposes on behalf of FTI Consultng. See Appendix C for the reconciliatons of ‘‘employees,’’ to ‘‘full-tme equivalent employees,’’ for each applicable calendar year ended December 31.</w:t>
      </w:r>
    </w:p>
    <w:p>
      <w:pPr>
        <w:spacing w:after="0" w:line="6" w:lineRule="exact"/>
        <w:rPr>
          <w:rFonts w:ascii="Calibri" w:cs="Calibri" w:eastAsia="Calibri" w:hAnsi="Calibri"/>
          <w:sz w:val="21"/>
          <w:szCs w:val="21"/>
          <w:color w:val="333333"/>
          <w:vertAlign w:val="superscript"/>
        </w:rPr>
      </w:pPr>
    </w:p>
    <w:p>
      <w:pPr>
        <w:ind w:left="600" w:right="120" w:hanging="433"/>
        <w:spacing w:after="0" w:line="192" w:lineRule="auto"/>
        <w:tabs>
          <w:tab w:leader="none" w:pos="600" w:val="left"/>
        </w:tabs>
        <w:numPr>
          <w:ilvl w:val="0"/>
          <w:numId w:val="11"/>
        </w:numPr>
        <w:rPr>
          <w:rFonts w:ascii="Calibri" w:cs="Calibri" w:eastAsia="Calibri" w:hAnsi="Calibri"/>
          <w:sz w:val="21"/>
          <w:szCs w:val="21"/>
          <w:color w:val="333333"/>
          <w:vertAlign w:val="superscript"/>
        </w:rPr>
      </w:pPr>
      <w:r>
        <w:rPr>
          <w:rFonts w:ascii="Calibri" w:cs="Calibri" w:eastAsia="Calibri" w:hAnsi="Calibri"/>
          <w:sz w:val="14"/>
          <w:szCs w:val="14"/>
          <w:color w:val="333333"/>
        </w:rPr>
        <w:t>In additon to emissions from business travel, our Scope 3 emissions target includes capital goods and 46% of our purchased goods and services. These categories represent 67% of our Scope 3 emissions inventory, which is in line with the threshold set by SBTi.</w:t>
      </w:r>
    </w:p>
    <w:p>
      <w:pPr>
        <w:spacing w:after="0" w:line="136"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viii</w:t>
      </w:r>
    </w:p>
    <w:p>
      <w:pPr>
        <w:sectPr>
          <w:pgSz w:w="11900" w:h="16838" w:orient="portrait"/>
          <w:cols w:equalWidth="0" w:num="1">
            <w:col w:w="11040"/>
          </w:cols>
          <w:pgMar w:left="320" w:top="478"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Social</w:t>
      </w:r>
    </w:p>
    <w:p>
      <w:pPr>
        <w:spacing w:after="0" w:line="212" w:lineRule="exact"/>
        <w:rPr>
          <w:sz w:val="20"/>
          <w:szCs w:val="20"/>
          <w:color w:val="auto"/>
        </w:rPr>
      </w:pPr>
    </w:p>
    <w:p>
      <w:pPr>
        <w:ind w:left="160"/>
        <w:spacing w:after="0" w:line="233" w:lineRule="auto"/>
        <w:rPr>
          <w:sz w:val="20"/>
          <w:szCs w:val="20"/>
          <w:color w:val="auto"/>
        </w:rPr>
      </w:pPr>
      <w:r>
        <w:rPr>
          <w:rFonts w:ascii="Calibri" w:cs="Calibri" w:eastAsia="Calibri" w:hAnsi="Calibri"/>
          <w:sz w:val="17"/>
          <w:szCs w:val="17"/>
          <w:i w:val="1"/>
          <w:iCs w:val="1"/>
          <w:color w:val="333333"/>
        </w:rPr>
        <w:t>FTI Consultng seeks to empower our people to do good in the communites in which we live and work; to foster an inclusive culture; and to be the company of choice for the best professionals to build and advance in their career.</w:t>
      </w:r>
    </w:p>
    <w:p>
      <w:pPr>
        <w:spacing w:after="0" w:line="114" w:lineRule="exact"/>
        <w:rPr>
          <w:sz w:val="20"/>
          <w:szCs w:val="20"/>
          <w:color w:val="auto"/>
        </w:rPr>
      </w:pPr>
    </w:p>
    <w:p>
      <w:pPr>
        <w:ind w:left="1020" w:hanging="318"/>
        <w:spacing w:after="0"/>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 xml:space="preserve">39% of employees </w:t>
      </w:r>
      <w:r>
        <w:rPr>
          <w:rFonts w:ascii="Calibri" w:cs="Calibri" w:eastAsia="Calibri" w:hAnsi="Calibri"/>
          <w:sz w:val="12"/>
          <w:szCs w:val="12"/>
          <w:color w:val="333333"/>
        </w:rPr>
        <w:t>(1)</w:t>
      </w:r>
      <w:r>
        <w:rPr>
          <w:rFonts w:ascii="Calibri" w:cs="Calibri" w:eastAsia="Calibri" w:hAnsi="Calibri"/>
          <w:sz w:val="17"/>
          <w:szCs w:val="17"/>
          <w:color w:val="333333"/>
        </w:rPr>
        <w:t xml:space="preserve"> partcipated in FTI Consultng’s Corporate Citzenship Program in 2025.</w:t>
      </w:r>
    </w:p>
    <w:p>
      <w:pPr>
        <w:spacing w:after="0" w:line="44"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FTI Consultng professionals contributed approximately $9.3 million in pro bono services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FTI Consultng professionals provided more than 6,700 hours of volunteer service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Our voluntary employee turnover rate was 14%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The Company achieved an 87% and 80% acceptance rate for experienced hires and campus hires, respectvely,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 xml:space="preserve">98% of employees </w:t>
      </w:r>
      <w:r>
        <w:rPr>
          <w:rFonts w:ascii="Calibri" w:cs="Calibri" w:eastAsia="Calibri" w:hAnsi="Calibri"/>
          <w:sz w:val="12"/>
          <w:szCs w:val="12"/>
          <w:color w:val="333333"/>
        </w:rPr>
        <w:t>(1)</w:t>
      </w:r>
      <w:r>
        <w:rPr>
          <w:rFonts w:ascii="Calibri" w:cs="Calibri" w:eastAsia="Calibri" w:hAnsi="Calibri"/>
          <w:sz w:val="17"/>
          <w:szCs w:val="17"/>
          <w:color w:val="333333"/>
        </w:rPr>
        <w:t xml:space="preserve"> partcipated in talent development training programs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 xml:space="preserve">Employees </w:t>
      </w:r>
      <w:r>
        <w:rPr>
          <w:rFonts w:ascii="Calibri" w:cs="Calibri" w:eastAsia="Calibri" w:hAnsi="Calibri"/>
          <w:sz w:val="12"/>
          <w:szCs w:val="12"/>
          <w:color w:val="333333"/>
        </w:rPr>
        <w:t>(1)</w:t>
      </w:r>
      <w:r>
        <w:rPr>
          <w:rFonts w:ascii="Calibri" w:cs="Calibri" w:eastAsia="Calibri" w:hAnsi="Calibri"/>
          <w:sz w:val="17"/>
          <w:szCs w:val="17"/>
          <w:color w:val="333333"/>
        </w:rPr>
        <w:t xml:space="preserve"> logged more than 124,000 training hours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 xml:space="preserve">Averaged 15.3 training hours per employee </w:t>
      </w:r>
      <w:r>
        <w:rPr>
          <w:rFonts w:ascii="Calibri" w:cs="Calibri" w:eastAsia="Calibri" w:hAnsi="Calibri"/>
          <w:sz w:val="12"/>
          <w:szCs w:val="12"/>
          <w:color w:val="333333"/>
        </w:rPr>
        <w:t>(1)</w:t>
      </w:r>
      <w:r>
        <w:rPr>
          <w:rFonts w:ascii="Calibri" w:cs="Calibri" w:eastAsia="Calibri" w:hAnsi="Calibri"/>
          <w:sz w:val="17"/>
          <w:szCs w:val="17"/>
          <w:color w:val="333333"/>
        </w:rPr>
        <w:t xml:space="preserve"> in 2025.</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1"/>
          <w:numId w:val="12"/>
        </w:numPr>
        <w:rPr>
          <w:rFonts w:ascii="MS PGothic" w:cs="MS PGothic" w:eastAsia="MS PGothic" w:hAnsi="MS PGothic"/>
          <w:sz w:val="17"/>
          <w:szCs w:val="17"/>
          <w:color w:val="0591DB"/>
        </w:rPr>
      </w:pPr>
      <w:r>
        <w:rPr>
          <w:rFonts w:ascii="Calibri" w:cs="Calibri" w:eastAsia="Calibri" w:hAnsi="Calibri"/>
          <w:sz w:val="17"/>
          <w:szCs w:val="17"/>
          <w:color w:val="333333"/>
        </w:rPr>
        <w:t>64% of Senior Managing Directors have been with the frm for more than fve years, with 48% exceeding 10 years.</w:t>
      </w:r>
    </w:p>
    <w:p>
      <w:pPr>
        <w:spacing w:after="0" w:line="123" w:lineRule="exact"/>
        <w:rPr>
          <w:rFonts w:ascii="MS PGothic" w:cs="MS PGothic" w:eastAsia="MS PGothic" w:hAnsi="MS PGothic"/>
          <w:sz w:val="17"/>
          <w:szCs w:val="17"/>
          <w:color w:val="0591DB"/>
        </w:rPr>
      </w:pPr>
    </w:p>
    <w:p>
      <w:pPr>
        <w:ind w:left="600" w:hanging="433"/>
        <w:spacing w:after="0"/>
        <w:tabs>
          <w:tab w:leader="none" w:pos="600" w:val="left"/>
        </w:tabs>
        <w:numPr>
          <w:ilvl w:val="0"/>
          <w:numId w:val="12"/>
        </w:numPr>
        <w:rPr>
          <w:rFonts w:ascii="Calibri" w:cs="Calibri" w:eastAsia="Calibri" w:hAnsi="Calibri"/>
          <w:sz w:val="21"/>
          <w:szCs w:val="21"/>
          <w:color w:val="333333"/>
          <w:vertAlign w:val="superscript"/>
        </w:rPr>
      </w:pPr>
      <w:r>
        <w:rPr>
          <w:rFonts w:ascii="Calibri" w:cs="Calibri" w:eastAsia="Calibri" w:hAnsi="Calibri"/>
          <w:sz w:val="14"/>
          <w:szCs w:val="14"/>
          <w:color w:val="333333"/>
        </w:rPr>
        <w:t>“Employees” refers to FTI Consultng’s total headcount as reported in our Annual Report on Form 10-K fled with the SEC for each calendar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-131445</wp:posOffset>
            </wp:positionV>
            <wp:extent cx="14522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82"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Governance</w:t>
      </w:r>
    </w:p>
    <w:p>
      <w:pPr>
        <w:spacing w:after="0" w:line="212" w:lineRule="exact"/>
        <w:rPr>
          <w:sz w:val="20"/>
          <w:szCs w:val="20"/>
          <w:color w:val="auto"/>
        </w:rPr>
      </w:pPr>
    </w:p>
    <w:p>
      <w:pPr>
        <w:ind w:left="160" w:right="200"/>
        <w:spacing w:after="0" w:line="233" w:lineRule="auto"/>
        <w:rPr>
          <w:sz w:val="20"/>
          <w:szCs w:val="20"/>
          <w:color w:val="auto"/>
        </w:rPr>
      </w:pPr>
      <w:r>
        <w:rPr>
          <w:rFonts w:ascii="Calibri" w:cs="Calibri" w:eastAsia="Calibri" w:hAnsi="Calibri"/>
          <w:sz w:val="17"/>
          <w:szCs w:val="17"/>
          <w:i w:val="1"/>
          <w:iCs w:val="1"/>
          <w:color w:val="333333"/>
        </w:rPr>
        <w:t>Our approach to corporate governance is informed by principled actons, efectve decision making, and appropriate monitoring of compliance, risks and performance.</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Board Structure</w:t>
      </w:r>
    </w:p>
    <w:p>
      <w:pPr>
        <w:ind w:left="1020" w:hanging="318"/>
        <w:spacing w:after="0" w:line="232"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88% of director nominees are independent directors.</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Empowered Lead Independent Director with broad authority and responsibilites.</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100% independent Board Commitee membership.</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Executve sessions of the independent directors are held at Board meetngs without management present.</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Annual review of Board leadership structure.</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Annual electon of directors by majority vote in uncontested electons, with director resignaton policy.</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Board and commitees can hire outside advisors independent of management.</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38% of director nominees are female.</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3"/>
        </w:numPr>
        <w:rPr>
          <w:rFonts w:ascii="MS PGothic" w:cs="MS PGothic" w:eastAsia="MS PGothic" w:hAnsi="MS PGothic"/>
          <w:sz w:val="17"/>
          <w:szCs w:val="17"/>
          <w:color w:val="0591DB"/>
        </w:rPr>
      </w:pPr>
      <w:r>
        <w:rPr>
          <w:rFonts w:ascii="Calibri" w:cs="Calibri" w:eastAsia="Calibri" w:hAnsi="Calibri"/>
          <w:sz w:val="17"/>
          <w:szCs w:val="17"/>
          <w:color w:val="333333"/>
        </w:rPr>
        <w:t>25% of director nominees are based outside of the U.S.</w:t>
      </w:r>
    </w:p>
    <w:p>
      <w:pPr>
        <w:spacing w:after="0" w:line="221"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Board Oversight</w:t>
      </w:r>
    </w:p>
    <w:p>
      <w:pPr>
        <w:ind w:left="1020" w:hanging="318"/>
        <w:spacing w:after="0" w:line="232"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Board oversees the Company’s strategy and annual business plan.</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Board oversees Corporate Responsibility maters, including climate-related risks and opportunites.</w:t>
      </w:r>
    </w:p>
    <w:p>
      <w:pPr>
        <w:spacing w:after="0" w:line="45" w:lineRule="exact"/>
        <w:rPr>
          <w:rFonts w:ascii="MS PGothic" w:cs="MS PGothic" w:eastAsia="MS PGothic" w:hAnsi="MS PGothic"/>
          <w:sz w:val="17"/>
          <w:szCs w:val="17"/>
          <w:color w:val="0591DB"/>
        </w:rPr>
      </w:pPr>
    </w:p>
    <w:p>
      <w:pPr>
        <w:ind w:left="1020" w:right="40" w:hanging="318"/>
        <w:spacing w:after="0" w:line="213"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Audit Commitee oversees our fnancial reportng actvites, including the annual audit, the accountng standards and principles we follow and our internal audit actvites.</w:t>
      </w:r>
    </w:p>
    <w:p>
      <w:pPr>
        <w:spacing w:after="0" w:line="1" w:lineRule="exact"/>
        <w:rPr>
          <w:rFonts w:ascii="MS PGothic" w:cs="MS PGothic" w:eastAsia="MS PGothic" w:hAnsi="MS PGothic"/>
          <w:sz w:val="17"/>
          <w:szCs w:val="17"/>
          <w:color w:val="0591DB"/>
        </w:rPr>
      </w:pPr>
    </w:p>
    <w:p>
      <w:pPr>
        <w:ind w:left="1020" w:hanging="318"/>
        <w:spacing w:after="0" w:line="232"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Audit Commitee oversees the Company’s risk exposures related to informaton security, cybersecurity and artfcial intelligence.</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Compensaton Commitee oversees risk in compensaton policies and practces.</w:t>
      </w:r>
    </w:p>
    <w:p>
      <w:pPr>
        <w:spacing w:after="0" w:line="45" w:lineRule="exact"/>
        <w:rPr>
          <w:rFonts w:ascii="MS PGothic" w:cs="MS PGothic" w:eastAsia="MS PGothic" w:hAnsi="MS PGothic"/>
          <w:sz w:val="17"/>
          <w:szCs w:val="17"/>
          <w:color w:val="0591DB"/>
        </w:rPr>
      </w:pPr>
    </w:p>
    <w:p>
      <w:pPr>
        <w:ind w:left="1020" w:right="100" w:hanging="318"/>
        <w:spacing w:after="0" w:line="213"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Nominatng, Corporate Governance and Social Responsibility (“NCGSR”) Commitee oversees our social responsibility, human capital and ESG-, climate change- and other sustainability-related factors.</w:t>
      </w:r>
    </w:p>
    <w:p>
      <w:pPr>
        <w:spacing w:after="0" w:line="1" w:lineRule="exact"/>
        <w:rPr>
          <w:rFonts w:ascii="MS PGothic" w:cs="MS PGothic" w:eastAsia="MS PGothic" w:hAnsi="MS PGothic"/>
          <w:sz w:val="17"/>
          <w:szCs w:val="17"/>
          <w:color w:val="0591DB"/>
        </w:rPr>
      </w:pPr>
    </w:p>
    <w:p>
      <w:pPr>
        <w:ind w:left="1020" w:hanging="318"/>
        <w:spacing w:after="0" w:line="232" w:lineRule="auto"/>
        <w:tabs>
          <w:tab w:leader="none" w:pos="1020" w:val="left"/>
        </w:tabs>
        <w:numPr>
          <w:ilvl w:val="0"/>
          <w:numId w:val="14"/>
        </w:numPr>
        <w:rPr>
          <w:rFonts w:ascii="MS PGothic" w:cs="MS PGothic" w:eastAsia="MS PGothic" w:hAnsi="MS PGothic"/>
          <w:sz w:val="17"/>
          <w:szCs w:val="17"/>
          <w:color w:val="0591DB"/>
        </w:rPr>
      </w:pPr>
      <w:r>
        <w:rPr>
          <w:rFonts w:ascii="Calibri" w:cs="Calibri" w:eastAsia="Calibri" w:hAnsi="Calibri"/>
          <w:sz w:val="17"/>
          <w:szCs w:val="17"/>
          <w:color w:val="333333"/>
        </w:rPr>
        <w:t>The NCGSR Commitee oversees the process relatng to succession planning for our CEO and other executve ofcer positons.</w:t>
      </w:r>
    </w:p>
    <w:p>
      <w:pPr>
        <w:spacing w:after="0" w:line="154"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ix</w:t>
      </w:r>
    </w:p>
    <w:p>
      <w:pPr>
        <w:sectPr>
          <w:pgSz w:w="11900" w:h="16838" w:orient="portrait"/>
          <w:cols w:equalWidth="0" w:num="1">
            <w:col w:w="11040"/>
          </w:cols>
          <w:pgMar w:left="320" w:top="478"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Shareholder Rights</w:t>
      </w:r>
    </w:p>
    <w:p>
      <w:pPr>
        <w:ind w:left="1020" w:hanging="318"/>
        <w:spacing w:after="0" w:line="232" w:lineRule="auto"/>
        <w:tabs>
          <w:tab w:leader="none" w:pos="1020" w:val="left"/>
        </w:tabs>
        <w:numPr>
          <w:ilvl w:val="0"/>
          <w:numId w:val="15"/>
        </w:numPr>
        <w:rPr>
          <w:rFonts w:ascii="MS PGothic" w:cs="MS PGothic" w:eastAsia="MS PGothic" w:hAnsi="MS PGothic"/>
          <w:sz w:val="17"/>
          <w:szCs w:val="17"/>
          <w:color w:val="0591DB"/>
        </w:rPr>
      </w:pPr>
      <w:r>
        <w:rPr>
          <w:rFonts w:ascii="Calibri" w:cs="Calibri" w:eastAsia="Calibri" w:hAnsi="Calibri"/>
          <w:sz w:val="17"/>
          <w:szCs w:val="17"/>
          <w:color w:val="333333"/>
        </w:rPr>
        <w:t>Shareholders have the right to call a special meetng.</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5"/>
        </w:numPr>
        <w:rPr>
          <w:rFonts w:ascii="MS PGothic" w:cs="MS PGothic" w:eastAsia="MS PGothic" w:hAnsi="MS PGothic"/>
          <w:sz w:val="17"/>
          <w:szCs w:val="17"/>
          <w:color w:val="0591DB"/>
        </w:rPr>
      </w:pPr>
      <w:r>
        <w:rPr>
          <w:rFonts w:ascii="Calibri" w:cs="Calibri" w:eastAsia="Calibri" w:hAnsi="Calibri"/>
          <w:sz w:val="17"/>
          <w:szCs w:val="17"/>
          <w:color w:val="333333"/>
        </w:rPr>
        <w:t>No shareholder rights plan or “poison pill.”</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5"/>
        </w:numPr>
        <w:rPr>
          <w:rFonts w:ascii="MS PGothic" w:cs="MS PGothic" w:eastAsia="MS PGothic" w:hAnsi="MS PGothic"/>
          <w:sz w:val="17"/>
          <w:szCs w:val="17"/>
          <w:color w:val="0591DB"/>
        </w:rPr>
      </w:pPr>
      <w:r>
        <w:rPr>
          <w:rFonts w:ascii="Calibri" w:cs="Calibri" w:eastAsia="Calibri" w:hAnsi="Calibri"/>
          <w:sz w:val="17"/>
          <w:szCs w:val="17"/>
          <w:color w:val="333333"/>
        </w:rPr>
        <w:t>One vote per share, with no dual-class share structure.</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5"/>
        </w:numPr>
        <w:rPr>
          <w:rFonts w:ascii="MS PGothic" w:cs="MS PGothic" w:eastAsia="MS PGothic" w:hAnsi="MS PGothic"/>
          <w:sz w:val="17"/>
          <w:szCs w:val="17"/>
          <w:color w:val="0591DB"/>
        </w:rPr>
      </w:pPr>
      <w:r>
        <w:rPr>
          <w:rFonts w:ascii="Calibri" w:cs="Calibri" w:eastAsia="Calibri" w:hAnsi="Calibri"/>
          <w:sz w:val="17"/>
          <w:szCs w:val="17"/>
          <w:color w:val="333333"/>
        </w:rPr>
        <w:t>Our governance documents do not contain provisions requiring a supermajority stockholder vote on any issue.</w:t>
      </w:r>
    </w:p>
    <w:p>
      <w:pPr>
        <w:spacing w:after="0" w:line="221"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Compliance and Business Ethics</w:t>
      </w:r>
    </w:p>
    <w:p>
      <w:pPr>
        <w:ind w:left="1020" w:hanging="318"/>
        <w:spacing w:after="0" w:line="232" w:lineRule="auto"/>
        <w:tabs>
          <w:tab w:leader="none" w:pos="1020" w:val="left"/>
        </w:tabs>
        <w:numPr>
          <w:ilvl w:val="0"/>
          <w:numId w:val="16"/>
        </w:numPr>
        <w:rPr>
          <w:rFonts w:ascii="MS PGothic" w:cs="MS PGothic" w:eastAsia="MS PGothic" w:hAnsi="MS PGothic"/>
          <w:sz w:val="17"/>
          <w:szCs w:val="17"/>
          <w:color w:val="0591DB"/>
        </w:rPr>
      </w:pPr>
      <w:r>
        <w:rPr>
          <w:rFonts w:ascii="Calibri" w:cs="Calibri" w:eastAsia="Calibri" w:hAnsi="Calibri"/>
          <w:sz w:val="17"/>
          <w:szCs w:val="17"/>
          <w:color w:val="0591DB"/>
        </w:rPr>
        <w:t xml:space="preserve">Code of Ethics and Business Conduct Policy </w:t>
      </w:r>
      <w:r>
        <w:rPr>
          <w:rFonts w:ascii="Calibri" w:cs="Calibri" w:eastAsia="Calibri" w:hAnsi="Calibri"/>
          <w:sz w:val="17"/>
          <w:szCs w:val="17"/>
          <w:color w:val="333333"/>
        </w:rPr>
        <w:t>supported by training for all employees globally.</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6"/>
        </w:numPr>
        <w:rPr>
          <w:rFonts w:ascii="MS PGothic" w:cs="MS PGothic" w:eastAsia="MS PGothic" w:hAnsi="MS PGothic"/>
          <w:sz w:val="17"/>
          <w:szCs w:val="17"/>
          <w:color w:val="0591DB"/>
        </w:rPr>
      </w:pPr>
      <w:r>
        <w:rPr>
          <w:rFonts w:ascii="Calibri" w:cs="Calibri" w:eastAsia="Calibri" w:hAnsi="Calibri"/>
          <w:sz w:val="17"/>
          <w:szCs w:val="17"/>
          <w:color w:val="0591DB"/>
        </w:rPr>
        <w:t xml:space="preserve">Privacy Policy </w:t>
      </w:r>
      <w:r>
        <w:rPr>
          <w:rFonts w:ascii="Calibri" w:cs="Calibri" w:eastAsia="Calibri" w:hAnsi="Calibri"/>
          <w:sz w:val="17"/>
          <w:szCs w:val="17"/>
          <w:color w:val="333333"/>
        </w:rPr>
        <w:t>and mandatory periodic informaton technology security and privacy training for all employees globally.</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6"/>
        </w:numPr>
        <w:rPr>
          <w:rFonts w:ascii="MS PGothic" w:cs="MS PGothic" w:eastAsia="MS PGothic" w:hAnsi="MS PGothic"/>
          <w:sz w:val="17"/>
          <w:szCs w:val="17"/>
          <w:color w:val="0591DB"/>
        </w:rPr>
      </w:pPr>
      <w:r>
        <w:rPr>
          <w:rFonts w:ascii="Calibri" w:cs="Calibri" w:eastAsia="Calibri" w:hAnsi="Calibri"/>
          <w:sz w:val="17"/>
          <w:szCs w:val="17"/>
          <w:color w:val="333333"/>
        </w:rPr>
        <w:t xml:space="preserve">Requirement for third-party contractors to acknowledge FTI Consultng’s </w:t>
      </w:r>
      <w:r>
        <w:rPr>
          <w:rFonts w:ascii="Calibri" w:cs="Calibri" w:eastAsia="Calibri" w:hAnsi="Calibri"/>
          <w:sz w:val="17"/>
          <w:szCs w:val="17"/>
          <w:color w:val="0591DB"/>
        </w:rPr>
        <w:t>Ant-Corrupton Policy</w:t>
      </w:r>
      <w:r>
        <w:rPr>
          <w:rFonts w:ascii="Calibri" w:cs="Calibri" w:eastAsia="Calibri" w:hAnsi="Calibri"/>
          <w:sz w:val="17"/>
          <w:szCs w:val="17"/>
          <w:color w:val="333333"/>
        </w:rPr>
        <w:t xml:space="preserve"> and </w:t>
      </w:r>
      <w:r>
        <w:rPr>
          <w:rFonts w:ascii="Calibri" w:cs="Calibri" w:eastAsia="Calibri" w:hAnsi="Calibri"/>
          <w:sz w:val="17"/>
          <w:szCs w:val="17"/>
          <w:color w:val="0591DB"/>
        </w:rPr>
        <w:t>Vendor Code of Conduct</w:t>
      </w:r>
      <w:r>
        <w:rPr>
          <w:rFonts w:ascii="Calibri" w:cs="Calibri" w:eastAsia="Calibri" w:hAnsi="Calibri"/>
          <w:sz w:val="17"/>
          <w:szCs w:val="17"/>
          <w:color w:val="333333"/>
        </w:rPr>
        <w:t>.</w:t>
      </w:r>
    </w:p>
    <w:p>
      <w:pPr>
        <w:spacing w:after="0" w:line="45" w:lineRule="exact"/>
        <w:rPr>
          <w:rFonts w:ascii="MS PGothic" w:cs="MS PGothic" w:eastAsia="MS PGothic" w:hAnsi="MS PGothic"/>
          <w:sz w:val="17"/>
          <w:szCs w:val="17"/>
          <w:color w:val="0591DB"/>
        </w:rPr>
      </w:pPr>
    </w:p>
    <w:p>
      <w:pPr>
        <w:ind w:left="1020" w:hanging="318"/>
        <w:spacing w:after="0" w:line="213" w:lineRule="auto"/>
        <w:tabs>
          <w:tab w:leader="none" w:pos="1020" w:val="left"/>
        </w:tabs>
        <w:numPr>
          <w:ilvl w:val="0"/>
          <w:numId w:val="16"/>
        </w:numPr>
        <w:rPr>
          <w:rFonts w:ascii="MS PGothic" w:cs="MS PGothic" w:eastAsia="MS PGothic" w:hAnsi="MS PGothic"/>
          <w:sz w:val="17"/>
          <w:szCs w:val="17"/>
          <w:color w:val="0591DB"/>
        </w:rPr>
      </w:pPr>
      <w:r>
        <w:rPr>
          <w:rFonts w:ascii="Calibri" w:cs="Calibri" w:eastAsia="Calibri" w:hAnsi="Calibri"/>
          <w:sz w:val="17"/>
          <w:szCs w:val="17"/>
          <w:color w:val="0591DB"/>
        </w:rPr>
        <w:t xml:space="preserve">Policy on Reportng Concerns and Non-Retaliaton </w:t>
      </w:r>
      <w:r>
        <w:rPr>
          <w:rFonts w:ascii="Calibri" w:cs="Calibri" w:eastAsia="Calibri" w:hAnsi="Calibri"/>
          <w:sz w:val="17"/>
          <w:szCs w:val="17"/>
          <w:color w:val="333333"/>
        </w:rPr>
        <w:t>and access to anonymous FTI Consultng Integrity Helpline for ofcers, employees and</w:t>
      </w:r>
      <w:r>
        <w:rPr>
          <w:rFonts w:ascii="Calibri" w:cs="Calibri" w:eastAsia="Calibri" w:hAnsi="Calibri"/>
          <w:sz w:val="17"/>
          <w:szCs w:val="17"/>
          <w:color w:val="0591DB"/>
        </w:rPr>
        <w:t xml:space="preserve"> </w:t>
      </w:r>
      <w:r>
        <w:rPr>
          <w:rFonts w:ascii="Calibri" w:cs="Calibri" w:eastAsia="Calibri" w:hAnsi="Calibri"/>
          <w:sz w:val="17"/>
          <w:szCs w:val="17"/>
          <w:color w:val="333333"/>
        </w:rPr>
        <w:t>non-employee directors.</w:t>
      </w:r>
    </w:p>
    <w:p>
      <w:pPr>
        <w:spacing w:after="0" w:line="1" w:lineRule="exact"/>
        <w:rPr>
          <w:rFonts w:ascii="MS PGothic" w:cs="MS PGothic" w:eastAsia="MS PGothic" w:hAnsi="MS PGothic"/>
          <w:sz w:val="17"/>
          <w:szCs w:val="17"/>
          <w:color w:val="0591DB"/>
        </w:rPr>
      </w:pPr>
    </w:p>
    <w:p>
      <w:pPr>
        <w:ind w:left="1020" w:hanging="318"/>
        <w:spacing w:after="0" w:line="232" w:lineRule="auto"/>
        <w:tabs>
          <w:tab w:leader="none" w:pos="1020" w:val="left"/>
        </w:tabs>
        <w:numPr>
          <w:ilvl w:val="0"/>
          <w:numId w:val="16"/>
        </w:numPr>
        <w:rPr>
          <w:rFonts w:ascii="MS PGothic" w:cs="MS PGothic" w:eastAsia="MS PGothic" w:hAnsi="MS PGothic"/>
          <w:sz w:val="17"/>
          <w:szCs w:val="17"/>
          <w:color w:val="0591DB"/>
        </w:rPr>
      </w:pPr>
      <w:r>
        <w:rPr>
          <w:rFonts w:ascii="Calibri" w:cs="Calibri" w:eastAsia="Calibri" w:hAnsi="Calibri"/>
          <w:sz w:val="17"/>
          <w:szCs w:val="17"/>
          <w:color w:val="0591DB"/>
        </w:rPr>
        <w:t xml:space="preserve">Policy on Inside Informaton and Insider Trading </w:t>
      </w:r>
      <w:r>
        <w:rPr>
          <w:rFonts w:ascii="Calibri" w:cs="Calibri" w:eastAsia="Calibri" w:hAnsi="Calibri"/>
          <w:sz w:val="17"/>
          <w:szCs w:val="17"/>
          <w:color w:val="333333"/>
        </w:rPr>
        <w:t>supported by training for all employees globally.</w:t>
      </w:r>
    </w:p>
    <w:p>
      <w:pPr>
        <w:spacing w:after="0" w:line="45" w:lineRule="exact"/>
        <w:rPr>
          <w:rFonts w:ascii="MS PGothic" w:cs="MS PGothic" w:eastAsia="MS PGothic" w:hAnsi="MS PGothic"/>
          <w:sz w:val="17"/>
          <w:szCs w:val="17"/>
          <w:color w:val="0591DB"/>
        </w:rPr>
      </w:pPr>
    </w:p>
    <w:p>
      <w:pPr>
        <w:ind w:left="1020" w:hanging="318"/>
        <w:spacing w:after="0" w:line="195" w:lineRule="auto"/>
        <w:tabs>
          <w:tab w:leader="none" w:pos="1020" w:val="left"/>
        </w:tabs>
        <w:numPr>
          <w:ilvl w:val="0"/>
          <w:numId w:val="16"/>
        </w:numPr>
        <w:rPr>
          <w:rFonts w:ascii="MS PGothic" w:cs="MS PGothic" w:eastAsia="MS PGothic" w:hAnsi="MS PGothic"/>
          <w:sz w:val="17"/>
          <w:szCs w:val="17"/>
          <w:color w:val="0591DB"/>
        </w:rPr>
      </w:pPr>
      <w:r>
        <w:rPr>
          <w:rFonts w:ascii="Calibri" w:cs="Calibri" w:eastAsia="Calibri" w:hAnsi="Calibri"/>
          <w:sz w:val="17"/>
          <w:szCs w:val="17"/>
          <w:color w:val="333333"/>
        </w:rPr>
        <w:t>Policies related to specifc legal and business requirements, such as ant-corrupton laws, privacy laws and internatonal sanctons rules.</w:t>
      </w:r>
    </w:p>
    <w:p>
      <w:pPr>
        <w:spacing w:after="0" w:line="154" w:lineRule="exact"/>
        <w:rPr>
          <w:sz w:val="20"/>
          <w:szCs w:val="20"/>
          <w:color w:val="auto"/>
        </w:rPr>
      </w:pPr>
    </w:p>
    <w:p>
      <w:pPr>
        <w:ind w:left="5580"/>
        <w:spacing w:after="0"/>
        <w:rPr>
          <w:sz w:val="20"/>
          <w:szCs w:val="20"/>
          <w:color w:val="auto"/>
        </w:rPr>
      </w:pPr>
      <w:r>
        <w:rPr>
          <w:rFonts w:ascii="Calibri" w:cs="Calibri" w:eastAsia="Calibri" w:hAnsi="Calibri"/>
          <w:sz w:val="17"/>
          <w:szCs w:val="17"/>
          <w:color w:val="333333"/>
        </w:rPr>
        <w:t>x</w:t>
      </w:r>
    </w:p>
    <w:p>
      <w:pPr>
        <w:sectPr>
          <w:pgSz w:w="11900" w:h="16838" w:orient="portrait"/>
          <w:cols w:equalWidth="0" w:num="1">
            <w:col w:w="10620"/>
          </w:cols>
          <w:pgMar w:left="320" w:top="478"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KEY ELEMENTS OF 2025 COMPENSATION PROGRAM</w:t>
      </w:r>
    </w:p>
    <w:p>
      <w:pPr>
        <w:spacing w:after="0" w:line="212" w:lineRule="exact"/>
        <w:rPr>
          <w:sz w:val="20"/>
          <w:szCs w:val="20"/>
          <w:color w:val="auto"/>
        </w:rPr>
      </w:pPr>
    </w:p>
    <w:p>
      <w:pPr>
        <w:ind w:left="160"/>
        <w:spacing w:after="0" w:line="233" w:lineRule="auto"/>
        <w:rPr>
          <w:sz w:val="20"/>
          <w:szCs w:val="20"/>
          <w:color w:val="auto"/>
        </w:rPr>
      </w:pPr>
      <w:r>
        <w:rPr>
          <w:rFonts w:ascii="Calibri" w:cs="Calibri" w:eastAsia="Calibri" w:hAnsi="Calibri"/>
          <w:sz w:val="17"/>
          <w:szCs w:val="17"/>
          <w:color w:val="333333"/>
        </w:rPr>
        <w:t>Our executve compensaton program is strongly linked to the fnancial and operatonal performance of the Company. The overall design of our compensaton program and each of its three primary components have remained substantally consistent for 2025 compared with 2024.</w:t>
      </w:r>
    </w:p>
    <w:p>
      <w:pPr>
        <w:spacing w:after="0" w:line="246" w:lineRule="exact"/>
        <w:rPr>
          <w:sz w:val="20"/>
          <w:szCs w:val="20"/>
          <w:color w:val="auto"/>
        </w:rPr>
      </w:pPr>
    </w:p>
    <w:tbl>
      <w:tblPr>
        <w:tblLayout w:type="fixed"/>
        <w:tblInd w:w="1270" w:type="dxa"/>
        <w:tblCellMar>
          <w:top w:w="0" w:type="dxa"/>
          <w:left w:w="0" w:type="dxa"/>
          <w:bottom w:w="0" w:type="dxa"/>
          <w:right w:w="0" w:type="dxa"/>
        </w:tblCellMar>
      </w:tblPr>
      <w:tr>
        <w:trPr>
          <w:trHeight w:val="213"/>
        </w:trPr>
        <w:tc>
          <w:tcPr>
            <w:tcW w:w="2580" w:type="dxa"/>
            <w:vAlign w:val="bottom"/>
            <w:tcBorders>
              <w:top w:val="single" w:sz="8" w:color="333333"/>
              <w:left w:val="single" w:sz="8" w:color="333333"/>
              <w:right w:val="single" w:sz="8" w:color="333333"/>
            </w:tcBorders>
          </w:tcPr>
          <w:p>
            <w:pPr>
              <w:spacing w:after="0"/>
              <w:rPr>
                <w:sz w:val="18"/>
                <w:szCs w:val="18"/>
                <w:color w:val="auto"/>
              </w:rPr>
            </w:pPr>
          </w:p>
        </w:tc>
        <w:tc>
          <w:tcPr>
            <w:tcW w:w="6160" w:type="dxa"/>
            <w:vAlign w:val="bottom"/>
            <w:tcBorders>
              <w:top w:val="single" w:sz="8" w:color="333333"/>
              <w:right w:val="single" w:sz="8" w:color="333333"/>
            </w:tcBorders>
          </w:tcPr>
          <w:p>
            <w:pPr>
              <w:ind w:left="60"/>
              <w:spacing w:after="0"/>
              <w:rPr>
                <w:sz w:val="20"/>
                <w:szCs w:val="20"/>
                <w:color w:val="auto"/>
              </w:rPr>
            </w:pPr>
            <w:r>
              <w:rPr>
                <w:rFonts w:ascii="Calibri" w:cs="Calibri" w:eastAsia="Calibri" w:hAnsi="Calibri"/>
                <w:sz w:val="17"/>
                <w:szCs w:val="17"/>
                <w:color w:val="333333"/>
              </w:rPr>
              <w:t>Fixed element of annual compensaton.</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ind w:left="160"/>
              <w:spacing w:after="0" w:line="201" w:lineRule="exact"/>
              <w:rPr>
                <w:sz w:val="20"/>
                <w:szCs w:val="20"/>
                <w:color w:val="auto"/>
              </w:rPr>
            </w:pPr>
            <w:r>
              <w:rPr>
                <w:rFonts w:ascii="Calibri" w:cs="Calibri" w:eastAsia="Calibri" w:hAnsi="Calibri"/>
                <w:sz w:val="17"/>
                <w:szCs w:val="17"/>
                <w:b w:val="1"/>
                <w:bCs w:val="1"/>
                <w:i w:val="1"/>
                <w:iCs w:val="1"/>
                <w:color w:val="333333"/>
              </w:rPr>
              <w:t>Annual Cash</w:t>
            </w:r>
          </w:p>
        </w:tc>
        <w:tc>
          <w:tcPr>
            <w:tcW w:w="6160" w:type="dxa"/>
            <w:vAlign w:val="bottom"/>
            <w:tcBorders>
              <w:right w:val="single" w:sz="8" w:color="333333"/>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80" w:type="dxa"/>
            <w:vAlign w:val="bottom"/>
            <w:tcBorders>
              <w:left w:val="single" w:sz="8" w:color="333333"/>
              <w:right w:val="single" w:sz="8" w:color="333333"/>
            </w:tcBorders>
          </w:tcPr>
          <w:p>
            <w:pPr>
              <w:ind w:left="160"/>
              <w:spacing w:after="0" w:line="203" w:lineRule="exact"/>
              <w:rPr>
                <w:sz w:val="20"/>
                <w:szCs w:val="20"/>
                <w:color w:val="auto"/>
              </w:rPr>
            </w:pPr>
            <w:r>
              <w:rPr>
                <w:rFonts w:ascii="Calibri" w:cs="Calibri" w:eastAsia="Calibri" w:hAnsi="Calibri"/>
                <w:sz w:val="17"/>
                <w:szCs w:val="17"/>
                <w:b w:val="1"/>
                <w:bCs w:val="1"/>
                <w:i w:val="1"/>
                <w:iCs w:val="1"/>
                <w:color w:val="333333"/>
              </w:rPr>
              <w:t>Base Salary</w:t>
            </w:r>
          </w:p>
        </w:tc>
        <w:tc>
          <w:tcPr>
            <w:tcW w:w="6160" w:type="dxa"/>
            <w:vAlign w:val="bottom"/>
            <w:tcBorders>
              <w:right w:val="single" w:sz="8" w:color="333333"/>
            </w:tcBorders>
          </w:tcPr>
          <w:p>
            <w:pPr>
              <w:ind w:left="60"/>
              <w:spacing w:after="0"/>
              <w:rPr>
                <w:sz w:val="20"/>
                <w:szCs w:val="20"/>
                <w:color w:val="auto"/>
              </w:rPr>
            </w:pPr>
            <w:r>
              <w:rPr>
                <w:rFonts w:ascii="Calibri" w:cs="Calibri" w:eastAsia="Calibri" w:hAnsi="Calibri"/>
                <w:sz w:val="17"/>
                <w:szCs w:val="17"/>
                <w:b w:val="1"/>
                <w:bCs w:val="1"/>
                <w:i w:val="1"/>
                <w:iCs w:val="1"/>
                <w:color w:val="333333"/>
              </w:rPr>
              <w:t>No change to the annual cash base salary (“base salary”) of our NEOs for 2025,</w:t>
            </w:r>
          </w:p>
        </w:tc>
        <w:tc>
          <w:tcPr>
            <w:tcW w:w="0" w:type="dxa"/>
            <w:vAlign w:val="bottom"/>
          </w:tcPr>
          <w:p>
            <w:pPr>
              <w:spacing w:after="0"/>
              <w:rPr>
                <w:sz w:val="1"/>
                <w:szCs w:val="1"/>
                <w:color w:val="auto"/>
              </w:rPr>
            </w:pPr>
          </w:p>
        </w:tc>
      </w:tr>
      <w:tr>
        <w:trPr>
          <w:trHeight w:val="203"/>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3" w:lineRule="exact"/>
              <w:rPr>
                <w:sz w:val="20"/>
                <w:szCs w:val="20"/>
                <w:color w:val="auto"/>
              </w:rPr>
            </w:pPr>
            <w:r>
              <w:rPr>
                <w:rFonts w:ascii="Calibri" w:cs="Calibri" w:eastAsia="Calibri" w:hAnsi="Calibri"/>
                <w:sz w:val="17"/>
                <w:szCs w:val="17"/>
                <w:b w:val="1"/>
                <w:bCs w:val="1"/>
                <w:i w:val="1"/>
                <w:iCs w:val="1"/>
                <w:color w:val="333333"/>
              </w:rPr>
              <w:t>except for an increase of $15,000 for Mr. Keatng.</w:t>
            </w:r>
          </w:p>
        </w:tc>
        <w:tc>
          <w:tcPr>
            <w:tcW w:w="0" w:type="dxa"/>
            <w:vAlign w:val="bottom"/>
          </w:tcPr>
          <w:p>
            <w:pPr>
              <w:spacing w:after="0"/>
              <w:rPr>
                <w:sz w:val="1"/>
                <w:szCs w:val="1"/>
                <w:color w:val="auto"/>
              </w:rPr>
            </w:pPr>
          </w:p>
        </w:tc>
      </w:tr>
      <w:tr>
        <w:trPr>
          <w:trHeight w:val="105"/>
        </w:trPr>
        <w:tc>
          <w:tcPr>
            <w:tcW w:w="2580" w:type="dxa"/>
            <w:vAlign w:val="bottom"/>
            <w:tcBorders>
              <w:left w:val="single" w:sz="8" w:color="333333"/>
              <w:bottom w:val="single" w:sz="8" w:color="333333"/>
              <w:right w:val="single" w:sz="8" w:color="333333"/>
            </w:tcBorders>
          </w:tcPr>
          <w:p>
            <w:pPr>
              <w:spacing w:after="0"/>
              <w:rPr>
                <w:sz w:val="9"/>
                <w:szCs w:val="9"/>
                <w:color w:val="auto"/>
              </w:rPr>
            </w:pPr>
          </w:p>
        </w:tc>
        <w:tc>
          <w:tcPr>
            <w:tcW w:w="6160" w:type="dxa"/>
            <w:vAlign w:val="bottom"/>
            <w:tcBorders>
              <w:bottom w:val="single" w:sz="8" w:color="333333"/>
              <w:right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333333"/>
              <w:right w:val="single" w:sz="8" w:color="333333"/>
            </w:tcBorders>
          </w:tcPr>
          <w:p>
            <w:pPr>
              <w:spacing w:after="0"/>
              <w:rPr>
                <w:sz w:val="14"/>
                <w:szCs w:val="14"/>
                <w:color w:val="auto"/>
              </w:rPr>
            </w:pPr>
          </w:p>
        </w:tc>
        <w:tc>
          <w:tcPr>
            <w:tcW w:w="6160" w:type="dxa"/>
            <w:vAlign w:val="bottom"/>
            <w:tcBorders>
              <w:right w:val="single" w:sz="8" w:color="333333"/>
            </w:tcBorders>
          </w:tcPr>
          <w:p>
            <w:pPr>
              <w:ind w:left="60"/>
              <w:spacing w:after="0" w:line="167" w:lineRule="exact"/>
              <w:rPr>
                <w:sz w:val="20"/>
                <w:szCs w:val="20"/>
                <w:color w:val="auto"/>
              </w:rPr>
            </w:pPr>
            <w:r>
              <w:rPr>
                <w:rFonts w:ascii="Calibri" w:cs="Calibri" w:eastAsia="Calibri" w:hAnsi="Calibri"/>
                <w:sz w:val="17"/>
                <w:szCs w:val="17"/>
                <w:color w:val="333333"/>
              </w:rPr>
              <w:t>For partcipatng NEOs, short-term cash incentve with variable payout opportunites</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1" w:lineRule="exact"/>
              <w:rPr>
                <w:sz w:val="20"/>
                <w:szCs w:val="20"/>
                <w:color w:val="auto"/>
              </w:rPr>
            </w:pPr>
            <w:r>
              <w:rPr>
                <w:rFonts w:ascii="Calibri" w:cs="Calibri" w:eastAsia="Calibri" w:hAnsi="Calibri"/>
                <w:sz w:val="17"/>
                <w:szCs w:val="17"/>
                <w:color w:val="333333"/>
              </w:rPr>
              <w:t>based on Adjusted EPS, Adjusted EBITDA and individual performance measured</w:t>
            </w:r>
          </w:p>
        </w:tc>
        <w:tc>
          <w:tcPr>
            <w:tcW w:w="0" w:type="dxa"/>
            <w:vAlign w:val="bottom"/>
          </w:tcPr>
          <w:p>
            <w:pPr>
              <w:spacing w:after="0"/>
              <w:rPr>
                <w:sz w:val="1"/>
                <w:szCs w:val="1"/>
                <w:color w:val="auto"/>
              </w:rPr>
            </w:pPr>
          </w:p>
        </w:tc>
      </w:tr>
      <w:tr>
        <w:trPr>
          <w:trHeight w:val="203"/>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3" w:lineRule="exact"/>
              <w:rPr>
                <w:sz w:val="20"/>
                <w:szCs w:val="20"/>
                <w:color w:val="auto"/>
              </w:rPr>
            </w:pPr>
            <w:r>
              <w:rPr>
                <w:rFonts w:ascii="Calibri" w:cs="Calibri" w:eastAsia="Calibri" w:hAnsi="Calibri"/>
                <w:sz w:val="17"/>
                <w:szCs w:val="17"/>
                <w:color w:val="333333"/>
              </w:rPr>
              <w:t>against annual performance goals.</w:t>
            </w:r>
          </w:p>
        </w:tc>
        <w:tc>
          <w:tcPr>
            <w:tcW w:w="0" w:type="dxa"/>
            <w:vAlign w:val="bottom"/>
          </w:tcPr>
          <w:p>
            <w:pPr>
              <w:spacing w:after="0"/>
              <w:rPr>
                <w:sz w:val="1"/>
                <w:szCs w:val="1"/>
                <w:color w:val="auto"/>
              </w:rPr>
            </w:pPr>
          </w:p>
        </w:tc>
      </w:tr>
      <w:tr>
        <w:trPr>
          <w:trHeight w:val="359"/>
        </w:trPr>
        <w:tc>
          <w:tcPr>
            <w:tcW w:w="2580" w:type="dxa"/>
            <w:vAlign w:val="bottom"/>
            <w:tcBorders>
              <w:left w:val="single" w:sz="8" w:color="333333"/>
              <w:right w:val="single" w:sz="8" w:color="333333"/>
            </w:tcBorders>
          </w:tcPr>
          <w:p>
            <w:pPr>
              <w:ind w:left="160"/>
              <w:spacing w:after="0"/>
              <w:rPr>
                <w:sz w:val="20"/>
                <w:szCs w:val="20"/>
                <w:color w:val="auto"/>
              </w:rPr>
            </w:pPr>
            <w:r>
              <w:rPr>
                <w:rFonts w:ascii="Calibri" w:cs="Calibri" w:eastAsia="Calibri" w:hAnsi="Calibri"/>
                <w:sz w:val="17"/>
                <w:szCs w:val="17"/>
                <w:b w:val="1"/>
                <w:bCs w:val="1"/>
                <w:i w:val="1"/>
                <w:iCs w:val="1"/>
                <w:color w:val="333333"/>
              </w:rPr>
              <w:t>Annual Incentve Pay</w:t>
            </w:r>
          </w:p>
        </w:tc>
        <w:tc>
          <w:tcPr>
            <w:tcW w:w="6160" w:type="dxa"/>
            <w:vAlign w:val="bottom"/>
            <w:tcBorders>
              <w:right w:val="single" w:sz="8" w:color="333333"/>
            </w:tcBorders>
            <w:vMerge w:val="restart"/>
          </w:tcPr>
          <w:p>
            <w:pPr>
              <w:ind w:left="60"/>
              <w:spacing w:after="0"/>
              <w:rPr>
                <w:sz w:val="20"/>
                <w:szCs w:val="20"/>
                <w:color w:val="auto"/>
              </w:rPr>
            </w:pPr>
            <w:r>
              <w:rPr>
                <w:rFonts w:ascii="Calibri" w:cs="Calibri" w:eastAsia="Calibri" w:hAnsi="Calibri"/>
                <w:sz w:val="17"/>
                <w:szCs w:val="17"/>
                <w:b w:val="1"/>
                <w:bCs w:val="1"/>
                <w:i w:val="1"/>
                <w:iCs w:val="1"/>
                <w:color w:val="333333"/>
              </w:rPr>
              <w:t>No changes to the types of AIP performance measures and target values as a</w:t>
            </w:r>
          </w:p>
        </w:tc>
        <w:tc>
          <w:tcPr>
            <w:tcW w:w="0" w:type="dxa"/>
            <w:vAlign w:val="bottom"/>
          </w:tcPr>
          <w:p>
            <w:pPr>
              <w:spacing w:after="0"/>
              <w:rPr>
                <w:sz w:val="1"/>
                <w:szCs w:val="1"/>
                <w:color w:val="auto"/>
              </w:rPr>
            </w:pPr>
          </w:p>
        </w:tc>
      </w:tr>
      <w:tr>
        <w:trPr>
          <w:trHeight w:val="107"/>
        </w:trPr>
        <w:tc>
          <w:tcPr>
            <w:tcW w:w="2580" w:type="dxa"/>
            <w:vAlign w:val="bottom"/>
            <w:tcBorders>
              <w:left w:val="single" w:sz="8" w:color="333333"/>
              <w:right w:val="single" w:sz="8" w:color="333333"/>
            </w:tcBorders>
            <w:vMerge w:val="restart"/>
          </w:tcPr>
          <w:p>
            <w:pPr>
              <w:ind w:left="160"/>
              <w:spacing w:after="0" w:line="203" w:lineRule="exact"/>
              <w:rPr>
                <w:sz w:val="20"/>
                <w:szCs w:val="20"/>
                <w:color w:val="auto"/>
              </w:rPr>
            </w:pPr>
            <w:r>
              <w:rPr>
                <w:rFonts w:ascii="Calibri" w:cs="Calibri" w:eastAsia="Calibri" w:hAnsi="Calibri"/>
                <w:sz w:val="17"/>
                <w:szCs w:val="17"/>
                <w:b w:val="1"/>
                <w:bCs w:val="1"/>
                <w:i w:val="1"/>
                <w:iCs w:val="1"/>
                <w:color w:val="333333"/>
              </w:rPr>
              <w:t>(“AIP”) Program</w:t>
            </w:r>
          </w:p>
        </w:tc>
        <w:tc>
          <w:tcPr>
            <w:tcW w:w="6160" w:type="dxa"/>
            <w:vAlign w:val="bottom"/>
            <w:tcBorders>
              <w:right w:val="single" w:sz="8" w:color="33333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580" w:type="dxa"/>
            <w:vAlign w:val="bottom"/>
            <w:tcBorders>
              <w:left w:val="single" w:sz="8" w:color="333333"/>
              <w:right w:val="single" w:sz="8" w:color="333333"/>
            </w:tcBorders>
            <w:vMerge w:val="continue"/>
          </w:tcPr>
          <w:p>
            <w:pPr>
              <w:spacing w:after="0"/>
              <w:rPr>
                <w:sz w:val="8"/>
                <w:szCs w:val="8"/>
                <w:color w:val="auto"/>
              </w:rPr>
            </w:pPr>
          </w:p>
        </w:tc>
        <w:tc>
          <w:tcPr>
            <w:tcW w:w="6160" w:type="dxa"/>
            <w:vAlign w:val="bottom"/>
            <w:tcBorders>
              <w:right w:val="single" w:sz="8" w:color="333333"/>
            </w:tcBorders>
            <w:vMerge w:val="restart"/>
          </w:tcPr>
          <w:p>
            <w:pPr>
              <w:ind w:left="60"/>
              <w:spacing w:after="0" w:line="203" w:lineRule="exact"/>
              <w:rPr>
                <w:sz w:val="20"/>
                <w:szCs w:val="20"/>
                <w:color w:val="auto"/>
              </w:rPr>
            </w:pPr>
            <w:r>
              <w:rPr>
                <w:rFonts w:ascii="Calibri" w:cs="Calibri" w:eastAsia="Calibri" w:hAnsi="Calibri"/>
                <w:sz w:val="17"/>
                <w:szCs w:val="17"/>
                <w:b w:val="1"/>
                <w:bCs w:val="1"/>
                <w:i w:val="1"/>
                <w:iCs w:val="1"/>
                <w:color w:val="333333"/>
              </w:rPr>
              <w:t>multple of base salary payout opportunites in 2025.</w:t>
            </w:r>
          </w:p>
        </w:tc>
        <w:tc>
          <w:tcPr>
            <w:tcW w:w="0" w:type="dxa"/>
            <w:vAlign w:val="bottom"/>
          </w:tcPr>
          <w:p>
            <w:pPr>
              <w:spacing w:after="0"/>
              <w:rPr>
                <w:sz w:val="1"/>
                <w:szCs w:val="1"/>
                <w:color w:val="auto"/>
              </w:rPr>
            </w:pPr>
          </w:p>
        </w:tc>
      </w:tr>
      <w:tr>
        <w:trPr>
          <w:trHeight w:val="107"/>
        </w:trPr>
        <w:tc>
          <w:tcPr>
            <w:tcW w:w="2580" w:type="dxa"/>
            <w:vAlign w:val="bottom"/>
            <w:tcBorders>
              <w:left w:val="single" w:sz="8" w:color="333333"/>
              <w:right w:val="single" w:sz="8" w:color="333333"/>
            </w:tcBorders>
          </w:tcPr>
          <w:p>
            <w:pPr>
              <w:spacing w:after="0"/>
              <w:rPr>
                <w:sz w:val="9"/>
                <w:szCs w:val="9"/>
                <w:color w:val="auto"/>
              </w:rPr>
            </w:pPr>
          </w:p>
        </w:tc>
        <w:tc>
          <w:tcPr>
            <w:tcW w:w="6160" w:type="dxa"/>
            <w:vAlign w:val="bottom"/>
            <w:tcBorders>
              <w:right w:val="single" w:sz="8" w:color="33333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2580" w:type="dxa"/>
            <w:vAlign w:val="bottom"/>
            <w:tcBorders>
              <w:left w:val="single" w:sz="8" w:color="333333"/>
              <w:right w:val="single" w:sz="8" w:color="333333"/>
            </w:tcBorders>
          </w:tcPr>
          <w:p>
            <w:pPr>
              <w:spacing w:after="0"/>
              <w:rPr>
                <w:sz w:val="24"/>
                <w:szCs w:val="24"/>
                <w:color w:val="auto"/>
              </w:rPr>
            </w:pPr>
          </w:p>
        </w:tc>
        <w:tc>
          <w:tcPr>
            <w:tcW w:w="6160" w:type="dxa"/>
            <w:vAlign w:val="bottom"/>
            <w:tcBorders>
              <w:right w:val="single" w:sz="8" w:color="333333"/>
            </w:tcBorders>
          </w:tcPr>
          <w:p>
            <w:pPr>
              <w:ind w:left="60"/>
              <w:spacing w:after="0"/>
              <w:rPr>
                <w:sz w:val="20"/>
                <w:szCs w:val="20"/>
                <w:color w:val="auto"/>
              </w:rPr>
            </w:pPr>
            <w:r>
              <w:rPr>
                <w:rFonts w:ascii="Calibri" w:cs="Calibri" w:eastAsia="Calibri" w:hAnsi="Calibri"/>
                <w:sz w:val="17"/>
                <w:szCs w:val="17"/>
                <w:color w:val="333333"/>
              </w:rPr>
              <w:t>As described in more detail in the Compensaton Discussion and Analysis (“CD&amp;A”)</w:t>
            </w:r>
          </w:p>
        </w:tc>
        <w:tc>
          <w:tcPr>
            <w:tcW w:w="0" w:type="dxa"/>
            <w:vAlign w:val="bottom"/>
          </w:tcPr>
          <w:p>
            <w:pPr>
              <w:spacing w:after="0"/>
              <w:rPr>
                <w:sz w:val="1"/>
                <w:szCs w:val="1"/>
                <w:color w:val="auto"/>
              </w:rPr>
            </w:pPr>
          </w:p>
        </w:tc>
      </w:tr>
      <w:tr>
        <w:trPr>
          <w:trHeight w:val="203"/>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3" w:lineRule="exact"/>
              <w:rPr>
                <w:sz w:val="20"/>
                <w:szCs w:val="20"/>
                <w:color w:val="auto"/>
              </w:rPr>
            </w:pPr>
            <w:r>
              <w:rPr>
                <w:rFonts w:ascii="Calibri" w:cs="Calibri" w:eastAsia="Calibri" w:hAnsi="Calibri"/>
                <w:sz w:val="17"/>
                <w:szCs w:val="17"/>
                <w:color w:val="333333"/>
              </w:rPr>
              <w:t>secton below, Mr. Keatng partcipates in a separate annual bonus program.</w:t>
            </w:r>
          </w:p>
        </w:tc>
        <w:tc>
          <w:tcPr>
            <w:tcW w:w="0" w:type="dxa"/>
            <w:vAlign w:val="bottom"/>
          </w:tcPr>
          <w:p>
            <w:pPr>
              <w:spacing w:after="0"/>
              <w:rPr>
                <w:sz w:val="1"/>
                <w:szCs w:val="1"/>
                <w:color w:val="auto"/>
              </w:rPr>
            </w:pPr>
          </w:p>
        </w:tc>
      </w:tr>
      <w:tr>
        <w:trPr>
          <w:trHeight w:val="105"/>
        </w:trPr>
        <w:tc>
          <w:tcPr>
            <w:tcW w:w="2580" w:type="dxa"/>
            <w:vAlign w:val="bottom"/>
            <w:tcBorders>
              <w:left w:val="single" w:sz="8" w:color="333333"/>
              <w:bottom w:val="single" w:sz="8" w:color="333333"/>
              <w:right w:val="single" w:sz="8" w:color="333333"/>
            </w:tcBorders>
          </w:tcPr>
          <w:p>
            <w:pPr>
              <w:spacing w:after="0"/>
              <w:rPr>
                <w:sz w:val="9"/>
                <w:szCs w:val="9"/>
                <w:color w:val="auto"/>
              </w:rPr>
            </w:pPr>
          </w:p>
        </w:tc>
        <w:tc>
          <w:tcPr>
            <w:tcW w:w="6160" w:type="dxa"/>
            <w:vAlign w:val="bottom"/>
            <w:tcBorders>
              <w:bottom w:val="single" w:sz="8" w:color="333333"/>
              <w:right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580" w:type="dxa"/>
            <w:vAlign w:val="bottom"/>
            <w:tcBorders>
              <w:left w:val="single" w:sz="8" w:color="333333"/>
              <w:right w:val="single" w:sz="8" w:color="333333"/>
            </w:tcBorders>
          </w:tcPr>
          <w:p>
            <w:pPr>
              <w:spacing w:after="0"/>
              <w:rPr>
                <w:sz w:val="22"/>
                <w:szCs w:val="22"/>
                <w:color w:val="auto"/>
              </w:rPr>
            </w:pPr>
          </w:p>
        </w:tc>
        <w:tc>
          <w:tcPr>
            <w:tcW w:w="6160" w:type="dxa"/>
            <w:vAlign w:val="bottom"/>
            <w:tcBorders>
              <w:right w:val="single" w:sz="8" w:color="333333"/>
            </w:tcBorders>
          </w:tcPr>
          <w:p>
            <w:pPr>
              <w:ind w:left="60"/>
              <w:spacing w:after="0"/>
              <w:rPr>
                <w:sz w:val="20"/>
                <w:szCs w:val="20"/>
                <w:color w:val="auto"/>
              </w:rPr>
            </w:pPr>
            <w:r>
              <w:rPr>
                <w:rFonts w:ascii="Calibri" w:cs="Calibri" w:eastAsia="Calibri" w:hAnsi="Calibri"/>
                <w:sz w:val="17"/>
                <w:szCs w:val="17"/>
                <w:color w:val="333333"/>
              </w:rPr>
              <w:t>Long-term equity incentves in the form of annual tme-based award of restricted</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1" w:lineRule="exact"/>
              <w:rPr>
                <w:sz w:val="20"/>
                <w:szCs w:val="20"/>
                <w:color w:val="auto"/>
              </w:rPr>
            </w:pPr>
            <w:r>
              <w:rPr>
                <w:rFonts w:ascii="Calibri" w:cs="Calibri" w:eastAsia="Calibri" w:hAnsi="Calibri"/>
                <w:sz w:val="17"/>
                <w:szCs w:val="17"/>
                <w:color w:val="333333"/>
              </w:rPr>
              <w:t>stock units (“RSU”) to our Chief Executve Ofcer (“CEO”) and tme-based restricted</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1" w:lineRule="exact"/>
              <w:rPr>
                <w:sz w:val="20"/>
                <w:szCs w:val="20"/>
                <w:color w:val="auto"/>
              </w:rPr>
            </w:pPr>
            <w:r>
              <w:rPr>
                <w:rFonts w:ascii="Calibri" w:cs="Calibri" w:eastAsia="Calibri" w:hAnsi="Calibri"/>
                <w:sz w:val="17"/>
                <w:szCs w:val="17"/>
                <w:color w:val="333333"/>
              </w:rPr>
              <w:t>stock awards (“RSA”) to all other partcipatng NEOs, and awards of performance-</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1" w:lineRule="exact"/>
              <w:rPr>
                <w:sz w:val="20"/>
                <w:szCs w:val="20"/>
                <w:color w:val="auto"/>
              </w:rPr>
            </w:pPr>
            <w:r>
              <w:rPr>
                <w:rFonts w:ascii="Calibri" w:cs="Calibri" w:eastAsia="Calibri" w:hAnsi="Calibri"/>
                <w:sz w:val="17"/>
                <w:szCs w:val="17"/>
                <w:color w:val="333333"/>
              </w:rPr>
              <w:t>based RSUs (“Performance RSU”) to all partcipatng NEOs, with multyear vestng</w:t>
            </w:r>
          </w:p>
        </w:tc>
        <w:tc>
          <w:tcPr>
            <w:tcW w:w="0" w:type="dxa"/>
            <w:vAlign w:val="bottom"/>
          </w:tcPr>
          <w:p>
            <w:pPr>
              <w:spacing w:after="0"/>
              <w:rPr>
                <w:sz w:val="1"/>
                <w:szCs w:val="1"/>
                <w:color w:val="auto"/>
              </w:rPr>
            </w:pPr>
          </w:p>
        </w:tc>
      </w:tr>
      <w:tr>
        <w:trPr>
          <w:trHeight w:val="203"/>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3" w:lineRule="exact"/>
              <w:rPr>
                <w:sz w:val="20"/>
                <w:szCs w:val="20"/>
                <w:color w:val="auto"/>
              </w:rPr>
            </w:pPr>
            <w:r>
              <w:rPr>
                <w:rFonts w:ascii="Calibri" w:cs="Calibri" w:eastAsia="Calibri" w:hAnsi="Calibri"/>
                <w:sz w:val="17"/>
                <w:szCs w:val="17"/>
                <w:color w:val="333333"/>
              </w:rPr>
              <w:t>schedules.</w:t>
            </w:r>
          </w:p>
        </w:tc>
        <w:tc>
          <w:tcPr>
            <w:tcW w:w="0" w:type="dxa"/>
            <w:vAlign w:val="bottom"/>
          </w:tcPr>
          <w:p>
            <w:pPr>
              <w:spacing w:after="0"/>
              <w:rPr>
                <w:sz w:val="1"/>
                <w:szCs w:val="1"/>
                <w:color w:val="auto"/>
              </w:rPr>
            </w:pPr>
          </w:p>
        </w:tc>
      </w:tr>
      <w:tr>
        <w:trPr>
          <w:trHeight w:val="468"/>
        </w:trPr>
        <w:tc>
          <w:tcPr>
            <w:tcW w:w="2580" w:type="dxa"/>
            <w:vAlign w:val="bottom"/>
            <w:tcBorders>
              <w:left w:val="single" w:sz="8" w:color="333333"/>
              <w:right w:val="single" w:sz="8" w:color="333333"/>
            </w:tcBorders>
            <w:vMerge w:val="restart"/>
          </w:tcPr>
          <w:p>
            <w:pPr>
              <w:ind w:left="160"/>
              <w:spacing w:after="0"/>
              <w:rPr>
                <w:sz w:val="20"/>
                <w:szCs w:val="20"/>
                <w:color w:val="auto"/>
              </w:rPr>
            </w:pPr>
            <w:r>
              <w:rPr>
                <w:rFonts w:ascii="Calibri" w:cs="Calibri" w:eastAsia="Calibri" w:hAnsi="Calibri"/>
                <w:sz w:val="17"/>
                <w:szCs w:val="17"/>
                <w:b w:val="1"/>
                <w:bCs w:val="1"/>
                <w:i w:val="1"/>
                <w:iCs w:val="1"/>
                <w:color w:val="333333"/>
              </w:rPr>
              <w:t>Long-Term Incentve Pay</w:t>
            </w:r>
          </w:p>
        </w:tc>
        <w:tc>
          <w:tcPr>
            <w:tcW w:w="6160" w:type="dxa"/>
            <w:vAlign w:val="bottom"/>
            <w:tcBorders>
              <w:right w:val="single" w:sz="8" w:color="333333"/>
            </w:tcBorders>
          </w:tcPr>
          <w:p>
            <w:pPr>
              <w:ind w:left="60"/>
              <w:spacing w:after="0"/>
              <w:rPr>
                <w:sz w:val="20"/>
                <w:szCs w:val="20"/>
                <w:color w:val="auto"/>
              </w:rPr>
            </w:pPr>
            <w:r>
              <w:rPr>
                <w:rFonts w:ascii="Calibri" w:cs="Calibri" w:eastAsia="Calibri" w:hAnsi="Calibri"/>
                <w:sz w:val="17"/>
                <w:szCs w:val="17"/>
                <w:b w:val="1"/>
                <w:bCs w:val="1"/>
                <w:i w:val="1"/>
                <w:iCs w:val="1"/>
                <w:color w:val="333333"/>
              </w:rPr>
              <w:t>No changes to LTIP performance measures and form of payout in 2025. Target LTIP</w:t>
            </w:r>
          </w:p>
        </w:tc>
        <w:tc>
          <w:tcPr>
            <w:tcW w:w="0" w:type="dxa"/>
            <w:vAlign w:val="bottom"/>
          </w:tcPr>
          <w:p>
            <w:pPr>
              <w:spacing w:after="0"/>
              <w:rPr>
                <w:sz w:val="1"/>
                <w:szCs w:val="1"/>
                <w:color w:val="auto"/>
              </w:rPr>
            </w:pPr>
          </w:p>
        </w:tc>
      </w:tr>
      <w:tr>
        <w:trPr>
          <w:trHeight w:val="64"/>
        </w:trPr>
        <w:tc>
          <w:tcPr>
            <w:tcW w:w="2580" w:type="dxa"/>
            <w:vAlign w:val="bottom"/>
            <w:tcBorders>
              <w:left w:val="single" w:sz="8" w:color="333333"/>
              <w:right w:val="single" w:sz="8" w:color="333333"/>
            </w:tcBorders>
            <w:vMerge w:val="continue"/>
          </w:tcPr>
          <w:p>
            <w:pPr>
              <w:spacing w:after="0"/>
              <w:rPr>
                <w:sz w:val="5"/>
                <w:szCs w:val="5"/>
                <w:color w:val="auto"/>
              </w:rPr>
            </w:pPr>
          </w:p>
        </w:tc>
        <w:tc>
          <w:tcPr>
            <w:tcW w:w="6160" w:type="dxa"/>
            <w:vAlign w:val="bottom"/>
            <w:tcBorders>
              <w:right w:val="single" w:sz="8" w:color="333333"/>
            </w:tcBorders>
            <w:vMerge w:val="restart"/>
          </w:tcPr>
          <w:p>
            <w:pPr>
              <w:ind w:left="60"/>
              <w:spacing w:after="0" w:line="203" w:lineRule="exact"/>
              <w:rPr>
                <w:sz w:val="20"/>
                <w:szCs w:val="20"/>
                <w:color w:val="auto"/>
              </w:rPr>
            </w:pPr>
            <w:r>
              <w:rPr>
                <w:rFonts w:ascii="Calibri" w:cs="Calibri" w:eastAsia="Calibri" w:hAnsi="Calibri"/>
                <w:sz w:val="17"/>
                <w:szCs w:val="17"/>
                <w:b w:val="1"/>
                <w:bCs w:val="1"/>
                <w:i w:val="1"/>
                <w:iCs w:val="1"/>
                <w:color w:val="333333"/>
              </w:rPr>
              <w:t>opportunity for our CEO increased from 6.0x base salary in 2024 to 7.0x base salary</w:t>
            </w:r>
          </w:p>
        </w:tc>
        <w:tc>
          <w:tcPr>
            <w:tcW w:w="0" w:type="dxa"/>
            <w:vAlign w:val="bottom"/>
          </w:tcPr>
          <w:p>
            <w:pPr>
              <w:spacing w:after="0"/>
              <w:rPr>
                <w:sz w:val="1"/>
                <w:szCs w:val="1"/>
                <w:color w:val="auto"/>
              </w:rPr>
            </w:pPr>
          </w:p>
        </w:tc>
      </w:tr>
      <w:tr>
        <w:trPr>
          <w:trHeight w:val="138"/>
        </w:trPr>
        <w:tc>
          <w:tcPr>
            <w:tcW w:w="2580" w:type="dxa"/>
            <w:vAlign w:val="bottom"/>
            <w:tcBorders>
              <w:left w:val="single" w:sz="8" w:color="333333"/>
              <w:right w:val="single" w:sz="8" w:color="333333"/>
            </w:tcBorders>
            <w:vMerge w:val="restart"/>
          </w:tcPr>
          <w:p>
            <w:pPr>
              <w:ind w:left="160"/>
              <w:spacing w:after="0" w:line="203" w:lineRule="exact"/>
              <w:rPr>
                <w:sz w:val="20"/>
                <w:szCs w:val="20"/>
                <w:color w:val="auto"/>
              </w:rPr>
            </w:pPr>
            <w:r>
              <w:rPr>
                <w:rFonts w:ascii="Calibri" w:cs="Calibri" w:eastAsia="Calibri" w:hAnsi="Calibri"/>
                <w:sz w:val="17"/>
                <w:szCs w:val="17"/>
                <w:b w:val="1"/>
                <w:bCs w:val="1"/>
                <w:i w:val="1"/>
                <w:iCs w:val="1"/>
                <w:color w:val="333333"/>
              </w:rPr>
              <w:t>(“LTIP”) Program</w:t>
            </w:r>
          </w:p>
        </w:tc>
        <w:tc>
          <w:tcPr>
            <w:tcW w:w="6160" w:type="dxa"/>
            <w:vAlign w:val="bottom"/>
            <w:tcBorders>
              <w:right w:val="single" w:sz="8" w:color="33333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580" w:type="dxa"/>
            <w:vAlign w:val="bottom"/>
            <w:tcBorders>
              <w:left w:val="single" w:sz="8" w:color="333333"/>
              <w:right w:val="single" w:sz="8" w:color="333333"/>
            </w:tcBorders>
            <w:vMerge w:val="continue"/>
          </w:tcPr>
          <w:p>
            <w:pPr>
              <w:spacing w:after="0"/>
              <w:rPr>
                <w:sz w:val="5"/>
                <w:szCs w:val="5"/>
                <w:color w:val="auto"/>
              </w:rPr>
            </w:pPr>
          </w:p>
        </w:tc>
        <w:tc>
          <w:tcPr>
            <w:tcW w:w="6160" w:type="dxa"/>
            <w:vAlign w:val="bottom"/>
            <w:tcBorders>
              <w:right w:val="single" w:sz="8" w:color="333333"/>
            </w:tcBorders>
            <w:vMerge w:val="restart"/>
          </w:tcPr>
          <w:p>
            <w:pPr>
              <w:ind w:left="60"/>
              <w:spacing w:after="0" w:line="203" w:lineRule="exact"/>
              <w:rPr>
                <w:sz w:val="20"/>
                <w:szCs w:val="20"/>
                <w:color w:val="auto"/>
              </w:rPr>
            </w:pPr>
            <w:r>
              <w:rPr>
                <w:rFonts w:ascii="Calibri" w:cs="Calibri" w:eastAsia="Calibri" w:hAnsi="Calibri"/>
                <w:sz w:val="17"/>
                <w:szCs w:val="17"/>
                <w:b w:val="1"/>
                <w:bCs w:val="1"/>
                <w:i w:val="1"/>
                <w:iCs w:val="1"/>
                <w:color w:val="333333"/>
              </w:rPr>
              <w:t>in 2025.</w:t>
            </w:r>
          </w:p>
        </w:tc>
        <w:tc>
          <w:tcPr>
            <w:tcW w:w="0" w:type="dxa"/>
            <w:vAlign w:val="bottom"/>
          </w:tcPr>
          <w:p>
            <w:pPr>
              <w:spacing w:after="0"/>
              <w:rPr>
                <w:sz w:val="1"/>
                <w:szCs w:val="1"/>
                <w:color w:val="auto"/>
              </w:rPr>
            </w:pPr>
          </w:p>
        </w:tc>
      </w:tr>
      <w:tr>
        <w:trPr>
          <w:trHeight w:val="138"/>
        </w:trPr>
        <w:tc>
          <w:tcPr>
            <w:tcW w:w="2580" w:type="dxa"/>
            <w:vAlign w:val="bottom"/>
            <w:tcBorders>
              <w:left w:val="single" w:sz="8" w:color="333333"/>
              <w:right w:val="single" w:sz="8" w:color="333333"/>
            </w:tcBorders>
          </w:tcPr>
          <w:p>
            <w:pPr>
              <w:spacing w:after="0"/>
              <w:rPr>
                <w:sz w:val="12"/>
                <w:szCs w:val="12"/>
                <w:color w:val="auto"/>
              </w:rPr>
            </w:pPr>
          </w:p>
        </w:tc>
        <w:tc>
          <w:tcPr>
            <w:tcW w:w="6160" w:type="dxa"/>
            <w:vAlign w:val="bottom"/>
            <w:tcBorders>
              <w:right w:val="single" w:sz="8" w:color="33333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1"/>
        </w:trPr>
        <w:tc>
          <w:tcPr>
            <w:tcW w:w="2580" w:type="dxa"/>
            <w:vAlign w:val="bottom"/>
            <w:tcBorders>
              <w:left w:val="single" w:sz="8" w:color="333333"/>
              <w:right w:val="single" w:sz="8" w:color="333333"/>
            </w:tcBorders>
          </w:tcPr>
          <w:p>
            <w:pPr>
              <w:spacing w:after="0"/>
              <w:rPr>
                <w:sz w:val="24"/>
                <w:szCs w:val="24"/>
                <w:color w:val="auto"/>
              </w:rPr>
            </w:pPr>
          </w:p>
        </w:tc>
        <w:tc>
          <w:tcPr>
            <w:tcW w:w="6160" w:type="dxa"/>
            <w:vAlign w:val="bottom"/>
            <w:tcBorders>
              <w:right w:val="single" w:sz="8" w:color="333333"/>
            </w:tcBorders>
          </w:tcPr>
          <w:p>
            <w:pPr>
              <w:ind w:left="60"/>
              <w:spacing w:after="0"/>
              <w:rPr>
                <w:sz w:val="20"/>
                <w:szCs w:val="20"/>
                <w:color w:val="auto"/>
              </w:rPr>
            </w:pPr>
            <w:r>
              <w:rPr>
                <w:rFonts w:ascii="Calibri" w:cs="Calibri" w:eastAsia="Calibri" w:hAnsi="Calibri"/>
                <w:sz w:val="17"/>
                <w:szCs w:val="17"/>
                <w:color w:val="333333"/>
              </w:rPr>
              <w:t>As described in more detail in the CD&amp;A secton below, Mr. Keatng does not</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1" w:lineRule="exact"/>
              <w:rPr>
                <w:sz w:val="20"/>
                <w:szCs w:val="20"/>
                <w:color w:val="auto"/>
              </w:rPr>
            </w:pPr>
            <w:r>
              <w:rPr>
                <w:rFonts w:ascii="Calibri" w:cs="Calibri" w:eastAsia="Calibri" w:hAnsi="Calibri"/>
                <w:sz w:val="17"/>
                <w:szCs w:val="17"/>
                <w:color w:val="333333"/>
              </w:rPr>
              <w:t>partcipate in the LTIP Program and instead receives annual equity awards consistng</w:t>
            </w:r>
          </w:p>
        </w:tc>
        <w:tc>
          <w:tcPr>
            <w:tcW w:w="0" w:type="dxa"/>
            <w:vAlign w:val="bottom"/>
          </w:tcPr>
          <w:p>
            <w:pPr>
              <w:spacing w:after="0"/>
              <w:rPr>
                <w:sz w:val="1"/>
                <w:szCs w:val="1"/>
                <w:color w:val="auto"/>
              </w:rPr>
            </w:pPr>
          </w:p>
        </w:tc>
      </w:tr>
      <w:tr>
        <w:trPr>
          <w:trHeight w:val="201"/>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1" w:lineRule="exact"/>
              <w:rPr>
                <w:sz w:val="20"/>
                <w:szCs w:val="20"/>
                <w:color w:val="auto"/>
              </w:rPr>
            </w:pPr>
            <w:r>
              <w:rPr>
                <w:rFonts w:ascii="Calibri" w:cs="Calibri" w:eastAsia="Calibri" w:hAnsi="Calibri"/>
                <w:sz w:val="17"/>
                <w:szCs w:val="17"/>
                <w:color w:val="333333"/>
              </w:rPr>
              <w:t>of tme-based RSUs and Performance RSUs pursuant to a diferent equity award</w:t>
            </w:r>
          </w:p>
        </w:tc>
        <w:tc>
          <w:tcPr>
            <w:tcW w:w="0" w:type="dxa"/>
            <w:vAlign w:val="bottom"/>
          </w:tcPr>
          <w:p>
            <w:pPr>
              <w:spacing w:after="0"/>
              <w:rPr>
                <w:sz w:val="1"/>
                <w:szCs w:val="1"/>
                <w:color w:val="auto"/>
              </w:rPr>
            </w:pPr>
          </w:p>
        </w:tc>
      </w:tr>
      <w:tr>
        <w:trPr>
          <w:trHeight w:val="203"/>
        </w:trPr>
        <w:tc>
          <w:tcPr>
            <w:tcW w:w="2580" w:type="dxa"/>
            <w:vAlign w:val="bottom"/>
            <w:tcBorders>
              <w:left w:val="single" w:sz="8" w:color="333333"/>
              <w:right w:val="single" w:sz="8" w:color="333333"/>
            </w:tcBorders>
          </w:tcPr>
          <w:p>
            <w:pPr>
              <w:spacing w:after="0"/>
              <w:rPr>
                <w:sz w:val="17"/>
                <w:szCs w:val="17"/>
                <w:color w:val="auto"/>
              </w:rPr>
            </w:pPr>
          </w:p>
        </w:tc>
        <w:tc>
          <w:tcPr>
            <w:tcW w:w="6160" w:type="dxa"/>
            <w:vAlign w:val="bottom"/>
            <w:tcBorders>
              <w:right w:val="single" w:sz="8" w:color="333333"/>
            </w:tcBorders>
          </w:tcPr>
          <w:p>
            <w:pPr>
              <w:ind w:left="60"/>
              <w:spacing w:after="0" w:line="203" w:lineRule="exact"/>
              <w:rPr>
                <w:sz w:val="20"/>
                <w:szCs w:val="20"/>
                <w:color w:val="auto"/>
              </w:rPr>
            </w:pPr>
            <w:r>
              <w:rPr>
                <w:rFonts w:ascii="Calibri" w:cs="Calibri" w:eastAsia="Calibri" w:hAnsi="Calibri"/>
                <w:sz w:val="17"/>
                <w:szCs w:val="17"/>
                <w:color w:val="333333"/>
              </w:rPr>
              <w:t>program.</w:t>
            </w:r>
          </w:p>
        </w:tc>
        <w:tc>
          <w:tcPr>
            <w:tcW w:w="0" w:type="dxa"/>
            <w:vAlign w:val="bottom"/>
          </w:tcPr>
          <w:p>
            <w:pPr>
              <w:spacing w:after="0"/>
              <w:rPr>
                <w:sz w:val="1"/>
                <w:szCs w:val="1"/>
                <w:color w:val="auto"/>
              </w:rPr>
            </w:pPr>
          </w:p>
        </w:tc>
      </w:tr>
      <w:tr>
        <w:trPr>
          <w:trHeight w:val="172"/>
        </w:trPr>
        <w:tc>
          <w:tcPr>
            <w:tcW w:w="2580" w:type="dxa"/>
            <w:vAlign w:val="bottom"/>
            <w:tcBorders>
              <w:left w:val="single" w:sz="8" w:color="333333"/>
              <w:bottom w:val="single" w:sz="8" w:color="333333"/>
              <w:right w:val="single" w:sz="8" w:color="333333"/>
            </w:tcBorders>
          </w:tcPr>
          <w:p>
            <w:pPr>
              <w:spacing w:after="0"/>
              <w:rPr>
                <w:sz w:val="14"/>
                <w:szCs w:val="14"/>
                <w:color w:val="auto"/>
              </w:rPr>
            </w:pPr>
          </w:p>
        </w:tc>
        <w:tc>
          <w:tcPr>
            <w:tcW w:w="6160" w:type="dxa"/>
            <w:vAlign w:val="bottom"/>
            <w:tcBorders>
              <w:bottom w:val="single" w:sz="8" w:color="333333"/>
              <w:right w:val="single" w:sz="8" w:color="333333"/>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580" w:type="dxa"/>
            <w:vAlign w:val="bottom"/>
          </w:tcPr>
          <w:p>
            <w:pPr>
              <w:spacing w:after="0"/>
              <w:rPr>
                <w:sz w:val="24"/>
                <w:szCs w:val="24"/>
                <w:color w:val="auto"/>
              </w:rPr>
            </w:pPr>
          </w:p>
        </w:tc>
        <w:tc>
          <w:tcPr>
            <w:tcW w:w="6160" w:type="dxa"/>
            <w:vAlign w:val="bottom"/>
          </w:tcPr>
          <w:p>
            <w:pPr>
              <w:ind w:left="1720"/>
              <w:spacing w:after="0"/>
              <w:rPr>
                <w:sz w:val="20"/>
                <w:szCs w:val="20"/>
                <w:color w:val="auto"/>
              </w:rPr>
            </w:pPr>
            <w:r>
              <w:rPr>
                <w:rFonts w:ascii="Calibri" w:cs="Calibri" w:eastAsia="Calibri" w:hAnsi="Calibri"/>
                <w:sz w:val="17"/>
                <w:szCs w:val="17"/>
                <w:color w:val="333333"/>
              </w:rPr>
              <w:t>xi</w:t>
            </w:r>
          </w:p>
        </w:tc>
        <w:tc>
          <w:tcPr>
            <w:tcW w:w="0" w:type="dxa"/>
            <w:vAlign w:val="bottom"/>
          </w:tcPr>
          <w:p>
            <w:pPr>
              <w:spacing w:after="0"/>
              <w:rPr>
                <w:sz w:val="1"/>
                <w:szCs w:val="1"/>
                <w:color w:val="auto"/>
              </w:rPr>
            </w:pPr>
          </w:p>
        </w:tc>
      </w:tr>
    </w:tbl>
    <w:p>
      <w:pPr>
        <w:sectPr>
          <w:pgSz w:w="11900" w:h="16838" w:orient="portrait"/>
          <w:cols w:equalWidth="0" w:num="1">
            <w:col w:w="10220"/>
          </w:cols>
          <w:pgMar w:left="320" w:top="478" w:right="1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 xml:space="preserve">The charts below demonstrate that the Company’s executve compensaton program emphasizes at-risk pay, with </w:t>
      </w:r>
      <w:r>
        <w:rPr>
          <w:rFonts w:ascii="Calibri" w:cs="Calibri" w:eastAsia="Calibri" w:hAnsi="Calibri"/>
          <w:sz w:val="17"/>
          <w:szCs w:val="17"/>
          <w:b w:val="1"/>
          <w:bCs w:val="1"/>
          <w:color w:val="333333"/>
        </w:rPr>
        <w:t>90.0%</w:t>
      </w:r>
      <w:r>
        <w:rPr>
          <w:rFonts w:ascii="Calibri" w:cs="Calibri" w:eastAsia="Calibri" w:hAnsi="Calibri"/>
          <w:sz w:val="17"/>
          <w:szCs w:val="17"/>
          <w:color w:val="333333"/>
        </w:rPr>
        <w:t xml:space="preserve"> of our CEO’s target annual total compensaton at-risk and </w:t>
      </w:r>
      <w:r>
        <w:rPr>
          <w:rFonts w:ascii="Calibri" w:cs="Calibri" w:eastAsia="Calibri" w:hAnsi="Calibri"/>
          <w:sz w:val="17"/>
          <w:szCs w:val="17"/>
          <w:b w:val="1"/>
          <w:bCs w:val="1"/>
          <w:color w:val="333333"/>
        </w:rPr>
        <w:t>71.4%</w:t>
      </w:r>
      <w:r>
        <w:rPr>
          <w:rFonts w:ascii="Calibri" w:cs="Calibri" w:eastAsia="Calibri" w:hAnsi="Calibri"/>
          <w:sz w:val="17"/>
          <w:szCs w:val="17"/>
          <w:color w:val="333333"/>
        </w:rPr>
        <w:t xml:space="preserve"> of our other NEOs’ target annual compensaton at-risk, provided, however, that the “Other NEOs’ Compensaton at Target” chart below does not include data for Mr. Keatng because he partcipates in diferent compensaton programs than the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170180</wp:posOffset>
            </wp:positionV>
            <wp:extent cx="5146675" cy="2275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6675"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2025 SHAREHOLDER ENGAGEMENT AND OUTREACH</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Consideraton of Most Recent Say-on-Pay Vote Results</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At our annual meetng of shareholders on June 4, 2025, our shareholders expressed support for our executve compensaton program with over </w:t>
      </w:r>
      <w:r>
        <w:rPr>
          <w:rFonts w:ascii="Calibri" w:cs="Calibri" w:eastAsia="Calibri" w:hAnsi="Calibri"/>
          <w:sz w:val="17"/>
          <w:szCs w:val="17"/>
          <w:b w:val="1"/>
          <w:bCs w:val="1"/>
          <w:color w:val="333333"/>
        </w:rPr>
        <w:t>99%</w:t>
      </w:r>
      <w:r>
        <w:rPr>
          <w:rFonts w:ascii="Calibri" w:cs="Calibri" w:eastAsia="Calibri" w:hAnsi="Calibri"/>
          <w:sz w:val="17"/>
          <w:szCs w:val="17"/>
          <w:color w:val="333333"/>
        </w:rPr>
        <w:t xml:space="preserve"> of the votes cast in favor of our say-on-pay proposal approving our NEOs’ compensaton for the year ended December 31, 2024. Our 2025 compensaton decisions were informed by shareholder discussions conducted in late 2024 and early 2025, facilitated through outreach to our top 20 shareholders, representng approximately 70% of our outstanding shares. Discussions with our shareholders reinforced our belief that the changes we have adopted over the past several years were responsive to our shareholders’ feedback. For more informaton, see the secton ttled “Informaton About Our Executve Ofcers And Compensaton — Compensaton Discussion And Analysis — What Guides Our Program — How We Make Compensaton Decisions — The Decision-Making Process” on </w:t>
      </w:r>
      <w:r>
        <w:rPr>
          <w:rFonts w:ascii="Calibri" w:cs="Calibri" w:eastAsia="Calibri" w:hAnsi="Calibri"/>
          <w:sz w:val="17"/>
          <w:szCs w:val="17"/>
          <w:color w:val="0591DB"/>
        </w:rPr>
        <w:t>page 61</w:t>
      </w:r>
      <w:r>
        <w:rPr>
          <w:rFonts w:ascii="Calibri" w:cs="Calibri" w:eastAsia="Calibri" w:hAnsi="Calibri"/>
          <w:sz w:val="17"/>
          <w:szCs w:val="17"/>
          <w:color w:val="333333"/>
        </w:rPr>
        <w:t xml:space="preserve"> of this Proxy Statement.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Robust Shareholder Engagement and Outreach</w:t>
      </w:r>
    </w:p>
    <w:p>
      <w:pPr>
        <w:spacing w:after="0" w:line="212"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We have a robust shareholder engagement program that proactvely ofers shareholders access to management and the Board at multple touchpoints throughout the year. We regularly speak with a broad spectrum of our shareholders on a variety of topics. Such communicatons allow us to provide perspectve on Company policies and practces, stay atuned to shareholder sentment, and address shareholder concerns with our policies and practces, when appropriate. Generally, we communicate with our major shareholders through our executve management and investor relatons professionals. Periodically, our Chief Executve Ofcer and Chairman of the Board, Lead Independent Director, Chair of the Compensaton Commitee and/or Chair of the NCGSR Commitee communicate</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xii</w:t>
      </w:r>
    </w:p>
    <w:p>
      <w:pPr>
        <w:sectPr>
          <w:pgSz w:w="11900" w:h="16838" w:orient="portrait"/>
          <w:cols w:equalWidth="0" w:num="1">
            <w:col w:w="11060"/>
          </w:cols>
          <w:pgMar w:left="320" w:top="478"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560"/>
        <w:spacing w:after="0" w:line="233" w:lineRule="auto"/>
        <w:rPr>
          <w:sz w:val="20"/>
          <w:szCs w:val="20"/>
          <w:color w:val="auto"/>
        </w:rPr>
      </w:pPr>
      <w:r>
        <w:rPr>
          <w:rFonts w:ascii="Calibri" w:cs="Calibri" w:eastAsia="Calibri" w:hAnsi="Calibri"/>
          <w:sz w:val="17"/>
          <w:szCs w:val="17"/>
          <w:color w:val="333333"/>
        </w:rPr>
        <w:t>with major shareholders as well, which allows our directors to directly solicit and receive our shareholders’ views on our strategy, performance and executve compensaton program.</w:t>
      </w:r>
    </w:p>
    <w:p>
      <w:pPr>
        <w:spacing w:after="0" w:line="234" w:lineRule="exact"/>
        <w:rPr>
          <w:sz w:val="20"/>
          <w:szCs w:val="20"/>
          <w:color w:val="auto"/>
        </w:rPr>
      </w:pPr>
    </w:p>
    <w:p>
      <w:pPr>
        <w:ind w:left="4640"/>
        <w:spacing w:after="0"/>
        <w:rPr>
          <w:sz w:val="20"/>
          <w:szCs w:val="20"/>
          <w:color w:val="auto"/>
        </w:rPr>
      </w:pPr>
      <w:r>
        <w:rPr>
          <w:rFonts w:ascii="Calibri" w:cs="Calibri" w:eastAsia="Calibri" w:hAnsi="Calibri"/>
          <w:sz w:val="17"/>
          <w:szCs w:val="17"/>
          <w:b w:val="1"/>
          <w:bCs w:val="1"/>
          <w:color w:val="0591DB"/>
        </w:rPr>
        <w:t>Fall</w:t>
      </w:r>
    </w:p>
    <w:p>
      <w:pPr>
        <w:spacing w:after="0" w:line="51" w:lineRule="exact"/>
        <w:rPr>
          <w:sz w:val="20"/>
          <w:szCs w:val="20"/>
          <w:color w:val="auto"/>
        </w:rPr>
      </w:pPr>
    </w:p>
    <w:p>
      <w:pPr>
        <w:ind w:left="4640" w:right="80"/>
        <w:spacing w:after="0" w:line="233" w:lineRule="auto"/>
        <w:rPr>
          <w:sz w:val="20"/>
          <w:szCs w:val="20"/>
          <w:color w:val="auto"/>
        </w:rPr>
      </w:pPr>
      <w:r>
        <w:rPr>
          <w:rFonts w:ascii="Calibri" w:cs="Calibri" w:eastAsia="Calibri" w:hAnsi="Calibri"/>
          <w:sz w:val="17"/>
          <w:szCs w:val="17"/>
          <w:color w:val="333333"/>
        </w:rPr>
        <w:t>Informed by our summer report, we conduct discussions with shareholders to assess corporate governance and compensaton trends and practces that are important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-8890</wp:posOffset>
            </wp:positionV>
            <wp:extent cx="2029460" cy="2004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29460" cy="2004060"/>
                    </a:xfrm>
                    <a:prstGeom prst="rect">
                      <a:avLst/>
                    </a:prstGeom>
                    <a:noFill/>
                  </pic:spPr>
                </pic:pic>
              </a:graphicData>
            </a:graphic>
          </wp:anchor>
        </w:drawing>
      </w:r>
    </w:p>
    <w:p>
      <w:pPr>
        <w:spacing w:after="0" w:line="362" w:lineRule="exact"/>
        <w:rPr>
          <w:sz w:val="20"/>
          <w:szCs w:val="20"/>
          <w:color w:val="auto"/>
        </w:rPr>
      </w:pPr>
    </w:p>
    <w:p>
      <w:pPr>
        <w:ind w:left="4640"/>
        <w:spacing w:after="0"/>
        <w:rPr>
          <w:sz w:val="20"/>
          <w:szCs w:val="20"/>
          <w:color w:val="auto"/>
        </w:rPr>
      </w:pPr>
      <w:r>
        <w:rPr>
          <w:rFonts w:ascii="Calibri" w:cs="Calibri" w:eastAsia="Calibri" w:hAnsi="Calibri"/>
          <w:sz w:val="17"/>
          <w:szCs w:val="17"/>
          <w:b w:val="1"/>
          <w:bCs w:val="1"/>
          <w:color w:val="0591DB"/>
        </w:rPr>
        <w:t>Winter</w:t>
      </w:r>
    </w:p>
    <w:p>
      <w:pPr>
        <w:spacing w:after="0" w:line="51" w:lineRule="exact"/>
        <w:rPr>
          <w:sz w:val="20"/>
          <w:szCs w:val="20"/>
          <w:color w:val="auto"/>
        </w:rPr>
      </w:pPr>
    </w:p>
    <w:p>
      <w:pPr>
        <w:ind w:left="4640" w:right="380"/>
        <w:spacing w:after="0" w:line="232" w:lineRule="auto"/>
        <w:rPr>
          <w:sz w:val="20"/>
          <w:szCs w:val="20"/>
          <w:color w:val="auto"/>
        </w:rPr>
      </w:pPr>
      <w:r>
        <w:rPr>
          <w:rFonts w:ascii="Calibri" w:cs="Calibri" w:eastAsia="Calibri" w:hAnsi="Calibri"/>
          <w:sz w:val="17"/>
          <w:szCs w:val="17"/>
          <w:color w:val="333333"/>
        </w:rPr>
        <w:t>Report shareholder feedback from our fall meetngs to the Board and use shareholder feedback to enhance our proxy disclosure and make appropriate changes to our governance practces and executve compensaton program.</w:t>
      </w:r>
    </w:p>
    <w:p>
      <w:pPr>
        <w:spacing w:after="0" w:line="383" w:lineRule="exact"/>
        <w:rPr>
          <w:sz w:val="20"/>
          <w:szCs w:val="20"/>
          <w:color w:val="auto"/>
        </w:rPr>
      </w:pPr>
    </w:p>
    <w:p>
      <w:pPr>
        <w:ind w:left="4640"/>
        <w:spacing w:after="0"/>
        <w:rPr>
          <w:sz w:val="20"/>
          <w:szCs w:val="20"/>
          <w:color w:val="auto"/>
        </w:rPr>
      </w:pPr>
      <w:r>
        <w:rPr>
          <w:rFonts w:ascii="Calibri" w:cs="Calibri" w:eastAsia="Calibri" w:hAnsi="Calibri"/>
          <w:sz w:val="17"/>
          <w:szCs w:val="17"/>
          <w:b w:val="1"/>
          <w:bCs w:val="1"/>
          <w:color w:val="333333"/>
        </w:rPr>
        <w:t>Spring</w:t>
      </w:r>
    </w:p>
    <w:p>
      <w:pPr>
        <w:spacing w:after="0" w:line="51" w:lineRule="exact"/>
        <w:rPr>
          <w:sz w:val="20"/>
          <w:szCs w:val="20"/>
          <w:color w:val="auto"/>
        </w:rPr>
      </w:pPr>
    </w:p>
    <w:p>
      <w:pPr>
        <w:ind w:left="4640" w:right="80"/>
        <w:spacing w:after="0" w:line="232" w:lineRule="auto"/>
        <w:rPr>
          <w:sz w:val="20"/>
          <w:szCs w:val="20"/>
          <w:color w:val="auto"/>
        </w:rPr>
      </w:pPr>
      <w:r>
        <w:rPr>
          <w:rFonts w:ascii="Calibri" w:cs="Calibri" w:eastAsia="Calibri" w:hAnsi="Calibri"/>
          <w:sz w:val="17"/>
          <w:szCs w:val="17"/>
          <w:color w:val="333333"/>
        </w:rPr>
        <w:t>Conduct follow-up conversatons with our largest shareholders and extend an invitaton to our 20 largest non-executve shareholders to discuss important issues that will be considered at our upcoming annual meetng.</w:t>
      </w:r>
    </w:p>
    <w:p>
      <w:pPr>
        <w:spacing w:after="0" w:line="383" w:lineRule="exact"/>
        <w:rPr>
          <w:sz w:val="20"/>
          <w:szCs w:val="20"/>
          <w:color w:val="auto"/>
        </w:rPr>
      </w:pPr>
    </w:p>
    <w:p>
      <w:pPr>
        <w:ind w:left="4640"/>
        <w:spacing w:after="0"/>
        <w:rPr>
          <w:sz w:val="20"/>
          <w:szCs w:val="20"/>
          <w:color w:val="auto"/>
        </w:rPr>
      </w:pPr>
      <w:r>
        <w:rPr>
          <w:rFonts w:ascii="Calibri" w:cs="Calibri" w:eastAsia="Calibri" w:hAnsi="Calibri"/>
          <w:sz w:val="17"/>
          <w:szCs w:val="17"/>
          <w:b w:val="1"/>
          <w:bCs w:val="1"/>
          <w:color w:val="4CFF59"/>
        </w:rPr>
        <w:t>Summer</w:t>
      </w:r>
    </w:p>
    <w:p>
      <w:pPr>
        <w:spacing w:after="0" w:line="51" w:lineRule="exact"/>
        <w:rPr>
          <w:sz w:val="20"/>
          <w:szCs w:val="20"/>
          <w:color w:val="auto"/>
        </w:rPr>
      </w:pPr>
    </w:p>
    <w:p>
      <w:pPr>
        <w:ind w:left="4640" w:right="100"/>
        <w:spacing w:after="0" w:line="232" w:lineRule="auto"/>
        <w:rPr>
          <w:sz w:val="20"/>
          <w:szCs w:val="20"/>
          <w:color w:val="auto"/>
        </w:rPr>
      </w:pPr>
      <w:r>
        <w:rPr>
          <w:rFonts w:ascii="Calibri" w:cs="Calibri" w:eastAsia="Calibri" w:hAnsi="Calibri"/>
          <w:sz w:val="17"/>
          <w:szCs w:val="17"/>
          <w:color w:val="333333"/>
        </w:rPr>
        <w:t>Prepare a report for the Board that includes a review of votng results and feedback we received from our shareholders during the proxy season. This discussion informs outreach and engagement plans for our meetngs with shareholders during the fall.</w:t>
      </w:r>
    </w:p>
    <w:p>
      <w:pPr>
        <w:spacing w:after="0" w:line="22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BOARD COMPOSITION AND CHARACTERISTICS</w:t>
      </w:r>
    </w:p>
    <w:p>
      <w:pPr>
        <w:spacing w:after="0" w:line="212" w:lineRule="exact"/>
        <w:rPr>
          <w:sz w:val="20"/>
          <w:szCs w:val="20"/>
          <w:color w:val="auto"/>
        </w:rPr>
      </w:pPr>
    </w:p>
    <w:p>
      <w:pPr>
        <w:jc w:val="both"/>
        <w:ind w:left="160" w:right="80"/>
        <w:spacing w:after="0" w:line="232" w:lineRule="auto"/>
        <w:rPr>
          <w:sz w:val="20"/>
          <w:szCs w:val="20"/>
          <w:color w:val="auto"/>
        </w:rPr>
      </w:pPr>
      <w:r>
        <w:rPr>
          <w:rFonts w:ascii="Calibri" w:cs="Calibri" w:eastAsia="Calibri" w:hAnsi="Calibri"/>
          <w:sz w:val="17"/>
          <w:szCs w:val="17"/>
          <w:color w:val="333333"/>
        </w:rPr>
        <w:t>Our director nominees are a group of experienced business leaders who provide unique perspectves to the Company’s business discussions and strategic plans, which we believe are critcal to maintaining a high-functoning Board. Collectvely, the tenure of our director nominees balances deep experience at the Company with fresh perspectves. Our director nominees also have a broad range of expertse and skills that enable them to efectvely carry out their dutes and responsibilites.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Board Refreshment and Leadership</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Mark S. Bartlet, a member of our Audit Commitee, will reach age 75 prior to the Annual Meetng and therefore, pursuant to our Corporate Governance Guidelines, will not be nominated to stand for re-electon to the Board. The Board has approved a decrease in its size from nine directors to eight directors, efectve automatcally as of the Annual Meetng, in light of Mr. Bartlet’s pending retrement.</w:t>
      </w:r>
    </w:p>
    <w:p>
      <w:pPr>
        <w:spacing w:after="0" w:line="214" w:lineRule="exact"/>
        <w:rPr>
          <w:sz w:val="20"/>
          <w:szCs w:val="20"/>
          <w:color w:val="auto"/>
        </w:rPr>
      </w:pPr>
    </w:p>
    <w:p>
      <w:pPr>
        <w:jc w:val="both"/>
        <w:ind w:left="160" w:right="60"/>
        <w:spacing w:after="0" w:line="232" w:lineRule="auto"/>
        <w:rPr>
          <w:sz w:val="20"/>
          <w:szCs w:val="20"/>
          <w:color w:val="auto"/>
        </w:rPr>
      </w:pPr>
      <w:r>
        <w:rPr>
          <w:rFonts w:ascii="Calibri" w:cs="Calibri" w:eastAsia="Calibri" w:hAnsi="Calibri"/>
          <w:sz w:val="17"/>
          <w:szCs w:val="17"/>
          <w:color w:val="333333"/>
        </w:rPr>
        <w:t>Our Board and the NCGSR Commitee maintain a robust refreshment and recruitment process in which the members focus on identfying, considering and evaluatng potental Board candidates in connecton with an ongoing review of Board needs. The Board also annually reviews and assesses its compositon through its self-evaluaton process.</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xiii</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NCGSR Commitee has spent considerable tme focusing on intentonal, long-term Board refreshment. To that end, the Board added three new directors in recent years, Elsy Boglioli in 2023, and Eric T. Steigerwalt and Janet H. Zelenka in 2025, and it believes that those additons to the Board bring a broad range of skills, experience and perspectves that further contribute to an engaged and well-balanced Board.</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In March 2025, the Board appointed Eric T. Steigerwalt and Janet H. Zelenka as new directors in advance of the retrements of longtme directors Gerard E. Holthaus and Brenda J. Bacon at the 2025 Annual Meetng. Mr. Steigerwalt is President and Chief Executve Ofcer of Brighthouse Financial, Inc., one of the largest providers of annuites and life insurance in the United States. Ms. Zelenka is the former Executve Vice President, Chief Financial Ofcer and Chief Informaton Ofcer of Stericycle, Inc., a business-to-business services company that specializes in regulated medical waste disposal and compliance solutons that was acquired by WM (formerly known as Waste Management) in November 2024. As a CEO, Mr. Steigerwalt adds a deep understanding of operatons, fnance and culture to drive strategic outcomes, while Ms. Zelenka brings signifcant Audit Commitee expertse in fnance, IT, cybersecurity, artfcial intelligence, governance and corporate ethics.</w:t>
      </w:r>
    </w:p>
    <w:p>
      <w:pPr>
        <w:spacing w:after="0" w:line="214"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In antcipaton of Mr. Holthaus’s retrement, in 2025 the Board determined that it was in the Company’s best interests to appoint Mr. Gunby, its President and CEO and a member of its Board of Directors, as Chairman of the Board and to appoint Claudio Costamagna as Lead Independent Director, both efectve upon their re-electon as directors at the 2025 Annual Meetng.</w:t>
      </w:r>
    </w:p>
    <w:p>
      <w:pPr>
        <w:spacing w:after="0" w:line="214" w:lineRule="exact"/>
        <w:rPr>
          <w:sz w:val="20"/>
          <w:szCs w:val="20"/>
          <w:color w:val="auto"/>
        </w:rPr>
      </w:pPr>
    </w:p>
    <w:p>
      <w:pPr>
        <w:ind w:left="160" w:right="740"/>
        <w:spacing w:after="0" w:line="233" w:lineRule="auto"/>
        <w:rPr>
          <w:sz w:val="20"/>
          <w:szCs w:val="20"/>
          <w:color w:val="auto"/>
        </w:rPr>
      </w:pPr>
      <w:r>
        <w:rPr>
          <w:rFonts w:ascii="Calibri" w:cs="Calibri" w:eastAsia="Calibri" w:hAnsi="Calibri"/>
          <w:sz w:val="17"/>
          <w:szCs w:val="17"/>
          <w:color w:val="333333"/>
        </w:rPr>
        <w:t>Assuming the electon of all eight nominees as directors of the Company by shareholders at the Annual Meetng, the following describes certain characteristcs of the Board following their electon.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168910</wp:posOffset>
            </wp:positionV>
            <wp:extent cx="4857750" cy="1112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57750"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xiv</w:t>
      </w:r>
    </w:p>
    <w:p>
      <w:pPr>
        <w:sectPr>
          <w:pgSz w:w="11900" w:h="16838" w:orient="portrait"/>
          <w:cols w:equalWidth="0" w:num="1">
            <w:col w:w="11020"/>
          </w:cols>
          <w:pgMar w:left="320" w:top="478"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jc w:val="both"/>
        <w:ind w:left="160" w:right="240"/>
        <w:spacing w:after="0" w:line="232" w:lineRule="auto"/>
        <w:rPr>
          <w:sz w:val="20"/>
          <w:szCs w:val="20"/>
          <w:color w:val="auto"/>
        </w:rPr>
      </w:pPr>
      <w:r>
        <w:rPr>
          <w:rFonts w:ascii="Calibri" w:cs="Calibri" w:eastAsia="Calibri" w:hAnsi="Calibri"/>
          <w:sz w:val="17"/>
          <w:szCs w:val="17"/>
          <w:color w:val="333333"/>
        </w:rPr>
        <w:t xml:space="preserve">Detailed informaton on each of our director nominees can be found in the secton ttled “Informaton About The Board Of Directors And Commitees — Informaton About The Nominees For Director” beginning on </w:t>
      </w:r>
      <w:r>
        <w:rPr>
          <w:rFonts w:ascii="Calibri" w:cs="Calibri" w:eastAsia="Calibri" w:hAnsi="Calibri"/>
          <w:sz w:val="17"/>
          <w:szCs w:val="17"/>
          <w:color w:val="0591DB"/>
        </w:rPr>
        <w:t>page 15</w:t>
      </w:r>
      <w:r>
        <w:rPr>
          <w:rFonts w:ascii="Calibri" w:cs="Calibri" w:eastAsia="Calibri" w:hAnsi="Calibri"/>
          <w:sz w:val="17"/>
          <w:szCs w:val="17"/>
          <w:color w:val="333333"/>
        </w:rPr>
        <w:t xml:space="preserve"> of this Proxy Statement. The ages listed below are as of March 5, 2026, the record date for the Annual Meetng.</w:t>
      </w:r>
    </w:p>
    <w:p>
      <w:pPr>
        <w:spacing w:after="0" w:line="248" w:lineRule="exact"/>
        <w:rPr>
          <w:sz w:val="20"/>
          <w:szCs w:val="20"/>
          <w:color w:val="auto"/>
        </w:rPr>
      </w:pPr>
    </w:p>
    <w:tbl>
      <w:tblPr>
        <w:tblLayout w:type="fixed"/>
        <w:tblInd w:w="170" w:type="dxa"/>
        <w:tblCellMar>
          <w:top w:w="0" w:type="dxa"/>
          <w:left w:w="0" w:type="dxa"/>
          <w:bottom w:w="0" w:type="dxa"/>
          <w:right w:w="0" w:type="dxa"/>
        </w:tblCellMar>
      </w:tblPr>
      <w:tr>
        <w:trPr>
          <w:trHeight w:val="250"/>
        </w:trPr>
        <w:tc>
          <w:tcPr>
            <w:tcW w:w="3940" w:type="dxa"/>
            <w:vAlign w:val="bottom"/>
            <w:tcBorders>
              <w:top w:val="single" w:sz="8" w:color="0591DB"/>
              <w:left w:val="single" w:sz="8" w:color="0591DB"/>
              <w:bottom w:val="single" w:sz="8" w:color="0591DB"/>
            </w:tcBorders>
          </w:tcPr>
          <w:p>
            <w:pPr>
              <w:spacing w:after="0"/>
              <w:rPr>
                <w:sz w:val="21"/>
                <w:szCs w:val="21"/>
                <w:color w:val="auto"/>
              </w:rPr>
            </w:pPr>
          </w:p>
        </w:tc>
        <w:tc>
          <w:tcPr>
            <w:tcW w:w="540" w:type="dxa"/>
            <w:vAlign w:val="bottom"/>
            <w:tcBorders>
              <w:top w:val="single" w:sz="8" w:color="0591DB"/>
              <w:bottom w:val="single" w:sz="8" w:color="0591DB"/>
            </w:tcBorders>
          </w:tcPr>
          <w:p>
            <w:pPr>
              <w:spacing w:after="0"/>
              <w:rPr>
                <w:sz w:val="21"/>
                <w:szCs w:val="21"/>
                <w:color w:val="auto"/>
              </w:rPr>
            </w:pPr>
          </w:p>
        </w:tc>
        <w:tc>
          <w:tcPr>
            <w:tcW w:w="1200" w:type="dxa"/>
            <w:vAlign w:val="bottom"/>
            <w:tcBorders>
              <w:top w:val="single" w:sz="8" w:color="0591DB"/>
              <w:bottom w:val="single" w:sz="8" w:color="0591DB"/>
            </w:tcBorders>
          </w:tcPr>
          <w:p>
            <w:pPr>
              <w:spacing w:after="0"/>
              <w:rPr>
                <w:sz w:val="21"/>
                <w:szCs w:val="21"/>
                <w:color w:val="auto"/>
              </w:rPr>
            </w:pPr>
          </w:p>
        </w:tc>
        <w:tc>
          <w:tcPr>
            <w:tcW w:w="1640" w:type="dxa"/>
            <w:vAlign w:val="bottom"/>
            <w:tcBorders>
              <w:top w:val="single" w:sz="8" w:color="0591DB"/>
              <w:bottom w:val="single" w:sz="8" w:color="0591DB"/>
              <w:right w:val="single" w:sz="8" w:color="0591DB"/>
            </w:tcBorders>
          </w:tcPr>
          <w:p>
            <w:pPr>
              <w:spacing w:after="0"/>
              <w:rPr>
                <w:sz w:val="21"/>
                <w:szCs w:val="21"/>
                <w:color w:val="auto"/>
              </w:rPr>
            </w:pPr>
          </w:p>
        </w:tc>
        <w:tc>
          <w:tcPr>
            <w:tcW w:w="700" w:type="dxa"/>
            <w:vAlign w:val="bottom"/>
            <w:tcBorders>
              <w:top w:val="single" w:sz="8" w:color="0591DB"/>
              <w:bottom w:val="single" w:sz="8" w:color="0591DB"/>
            </w:tcBorders>
          </w:tcPr>
          <w:p>
            <w:pPr>
              <w:spacing w:after="0"/>
              <w:rPr>
                <w:sz w:val="21"/>
                <w:szCs w:val="21"/>
                <w:color w:val="auto"/>
              </w:rPr>
            </w:pPr>
          </w:p>
        </w:tc>
        <w:tc>
          <w:tcPr>
            <w:tcW w:w="2920" w:type="dxa"/>
            <w:vAlign w:val="bottom"/>
            <w:tcBorders>
              <w:top w:val="single" w:sz="8" w:color="0591DB"/>
              <w:bottom w:val="single" w:sz="8" w:color="0591DB"/>
              <w:right w:val="single" w:sz="8" w:color="0591DB"/>
            </w:tcBorders>
            <w:gridSpan w:val="3"/>
          </w:tcPr>
          <w:p>
            <w:pPr>
              <w:ind w:left="20"/>
              <w:spacing w:after="0"/>
              <w:rPr>
                <w:sz w:val="20"/>
                <w:szCs w:val="20"/>
                <w:color w:val="auto"/>
              </w:rPr>
            </w:pPr>
            <w:r>
              <w:rPr>
                <w:rFonts w:ascii="Calibri" w:cs="Calibri" w:eastAsia="Calibri" w:hAnsi="Calibri"/>
                <w:sz w:val="20"/>
                <w:szCs w:val="20"/>
                <w:b w:val="1"/>
                <w:bCs w:val="1"/>
                <w:color w:val="0591DB"/>
              </w:rPr>
              <w:t>COMMITTEE MEMBERSHIP</w:t>
            </w:r>
          </w:p>
        </w:tc>
      </w:tr>
      <w:tr>
        <w:trPr>
          <w:trHeight w:val="259"/>
        </w:trPr>
        <w:tc>
          <w:tcPr>
            <w:tcW w:w="3940" w:type="dxa"/>
            <w:vAlign w:val="bottom"/>
            <w:tcBorders>
              <w:left w:val="single" w:sz="8" w:color="0591DB"/>
              <w:right w:val="single" w:sz="8" w:color="0591DB"/>
            </w:tcBorders>
          </w:tcPr>
          <w:p>
            <w:pPr>
              <w:spacing w:after="0"/>
              <w:rPr>
                <w:sz w:val="22"/>
                <w:szCs w:val="22"/>
                <w:color w:val="auto"/>
              </w:rPr>
            </w:pPr>
          </w:p>
        </w:tc>
        <w:tc>
          <w:tcPr>
            <w:tcW w:w="540" w:type="dxa"/>
            <w:vAlign w:val="bottom"/>
            <w:tcBorders>
              <w:right w:val="single" w:sz="8" w:color="0591DB"/>
            </w:tcBorders>
          </w:tcPr>
          <w:p>
            <w:pPr>
              <w:spacing w:after="0"/>
              <w:rPr>
                <w:sz w:val="22"/>
                <w:szCs w:val="22"/>
                <w:color w:val="auto"/>
              </w:rPr>
            </w:pPr>
          </w:p>
        </w:tc>
        <w:tc>
          <w:tcPr>
            <w:tcW w:w="1200" w:type="dxa"/>
            <w:vAlign w:val="bottom"/>
            <w:tcBorders>
              <w:right w:val="single" w:sz="8" w:color="0591DB"/>
            </w:tcBorders>
          </w:tcPr>
          <w:p>
            <w:pPr>
              <w:jc w:val="center"/>
              <w:spacing w:after="0"/>
              <w:rPr>
                <w:sz w:val="20"/>
                <w:szCs w:val="20"/>
                <w:color w:val="auto"/>
              </w:rPr>
            </w:pPr>
            <w:r>
              <w:rPr>
                <w:rFonts w:ascii="Calibri" w:cs="Calibri" w:eastAsia="Calibri" w:hAnsi="Calibri"/>
                <w:sz w:val="20"/>
                <w:szCs w:val="20"/>
                <w:b w:val="1"/>
                <w:bCs w:val="1"/>
                <w:color w:val="0591DB"/>
                <w:w w:val="99"/>
              </w:rPr>
              <w:t>DIRECTOR</w:t>
            </w:r>
          </w:p>
        </w:tc>
        <w:tc>
          <w:tcPr>
            <w:tcW w:w="1640" w:type="dxa"/>
            <w:vAlign w:val="bottom"/>
            <w:tcBorders>
              <w:right w:val="single" w:sz="8" w:color="0591DB"/>
            </w:tcBorders>
          </w:tcPr>
          <w:p>
            <w:pPr>
              <w:jc w:val="center"/>
              <w:spacing w:after="0"/>
              <w:rPr>
                <w:sz w:val="20"/>
                <w:szCs w:val="20"/>
                <w:color w:val="auto"/>
              </w:rPr>
            </w:pPr>
            <w:r>
              <w:rPr>
                <w:rFonts w:ascii="Calibri" w:cs="Calibri" w:eastAsia="Calibri" w:hAnsi="Calibri"/>
                <w:sz w:val="20"/>
                <w:szCs w:val="20"/>
                <w:b w:val="1"/>
                <w:bCs w:val="1"/>
                <w:color w:val="0591DB"/>
              </w:rPr>
              <w:t>INDEPENDENT</w:t>
            </w:r>
          </w:p>
        </w:tc>
        <w:tc>
          <w:tcPr>
            <w:tcW w:w="700" w:type="dxa"/>
            <w:vAlign w:val="bottom"/>
          </w:tcPr>
          <w:p>
            <w:pPr>
              <w:spacing w:after="0"/>
              <w:rPr>
                <w:sz w:val="22"/>
                <w:szCs w:val="22"/>
                <w:color w:val="auto"/>
              </w:rPr>
            </w:pPr>
          </w:p>
        </w:tc>
        <w:tc>
          <w:tcPr>
            <w:tcW w:w="80" w:type="dxa"/>
            <w:vAlign w:val="bottom"/>
            <w:tcBorders>
              <w:right w:val="single" w:sz="8" w:color="0591DB"/>
            </w:tcBorders>
          </w:tcPr>
          <w:p>
            <w:pPr>
              <w:spacing w:after="0"/>
              <w:rPr>
                <w:sz w:val="22"/>
                <w:szCs w:val="22"/>
                <w:color w:val="auto"/>
              </w:rPr>
            </w:pPr>
          </w:p>
        </w:tc>
        <w:tc>
          <w:tcPr>
            <w:tcW w:w="1960" w:type="dxa"/>
            <w:vAlign w:val="bottom"/>
            <w:tcBorders>
              <w:right w:val="single" w:sz="8" w:color="0591DB"/>
            </w:tcBorders>
          </w:tcPr>
          <w:p>
            <w:pPr>
              <w:spacing w:after="0"/>
              <w:rPr>
                <w:sz w:val="22"/>
                <w:szCs w:val="22"/>
                <w:color w:val="auto"/>
              </w:rPr>
            </w:pPr>
          </w:p>
        </w:tc>
        <w:tc>
          <w:tcPr>
            <w:tcW w:w="880" w:type="dxa"/>
            <w:vAlign w:val="bottom"/>
            <w:tcBorders>
              <w:right w:val="single" w:sz="8" w:color="0591DB"/>
            </w:tcBorders>
          </w:tcPr>
          <w:p>
            <w:pPr>
              <w:spacing w:after="0"/>
              <w:rPr>
                <w:sz w:val="22"/>
                <w:szCs w:val="22"/>
                <w:color w:val="auto"/>
              </w:rPr>
            </w:pPr>
          </w:p>
        </w:tc>
      </w:tr>
      <w:tr>
        <w:trPr>
          <w:trHeight w:val="241"/>
        </w:trPr>
        <w:tc>
          <w:tcPr>
            <w:tcW w:w="3940" w:type="dxa"/>
            <w:vAlign w:val="bottom"/>
            <w:tcBorders>
              <w:left w:val="single" w:sz="8" w:color="0591DB"/>
              <w:right w:val="single" w:sz="8" w:color="0591DB"/>
            </w:tcBorders>
          </w:tcPr>
          <w:p>
            <w:pPr>
              <w:ind w:left="160"/>
              <w:spacing w:after="0" w:line="241" w:lineRule="exact"/>
              <w:rPr>
                <w:sz w:val="20"/>
                <w:szCs w:val="20"/>
                <w:color w:val="auto"/>
              </w:rPr>
            </w:pPr>
            <w:r>
              <w:rPr>
                <w:rFonts w:ascii="Calibri" w:cs="Calibri" w:eastAsia="Calibri" w:hAnsi="Calibri"/>
                <w:sz w:val="20"/>
                <w:szCs w:val="20"/>
                <w:b w:val="1"/>
                <w:bCs w:val="1"/>
                <w:color w:val="0591DB"/>
              </w:rPr>
              <w:t>DIRECTOR</w:t>
            </w:r>
          </w:p>
        </w:tc>
        <w:tc>
          <w:tcPr>
            <w:tcW w:w="540" w:type="dxa"/>
            <w:vAlign w:val="bottom"/>
            <w:tcBorders>
              <w:right w:val="single" w:sz="8" w:color="0591DB"/>
            </w:tcBorders>
          </w:tcPr>
          <w:p>
            <w:pPr>
              <w:ind w:left="140"/>
              <w:spacing w:after="0" w:line="241" w:lineRule="exact"/>
              <w:rPr>
                <w:sz w:val="20"/>
                <w:szCs w:val="20"/>
                <w:color w:val="auto"/>
              </w:rPr>
            </w:pPr>
            <w:r>
              <w:rPr>
                <w:rFonts w:ascii="Calibri" w:cs="Calibri" w:eastAsia="Calibri" w:hAnsi="Calibri"/>
                <w:sz w:val="20"/>
                <w:szCs w:val="20"/>
                <w:b w:val="1"/>
                <w:bCs w:val="1"/>
                <w:color w:val="0591DB"/>
              </w:rPr>
              <w:t>AGE</w:t>
            </w:r>
          </w:p>
        </w:tc>
        <w:tc>
          <w:tcPr>
            <w:tcW w:w="12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9"/>
              </w:rPr>
              <w:t>SINCE</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9"/>
              </w:rPr>
              <w:t>DIRECTOR</w:t>
            </w:r>
          </w:p>
        </w:tc>
        <w:tc>
          <w:tcPr>
            <w:tcW w:w="700" w:type="dxa"/>
            <w:vAlign w:val="bottom"/>
          </w:tcPr>
          <w:p>
            <w:pPr>
              <w:ind w:left="160"/>
              <w:spacing w:after="0" w:line="241" w:lineRule="exact"/>
              <w:rPr>
                <w:sz w:val="20"/>
                <w:szCs w:val="20"/>
                <w:color w:val="auto"/>
              </w:rPr>
            </w:pPr>
            <w:r>
              <w:rPr>
                <w:rFonts w:ascii="Calibri" w:cs="Calibri" w:eastAsia="Calibri" w:hAnsi="Calibri"/>
                <w:sz w:val="20"/>
                <w:szCs w:val="20"/>
                <w:b w:val="1"/>
                <w:bCs w:val="1"/>
                <w:color w:val="0591DB"/>
                <w:w w:val="97"/>
              </w:rPr>
              <w:t>AUDIT</w:t>
            </w:r>
          </w:p>
        </w:tc>
        <w:tc>
          <w:tcPr>
            <w:tcW w:w="80" w:type="dxa"/>
            <w:vAlign w:val="bottom"/>
            <w:tcBorders>
              <w:right w:val="single" w:sz="8" w:color="0591DB"/>
            </w:tcBorders>
          </w:tcPr>
          <w:p>
            <w:pPr>
              <w:spacing w:after="0"/>
              <w:rPr>
                <w:sz w:val="20"/>
                <w:szCs w:val="20"/>
                <w:color w:val="auto"/>
              </w:rPr>
            </w:pPr>
          </w:p>
        </w:tc>
        <w:tc>
          <w:tcPr>
            <w:tcW w:w="1960" w:type="dxa"/>
            <w:vAlign w:val="bottom"/>
            <w:tcBorders>
              <w:right w:val="single" w:sz="8" w:color="0591DB"/>
            </w:tcBorders>
          </w:tcPr>
          <w:p>
            <w:pPr>
              <w:ind w:left="320"/>
              <w:spacing w:after="0" w:line="241" w:lineRule="exact"/>
              <w:rPr>
                <w:sz w:val="20"/>
                <w:szCs w:val="20"/>
                <w:color w:val="auto"/>
              </w:rPr>
            </w:pPr>
            <w:r>
              <w:rPr>
                <w:rFonts w:ascii="Calibri" w:cs="Calibri" w:eastAsia="Calibri" w:hAnsi="Calibri"/>
                <w:sz w:val="20"/>
                <w:szCs w:val="20"/>
                <w:b w:val="1"/>
                <w:bCs w:val="1"/>
                <w:color w:val="0591DB"/>
              </w:rPr>
              <w:t>COMPENSATION</w:t>
            </w:r>
          </w:p>
        </w:tc>
        <w:tc>
          <w:tcPr>
            <w:tcW w:w="880" w:type="dxa"/>
            <w:vAlign w:val="bottom"/>
            <w:tcBorders>
              <w:right w:val="single" w:sz="8" w:color="0591DB"/>
            </w:tcBorders>
          </w:tcPr>
          <w:p>
            <w:pPr>
              <w:ind w:left="180"/>
              <w:spacing w:after="0" w:line="241" w:lineRule="exact"/>
              <w:rPr>
                <w:sz w:val="20"/>
                <w:szCs w:val="20"/>
                <w:color w:val="auto"/>
              </w:rPr>
            </w:pPr>
            <w:r>
              <w:rPr>
                <w:rFonts w:ascii="Calibri" w:cs="Calibri" w:eastAsia="Calibri" w:hAnsi="Calibri"/>
                <w:sz w:val="20"/>
                <w:szCs w:val="20"/>
                <w:b w:val="1"/>
                <w:bCs w:val="1"/>
                <w:color w:val="0591DB"/>
              </w:rPr>
              <w:t>NCGSR</w:t>
            </w:r>
          </w:p>
        </w:tc>
      </w:tr>
      <w:tr>
        <w:trPr>
          <w:trHeight w:val="32"/>
        </w:trPr>
        <w:tc>
          <w:tcPr>
            <w:tcW w:w="3940" w:type="dxa"/>
            <w:vAlign w:val="bottom"/>
            <w:tcBorders>
              <w:left w:val="single" w:sz="8" w:color="0591DB"/>
              <w:bottom w:val="single" w:sz="8" w:color="0591DB"/>
              <w:right w:val="single" w:sz="8" w:color="0591DB"/>
            </w:tcBorders>
          </w:tcPr>
          <w:p>
            <w:pPr>
              <w:spacing w:after="0"/>
              <w:rPr>
                <w:sz w:val="2"/>
                <w:szCs w:val="2"/>
                <w:color w:val="auto"/>
              </w:rPr>
            </w:pPr>
          </w:p>
        </w:tc>
        <w:tc>
          <w:tcPr>
            <w:tcW w:w="540" w:type="dxa"/>
            <w:vAlign w:val="bottom"/>
            <w:tcBorders>
              <w:bottom w:val="single" w:sz="8" w:color="0591DB"/>
              <w:right w:val="single" w:sz="8" w:color="0591DB"/>
            </w:tcBorders>
          </w:tcPr>
          <w:p>
            <w:pPr>
              <w:spacing w:after="0"/>
              <w:rPr>
                <w:sz w:val="2"/>
                <w:szCs w:val="2"/>
                <w:color w:val="auto"/>
              </w:rPr>
            </w:pPr>
          </w:p>
        </w:tc>
        <w:tc>
          <w:tcPr>
            <w:tcW w:w="1200" w:type="dxa"/>
            <w:vAlign w:val="bottom"/>
            <w:tcBorders>
              <w:bottom w:val="single" w:sz="8" w:color="0591DB"/>
              <w:right w:val="single" w:sz="8" w:color="0591DB"/>
            </w:tcBorders>
          </w:tcPr>
          <w:p>
            <w:pPr>
              <w:spacing w:after="0"/>
              <w:rPr>
                <w:sz w:val="2"/>
                <w:szCs w:val="2"/>
                <w:color w:val="auto"/>
              </w:rPr>
            </w:pPr>
          </w:p>
        </w:tc>
        <w:tc>
          <w:tcPr>
            <w:tcW w:w="1640" w:type="dxa"/>
            <w:vAlign w:val="bottom"/>
            <w:tcBorders>
              <w:bottom w:val="single" w:sz="8" w:color="0591DB"/>
              <w:right w:val="single" w:sz="8" w:color="0591DB"/>
            </w:tcBorders>
          </w:tcPr>
          <w:p>
            <w:pPr>
              <w:spacing w:after="0"/>
              <w:rPr>
                <w:sz w:val="2"/>
                <w:szCs w:val="2"/>
                <w:color w:val="auto"/>
              </w:rPr>
            </w:pPr>
          </w:p>
        </w:tc>
        <w:tc>
          <w:tcPr>
            <w:tcW w:w="700" w:type="dxa"/>
            <w:vAlign w:val="bottom"/>
            <w:tcBorders>
              <w:bottom w:val="single" w:sz="8" w:color="0591DB"/>
            </w:tcBorders>
          </w:tcPr>
          <w:p>
            <w:pPr>
              <w:spacing w:after="0"/>
              <w:rPr>
                <w:sz w:val="2"/>
                <w:szCs w:val="2"/>
                <w:color w:val="auto"/>
              </w:rPr>
            </w:pPr>
          </w:p>
        </w:tc>
        <w:tc>
          <w:tcPr>
            <w:tcW w:w="80" w:type="dxa"/>
            <w:vAlign w:val="bottom"/>
            <w:tcBorders>
              <w:bottom w:val="single" w:sz="8" w:color="0591DB"/>
              <w:right w:val="single" w:sz="8" w:color="0591DB"/>
            </w:tcBorders>
          </w:tcPr>
          <w:p>
            <w:pPr>
              <w:spacing w:after="0"/>
              <w:rPr>
                <w:sz w:val="2"/>
                <w:szCs w:val="2"/>
                <w:color w:val="auto"/>
              </w:rPr>
            </w:pPr>
          </w:p>
        </w:tc>
        <w:tc>
          <w:tcPr>
            <w:tcW w:w="1960" w:type="dxa"/>
            <w:vAlign w:val="bottom"/>
            <w:tcBorders>
              <w:bottom w:val="single" w:sz="8" w:color="0591DB"/>
              <w:right w:val="single" w:sz="8" w:color="0591DB"/>
            </w:tcBorders>
          </w:tcPr>
          <w:p>
            <w:pPr>
              <w:spacing w:after="0"/>
              <w:rPr>
                <w:sz w:val="2"/>
                <w:szCs w:val="2"/>
                <w:color w:val="auto"/>
              </w:rPr>
            </w:pPr>
          </w:p>
        </w:tc>
        <w:tc>
          <w:tcPr>
            <w:tcW w:w="880" w:type="dxa"/>
            <w:vAlign w:val="bottom"/>
            <w:tcBorders>
              <w:bottom w:val="single" w:sz="8" w:color="0591DB"/>
              <w:right w:val="single" w:sz="8" w:color="0591DB"/>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3141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3141980"/>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p>
      <w:pPr>
        <w:ind w:left="160"/>
        <w:spacing w:after="0" w:line="203" w:lineRule="auto"/>
        <w:rPr>
          <w:sz w:val="20"/>
          <w:szCs w:val="20"/>
          <w:color w:val="auto"/>
        </w:rPr>
      </w:pPr>
      <w:r>
        <w:rPr>
          <w:rFonts w:ascii="Calibri" w:cs="Calibri" w:eastAsia="Calibri" w:hAnsi="Calibri"/>
          <w:sz w:val="17"/>
          <w:szCs w:val="17"/>
          <w:b w:val="1"/>
          <w:bCs w:val="1"/>
          <w:color w:val="0591DB"/>
        </w:rPr>
        <w:t>Steven H. Gunby</w:t>
      </w:r>
    </w:p>
    <w:p>
      <w:pPr>
        <w:ind w:left="160" w:right="40"/>
        <w:spacing w:after="0" w:line="232" w:lineRule="auto"/>
        <w:rPr>
          <w:sz w:val="20"/>
          <w:szCs w:val="20"/>
          <w:color w:val="auto"/>
        </w:rPr>
      </w:pPr>
      <w:r>
        <w:rPr>
          <w:rFonts w:ascii="Calibri" w:cs="Calibri" w:eastAsia="Calibri" w:hAnsi="Calibri"/>
          <w:sz w:val="17"/>
          <w:szCs w:val="17"/>
          <w:color w:val="333333"/>
        </w:rPr>
        <w:t>President and Chief Executve Ofcer of FTI Consultng, Inc.</w:t>
      </w:r>
    </w:p>
    <w:p>
      <w:pPr>
        <w:spacing w:after="0" w:line="7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Elsy Boglioli</w:t>
      </w:r>
    </w:p>
    <w:p>
      <w:pPr>
        <w:ind w:left="160"/>
        <w:spacing w:after="0" w:line="232" w:lineRule="auto"/>
        <w:rPr>
          <w:sz w:val="20"/>
          <w:szCs w:val="20"/>
          <w:color w:val="auto"/>
        </w:rPr>
      </w:pPr>
      <w:r>
        <w:rPr>
          <w:rFonts w:ascii="Calibri" w:cs="Calibri" w:eastAsia="Calibri" w:hAnsi="Calibri"/>
          <w:sz w:val="17"/>
          <w:szCs w:val="17"/>
          <w:color w:val="333333"/>
        </w:rPr>
        <w:t>Chief Executve Ofcer of Bio-Up</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Claudio Costamagna</w:t>
      </w:r>
    </w:p>
    <w:p>
      <w:pPr>
        <w:ind w:left="160"/>
        <w:spacing w:after="0" w:line="232" w:lineRule="auto"/>
        <w:rPr>
          <w:sz w:val="20"/>
          <w:szCs w:val="20"/>
          <w:color w:val="auto"/>
        </w:rPr>
      </w:pPr>
      <w:r>
        <w:rPr>
          <w:rFonts w:ascii="Calibri" w:cs="Calibri" w:eastAsia="Calibri" w:hAnsi="Calibri"/>
          <w:sz w:val="17"/>
          <w:szCs w:val="17"/>
          <w:color w:val="333333"/>
        </w:rPr>
        <w:t>Chairman of CC e Soci S.r.l.</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Nicholas C. Fanandakis</w:t>
      </w:r>
    </w:p>
    <w:p>
      <w:pPr>
        <w:ind w:left="160" w:right="120"/>
        <w:spacing w:after="0" w:line="232" w:lineRule="auto"/>
        <w:rPr>
          <w:sz w:val="20"/>
          <w:szCs w:val="20"/>
          <w:color w:val="auto"/>
        </w:rPr>
      </w:pPr>
      <w:r>
        <w:rPr>
          <w:rFonts w:ascii="Calibri" w:cs="Calibri" w:eastAsia="Calibri" w:hAnsi="Calibri"/>
          <w:sz w:val="17"/>
          <w:szCs w:val="17"/>
          <w:color w:val="333333"/>
        </w:rPr>
        <w:t>Retred Chief Financial Ofcer of DuPont de Nemours, Inc.</w:t>
      </w:r>
    </w:p>
    <w:p>
      <w:pPr>
        <w:spacing w:after="0" w:line="7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Stephen C. Robinson</w:t>
      </w:r>
    </w:p>
    <w:p>
      <w:pPr>
        <w:ind w:left="160" w:right="300"/>
        <w:spacing w:after="0" w:line="232" w:lineRule="auto"/>
        <w:rPr>
          <w:sz w:val="20"/>
          <w:szCs w:val="20"/>
          <w:color w:val="auto"/>
        </w:rPr>
      </w:pPr>
      <w:r>
        <w:rPr>
          <w:rFonts w:ascii="Calibri" w:cs="Calibri" w:eastAsia="Calibri" w:hAnsi="Calibri"/>
          <w:sz w:val="17"/>
          <w:szCs w:val="17"/>
          <w:color w:val="333333"/>
        </w:rPr>
        <w:t>Retred Partner at Skadden, Arps, Slate, Meagher &amp; Flom LLP</w:t>
      </w:r>
    </w:p>
    <w:p>
      <w:pPr>
        <w:spacing w:after="0" w:line="7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Laureen E. Seeger</w:t>
      </w:r>
    </w:p>
    <w:p>
      <w:pPr>
        <w:ind w:left="160"/>
        <w:spacing w:after="0" w:line="232" w:lineRule="auto"/>
        <w:rPr>
          <w:sz w:val="20"/>
          <w:szCs w:val="20"/>
          <w:color w:val="auto"/>
        </w:rPr>
      </w:pPr>
      <w:r>
        <w:rPr>
          <w:rFonts w:ascii="Calibri" w:cs="Calibri" w:eastAsia="Calibri" w:hAnsi="Calibri"/>
          <w:sz w:val="17"/>
          <w:szCs w:val="17"/>
          <w:color w:val="333333"/>
        </w:rPr>
        <w:t>Chief Legal Ofcer of the American Express Company</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Eric T. Steigerwalt</w:t>
      </w:r>
    </w:p>
    <w:p>
      <w:pPr>
        <w:ind w:left="160" w:right="220"/>
        <w:spacing w:after="0" w:line="232" w:lineRule="auto"/>
        <w:rPr>
          <w:sz w:val="20"/>
          <w:szCs w:val="20"/>
          <w:color w:val="auto"/>
        </w:rPr>
      </w:pPr>
      <w:r>
        <w:rPr>
          <w:rFonts w:ascii="Calibri" w:cs="Calibri" w:eastAsia="Calibri" w:hAnsi="Calibri"/>
          <w:sz w:val="17"/>
          <w:szCs w:val="17"/>
          <w:color w:val="333333"/>
        </w:rPr>
        <w:t>President and Chief Executve Ofcer of Brighthouse Financial, Inc.</w:t>
      </w:r>
    </w:p>
    <w:p>
      <w:pPr>
        <w:spacing w:after="0" w:line="7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Janet H. Zelenka</w:t>
      </w:r>
    </w:p>
    <w:p>
      <w:pPr>
        <w:ind w:left="160"/>
        <w:spacing w:after="0" w:line="232" w:lineRule="auto"/>
        <w:rPr>
          <w:sz w:val="20"/>
          <w:szCs w:val="20"/>
          <w:color w:val="auto"/>
        </w:rPr>
      </w:pPr>
      <w:r>
        <w:rPr>
          <w:rFonts w:ascii="Calibri" w:cs="Calibri" w:eastAsia="Calibri" w:hAnsi="Calibri"/>
          <w:sz w:val="17"/>
          <w:szCs w:val="17"/>
          <w:color w:val="333333"/>
        </w:rPr>
        <w:t>Retred Executve Vice President, Chief Financial Ofcer and Chief Informaton Ofcer of Stericycle,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151765</wp:posOffset>
            </wp:positionV>
            <wp:extent cx="14522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
        <w:spacing w:after="0"/>
        <w:tabs>
          <w:tab w:leader="none" w:pos="761" w:val="left"/>
        </w:tabs>
        <w:rPr>
          <w:sz w:val="20"/>
          <w:szCs w:val="20"/>
          <w:color w:val="auto"/>
        </w:rPr>
      </w:pPr>
      <w:r>
        <w:rPr>
          <w:rFonts w:ascii="Calibri" w:cs="Calibri" w:eastAsia="Calibri" w:hAnsi="Calibri"/>
          <w:sz w:val="17"/>
          <w:szCs w:val="17"/>
          <w:color w:val="333333"/>
        </w:rPr>
        <w:t>68</w:t>
      </w:r>
      <w:r>
        <w:rPr>
          <w:sz w:val="20"/>
          <w:szCs w:val="20"/>
          <w:color w:val="auto"/>
        </w:rPr>
        <w:tab/>
      </w:r>
      <w:r>
        <w:rPr>
          <w:rFonts w:ascii="Calibri" w:cs="Calibri" w:eastAsia="Calibri" w:hAnsi="Calibri"/>
          <w:sz w:val="17"/>
          <w:szCs w:val="17"/>
          <w:color w:val="333333"/>
        </w:rPr>
        <w:t>2014</w:t>
      </w:r>
    </w:p>
    <w:p>
      <w:pPr>
        <w:spacing w:after="0" w:line="394" w:lineRule="exact"/>
        <w:rPr>
          <w:sz w:val="20"/>
          <w:szCs w:val="20"/>
          <w:color w:val="auto"/>
        </w:rPr>
      </w:pPr>
    </w:p>
    <w:p>
      <w:pPr>
        <w:ind w:left="1"/>
        <w:spacing w:after="0"/>
        <w:tabs>
          <w:tab w:leader="none" w:pos="761" w:val="left"/>
        </w:tabs>
        <w:rPr>
          <w:sz w:val="20"/>
          <w:szCs w:val="20"/>
          <w:color w:val="auto"/>
        </w:rPr>
      </w:pPr>
      <w:r>
        <w:rPr>
          <w:rFonts w:ascii="Calibri" w:cs="Calibri" w:eastAsia="Calibri" w:hAnsi="Calibri"/>
          <w:sz w:val="17"/>
          <w:szCs w:val="17"/>
          <w:color w:val="333333"/>
        </w:rPr>
        <w:t>44</w:t>
      </w:r>
      <w:r>
        <w:rPr>
          <w:sz w:val="20"/>
          <w:szCs w:val="20"/>
          <w:color w:val="auto"/>
        </w:rPr>
        <w:tab/>
      </w:r>
      <w:r>
        <w:rPr>
          <w:rFonts w:ascii="Calibri" w:cs="Calibri" w:eastAsia="Calibri" w:hAnsi="Calibri"/>
          <w:sz w:val="17"/>
          <w:szCs w:val="17"/>
          <w:color w:val="333333"/>
        </w:rPr>
        <w:t>2023</w:t>
      </w:r>
    </w:p>
    <w:p>
      <w:pPr>
        <w:spacing w:after="0" w:line="301" w:lineRule="exact"/>
        <w:rPr>
          <w:sz w:val="20"/>
          <w:szCs w:val="20"/>
          <w:color w:val="auto"/>
        </w:rPr>
      </w:pPr>
    </w:p>
    <w:p>
      <w:pPr>
        <w:ind w:left="1"/>
        <w:spacing w:after="0"/>
        <w:tabs>
          <w:tab w:leader="none" w:pos="761" w:val="left"/>
        </w:tabs>
        <w:rPr>
          <w:sz w:val="20"/>
          <w:szCs w:val="20"/>
          <w:color w:val="auto"/>
        </w:rPr>
      </w:pPr>
      <w:r>
        <w:rPr>
          <w:rFonts w:ascii="Calibri" w:cs="Calibri" w:eastAsia="Calibri" w:hAnsi="Calibri"/>
          <w:sz w:val="17"/>
          <w:szCs w:val="17"/>
          <w:color w:val="333333"/>
        </w:rPr>
        <w:t>69</w:t>
      </w:r>
      <w:r>
        <w:rPr>
          <w:sz w:val="20"/>
          <w:szCs w:val="20"/>
          <w:color w:val="auto"/>
        </w:rPr>
        <w:tab/>
      </w:r>
      <w:r>
        <w:rPr>
          <w:rFonts w:ascii="Calibri" w:cs="Calibri" w:eastAsia="Calibri" w:hAnsi="Calibri"/>
          <w:sz w:val="17"/>
          <w:szCs w:val="17"/>
          <w:color w:val="333333"/>
        </w:rPr>
        <w:t>2012</w:t>
      </w:r>
    </w:p>
    <w:p>
      <w:pPr>
        <w:spacing w:after="0" w:line="381" w:lineRule="exact"/>
        <w:rPr>
          <w:sz w:val="20"/>
          <w:szCs w:val="20"/>
          <w:color w:val="auto"/>
        </w:rPr>
      </w:pPr>
    </w:p>
    <w:p>
      <w:pPr>
        <w:ind w:left="1"/>
        <w:spacing w:after="0"/>
        <w:tabs>
          <w:tab w:leader="none" w:pos="761" w:val="left"/>
        </w:tabs>
        <w:rPr>
          <w:sz w:val="20"/>
          <w:szCs w:val="20"/>
          <w:color w:val="auto"/>
        </w:rPr>
      </w:pPr>
      <w:r>
        <w:rPr>
          <w:rFonts w:ascii="Calibri" w:cs="Calibri" w:eastAsia="Calibri" w:hAnsi="Calibri"/>
          <w:sz w:val="17"/>
          <w:szCs w:val="17"/>
          <w:color w:val="333333"/>
        </w:rPr>
        <w:t>69</w:t>
      </w:r>
      <w:r>
        <w:rPr>
          <w:sz w:val="20"/>
          <w:szCs w:val="20"/>
          <w:color w:val="auto"/>
        </w:rPr>
        <w:tab/>
      </w:r>
      <w:r>
        <w:rPr>
          <w:rFonts w:ascii="Calibri" w:cs="Calibri" w:eastAsia="Calibri" w:hAnsi="Calibri"/>
          <w:sz w:val="17"/>
          <w:szCs w:val="17"/>
          <w:color w:val="333333"/>
        </w:rPr>
        <w:t>2014</w:t>
      </w:r>
    </w:p>
    <w:p>
      <w:pPr>
        <w:spacing w:after="0" w:line="200" w:lineRule="exact"/>
        <w:rPr>
          <w:sz w:val="20"/>
          <w:szCs w:val="20"/>
          <w:color w:val="auto"/>
        </w:rPr>
      </w:pPr>
    </w:p>
    <w:p>
      <w:pPr>
        <w:spacing w:after="0" w:line="275" w:lineRule="exact"/>
        <w:rPr>
          <w:sz w:val="20"/>
          <w:szCs w:val="20"/>
          <w:color w:val="auto"/>
        </w:rPr>
      </w:pPr>
    </w:p>
    <w:p>
      <w:pPr>
        <w:ind w:left="1"/>
        <w:spacing w:after="0"/>
        <w:tabs>
          <w:tab w:leader="none" w:pos="761" w:val="left"/>
        </w:tabs>
        <w:rPr>
          <w:sz w:val="20"/>
          <w:szCs w:val="20"/>
          <w:color w:val="auto"/>
        </w:rPr>
      </w:pPr>
      <w:r>
        <w:rPr>
          <w:rFonts w:ascii="Calibri" w:cs="Calibri" w:eastAsia="Calibri" w:hAnsi="Calibri"/>
          <w:sz w:val="17"/>
          <w:szCs w:val="17"/>
          <w:color w:val="333333"/>
        </w:rPr>
        <w:t>69</w:t>
      </w:r>
      <w:r>
        <w:rPr>
          <w:sz w:val="20"/>
          <w:szCs w:val="20"/>
          <w:color w:val="auto"/>
        </w:rPr>
        <w:tab/>
      </w:r>
      <w:r>
        <w:rPr>
          <w:rFonts w:ascii="Calibri" w:cs="Calibri" w:eastAsia="Calibri" w:hAnsi="Calibri"/>
          <w:sz w:val="17"/>
          <w:szCs w:val="17"/>
          <w:color w:val="333333"/>
        </w:rPr>
        <w:t>2022</w:t>
      </w:r>
    </w:p>
    <w:p>
      <w:pPr>
        <w:spacing w:after="0" w:line="394" w:lineRule="exact"/>
        <w:rPr>
          <w:sz w:val="20"/>
          <w:szCs w:val="20"/>
          <w:color w:val="auto"/>
        </w:rPr>
      </w:pPr>
    </w:p>
    <w:p>
      <w:pPr>
        <w:ind w:left="781" w:hanging="781"/>
        <w:spacing w:after="0"/>
        <w:tabs>
          <w:tab w:leader="none" w:pos="781" w:val="left"/>
        </w:tabs>
        <w:numPr>
          <w:ilvl w:val="0"/>
          <w:numId w:val="17"/>
        </w:numPr>
        <w:rPr>
          <w:rFonts w:ascii="Calibri" w:cs="Calibri" w:eastAsia="Calibri" w:hAnsi="Calibri"/>
          <w:sz w:val="17"/>
          <w:szCs w:val="17"/>
          <w:color w:val="333333"/>
        </w:rPr>
      </w:pPr>
      <w:r>
        <w:rPr>
          <w:rFonts w:ascii="Calibri" w:cs="Calibri" w:eastAsia="Calibri" w:hAnsi="Calibri"/>
          <w:sz w:val="17"/>
          <w:szCs w:val="17"/>
          <w:color w:val="333333"/>
        </w:rPr>
        <w:t>2016</w:t>
      </w:r>
    </w:p>
    <w:p>
      <w:pPr>
        <w:spacing w:after="0" w:line="380" w:lineRule="exact"/>
        <w:rPr>
          <w:rFonts w:ascii="Calibri" w:cs="Calibri" w:eastAsia="Calibri" w:hAnsi="Calibri"/>
          <w:sz w:val="17"/>
          <w:szCs w:val="17"/>
          <w:color w:val="333333"/>
        </w:rPr>
      </w:pPr>
    </w:p>
    <w:p>
      <w:pPr>
        <w:ind w:left="781" w:hanging="781"/>
        <w:spacing w:after="0"/>
        <w:tabs>
          <w:tab w:leader="none" w:pos="781" w:val="left"/>
        </w:tabs>
        <w:numPr>
          <w:ilvl w:val="0"/>
          <w:numId w:val="18"/>
        </w:numPr>
        <w:rPr>
          <w:rFonts w:ascii="Calibri" w:cs="Calibri" w:eastAsia="Calibri" w:hAnsi="Calibri"/>
          <w:sz w:val="17"/>
          <w:szCs w:val="17"/>
          <w:color w:val="333333"/>
        </w:rPr>
      </w:pPr>
      <w:r>
        <w:rPr>
          <w:rFonts w:ascii="Calibri" w:cs="Calibri" w:eastAsia="Calibri" w:hAnsi="Calibri"/>
          <w:sz w:val="17"/>
          <w:szCs w:val="17"/>
          <w:color w:val="333333"/>
        </w:rPr>
        <w:t>2025</w:t>
      </w:r>
    </w:p>
    <w:p>
      <w:pPr>
        <w:spacing w:after="0" w:line="200" w:lineRule="exact"/>
        <w:rPr>
          <w:rFonts w:ascii="Calibri" w:cs="Calibri" w:eastAsia="Calibri" w:hAnsi="Calibri"/>
          <w:sz w:val="17"/>
          <w:szCs w:val="17"/>
          <w:color w:val="333333"/>
        </w:rPr>
      </w:pPr>
    </w:p>
    <w:p>
      <w:pPr>
        <w:spacing w:after="0" w:line="274" w:lineRule="exact"/>
        <w:rPr>
          <w:rFonts w:ascii="Calibri" w:cs="Calibri" w:eastAsia="Calibri" w:hAnsi="Calibri"/>
          <w:sz w:val="17"/>
          <w:szCs w:val="17"/>
          <w:color w:val="333333"/>
        </w:rPr>
      </w:pPr>
    </w:p>
    <w:p>
      <w:pPr>
        <w:ind w:left="781" w:hanging="781"/>
        <w:spacing w:after="0"/>
        <w:tabs>
          <w:tab w:leader="none" w:pos="781" w:val="left"/>
        </w:tabs>
        <w:numPr>
          <w:ilvl w:val="0"/>
          <w:numId w:val="19"/>
        </w:numPr>
        <w:rPr>
          <w:rFonts w:ascii="Calibri" w:cs="Calibri" w:eastAsia="Calibri" w:hAnsi="Calibri"/>
          <w:sz w:val="17"/>
          <w:szCs w:val="17"/>
          <w:color w:val="333333"/>
        </w:rPr>
      </w:pPr>
      <w:r>
        <w:rPr>
          <w:rFonts w:ascii="Calibri" w:cs="Calibri" w:eastAsia="Calibri" w:hAnsi="Calibri"/>
          <w:sz w:val="17"/>
          <w:szCs w:val="17"/>
          <w:color w:val="333333"/>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508"/>
        </w:trPr>
        <w:tc>
          <w:tcPr>
            <w:tcW w:w="1920" w:type="dxa"/>
            <w:vAlign w:val="bottom"/>
          </w:tcPr>
          <w:p>
            <w:pPr>
              <w:jc w:val="right"/>
              <w:ind w:right="1695"/>
              <w:spacing w:after="0" w:line="171" w:lineRule="exact"/>
              <w:rPr>
                <w:sz w:val="20"/>
                <w:szCs w:val="20"/>
                <w:color w:val="auto"/>
              </w:rPr>
            </w:pPr>
            <w:r>
              <w:rPr>
                <w:rFonts w:ascii="MS PGothic" w:cs="MS PGothic" w:eastAsia="MS PGothic" w:hAnsi="MS PGothic"/>
                <w:sz w:val="17"/>
                <w:szCs w:val="17"/>
                <w:color w:val="333333"/>
                <w:w w:val="70"/>
              </w:rPr>
              <w:t>✓</w:t>
            </w:r>
          </w:p>
        </w:tc>
        <w:tc>
          <w:tcPr>
            <w:tcW w:w="1420" w:type="dxa"/>
            <w:vAlign w:val="bottom"/>
          </w:tcPr>
          <w:p>
            <w:pPr>
              <w:ind w:left="600"/>
              <w:spacing w:after="0"/>
              <w:rPr>
                <w:sz w:val="20"/>
                <w:szCs w:val="20"/>
                <w:color w:val="auto"/>
              </w:rPr>
            </w:pPr>
            <w:r>
              <w:rPr>
                <w:rFonts w:ascii="Times New Roman" w:cs="Times New Roman" w:eastAsia="Times New Roman" w:hAnsi="Times New Roman"/>
                <w:sz w:val="39"/>
                <w:szCs w:val="39"/>
                <w:color w:val="0591DB"/>
              </w:rPr>
              <w:t>●</w:t>
            </w:r>
          </w:p>
        </w:tc>
        <w:tc>
          <w:tcPr>
            <w:tcW w:w="840" w:type="dxa"/>
            <w:vAlign w:val="bottom"/>
          </w:tcPr>
          <w:p>
            <w:pPr>
              <w:jc w:val="center"/>
              <w:ind w:left="460"/>
              <w:spacing w:after="0"/>
              <w:rPr>
                <w:sz w:val="20"/>
                <w:szCs w:val="20"/>
                <w:color w:val="auto"/>
              </w:rPr>
            </w:pPr>
            <w:r>
              <w:rPr>
                <w:rFonts w:ascii="Times New Roman" w:cs="Times New Roman" w:eastAsia="Times New Roman" w:hAnsi="Times New Roman"/>
                <w:sz w:val="39"/>
                <w:szCs w:val="39"/>
                <w:color w:val="0591DB"/>
              </w:rPr>
              <w:t>●</w:t>
            </w:r>
          </w:p>
        </w:tc>
        <w:tc>
          <w:tcPr>
            <w:tcW w:w="0" w:type="dxa"/>
            <w:vAlign w:val="bottom"/>
          </w:tcPr>
          <w:p>
            <w:pPr>
              <w:spacing w:after="0"/>
              <w:rPr>
                <w:sz w:val="1"/>
                <w:szCs w:val="1"/>
                <w:color w:val="auto"/>
              </w:rPr>
            </w:pPr>
          </w:p>
        </w:tc>
      </w:tr>
      <w:tr>
        <w:trPr>
          <w:trHeight w:val="300"/>
        </w:trPr>
        <w:tc>
          <w:tcPr>
            <w:tcW w:w="1920" w:type="dxa"/>
            <w:vAlign w:val="bottom"/>
            <w:vMerge w:val="restart"/>
          </w:tcPr>
          <w:p>
            <w:pPr>
              <w:jc w:val="right"/>
              <w:ind w:right="515"/>
              <w:spacing w:after="0"/>
              <w:rPr>
                <w:sz w:val="20"/>
                <w:szCs w:val="20"/>
                <w:color w:val="auto"/>
              </w:rPr>
            </w:pPr>
            <w:r>
              <w:rPr>
                <w:rFonts w:ascii="Calibri" w:cs="Calibri" w:eastAsia="Calibri" w:hAnsi="Calibri"/>
                <w:sz w:val="17"/>
                <w:szCs w:val="17"/>
                <w:color w:val="333333"/>
              </w:rPr>
              <w:t>*</w:t>
            </w:r>
          </w:p>
        </w:tc>
        <w:tc>
          <w:tcPr>
            <w:tcW w:w="1420" w:type="dxa"/>
            <w:vAlign w:val="bottom"/>
          </w:tcPr>
          <w:p>
            <w:pPr>
              <w:ind w:left="600"/>
              <w:spacing w:after="0" w:line="300" w:lineRule="exact"/>
              <w:rPr>
                <w:sz w:val="20"/>
                <w:szCs w:val="20"/>
                <w:color w:val="auto"/>
              </w:rPr>
            </w:pPr>
            <w:r>
              <w:rPr>
                <w:rFonts w:ascii="Times New Roman" w:cs="Times New Roman" w:eastAsia="Times New Roman" w:hAnsi="Times New Roman"/>
                <w:sz w:val="34"/>
                <w:szCs w:val="34"/>
                <w:color w:val="0591DB"/>
              </w:rPr>
              <w:t>●</w:t>
            </w:r>
          </w:p>
        </w:tc>
        <w:tc>
          <w:tcPr>
            <w:tcW w:w="840" w:type="dxa"/>
            <w:vAlign w:val="bottom"/>
            <w:vMerge w:val="restart"/>
          </w:tcPr>
          <w:p>
            <w:pPr>
              <w:jc w:val="right"/>
              <w:spacing w:after="0"/>
              <w:rPr>
                <w:sz w:val="20"/>
                <w:szCs w:val="20"/>
                <w:color w:val="auto"/>
              </w:rPr>
            </w:pPr>
            <w:r>
              <w:rPr>
                <w:rFonts w:ascii="Calibri" w:cs="Calibri" w:eastAsia="Calibri" w:hAnsi="Calibri"/>
                <w:sz w:val="17"/>
                <w:szCs w:val="17"/>
                <w:color w:val="333333"/>
              </w:rPr>
              <w:t>*</w:t>
            </w:r>
          </w:p>
        </w:tc>
        <w:tc>
          <w:tcPr>
            <w:tcW w:w="0" w:type="dxa"/>
            <w:vAlign w:val="bottom"/>
          </w:tcPr>
          <w:p>
            <w:pPr>
              <w:spacing w:after="0"/>
              <w:rPr>
                <w:sz w:val="1"/>
                <w:szCs w:val="1"/>
                <w:color w:val="auto"/>
              </w:rPr>
            </w:pPr>
          </w:p>
        </w:tc>
      </w:tr>
      <w:tr>
        <w:trPr>
          <w:trHeight w:val="42"/>
        </w:trPr>
        <w:tc>
          <w:tcPr>
            <w:tcW w:w="192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226" w:hanging="1226"/>
        <w:spacing w:after="0"/>
        <w:tabs>
          <w:tab w:leader="none" w:pos="1226" w:val="left"/>
        </w:tabs>
        <w:numPr>
          <w:ilvl w:val="0"/>
          <w:numId w:val="20"/>
        </w:numPr>
        <w:rPr>
          <w:rFonts w:ascii="MS PGothic" w:cs="MS PGothic" w:eastAsia="MS PGothic" w:hAnsi="MS PGothic"/>
          <w:sz w:val="17"/>
          <w:szCs w:val="17"/>
          <w:color w:val="333333"/>
        </w:rPr>
      </w:pPr>
      <w:r>
        <w:rPr>
          <w:rFonts w:ascii="Calibri" w:cs="Calibri" w:eastAsia="Calibri" w:hAnsi="Calibri"/>
          <w:sz w:val="34"/>
          <w:szCs w:val="34"/>
          <w:color w:val="0591DB"/>
          <w:vertAlign w:val="superscript"/>
        </w:rPr>
        <w:t>C</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448"/>
        </w:trPr>
        <w:tc>
          <w:tcPr>
            <w:tcW w:w="640" w:type="dxa"/>
            <w:vAlign w:val="bottom"/>
          </w:tcPr>
          <w:p>
            <w:pPr>
              <w:spacing w:after="0" w:line="171" w:lineRule="exact"/>
              <w:rPr>
                <w:sz w:val="20"/>
                <w:szCs w:val="20"/>
                <w:color w:val="auto"/>
              </w:rPr>
            </w:pPr>
            <w:r>
              <w:rPr>
                <w:rFonts w:ascii="MS PGothic" w:cs="MS PGothic" w:eastAsia="MS PGothic" w:hAnsi="MS PGothic"/>
                <w:sz w:val="17"/>
                <w:szCs w:val="17"/>
                <w:color w:val="333333"/>
              </w:rPr>
              <w:t>✓</w:t>
            </w:r>
          </w:p>
        </w:tc>
        <w:tc>
          <w:tcPr>
            <w:tcW w:w="1320" w:type="dxa"/>
            <w:vAlign w:val="bottom"/>
          </w:tcPr>
          <w:p>
            <w:pPr>
              <w:ind w:left="520"/>
              <w:spacing w:after="0"/>
              <w:rPr>
                <w:sz w:val="20"/>
                <w:szCs w:val="20"/>
                <w:color w:val="auto"/>
              </w:rPr>
            </w:pPr>
            <w:r>
              <w:rPr>
                <w:rFonts w:ascii="Times New Roman" w:cs="Times New Roman" w:eastAsia="Times New Roman" w:hAnsi="Times New Roman"/>
                <w:sz w:val="39"/>
                <w:szCs w:val="39"/>
                <w:color w:val="0591DB"/>
              </w:rPr>
              <w:t>●</w:t>
            </w:r>
          </w:p>
        </w:tc>
        <w:tc>
          <w:tcPr>
            <w:tcW w:w="1380" w:type="dxa"/>
            <w:vAlign w:val="bottom"/>
          </w:tcPr>
          <w:p>
            <w:pPr>
              <w:spacing w:after="0"/>
              <w:rPr>
                <w:sz w:val="24"/>
                <w:szCs w:val="24"/>
                <w:color w:val="auto"/>
              </w:rPr>
            </w:pPr>
          </w:p>
        </w:tc>
        <w:tc>
          <w:tcPr>
            <w:tcW w:w="840" w:type="dxa"/>
            <w:vAlign w:val="bottom"/>
            <w:vMerge w:val="restart"/>
          </w:tcPr>
          <w:p>
            <w:pPr>
              <w:jc w:val="center"/>
              <w:ind w:left="441"/>
              <w:spacing w:after="0"/>
              <w:rPr>
                <w:sz w:val="20"/>
                <w:szCs w:val="20"/>
                <w:color w:val="auto"/>
              </w:rPr>
            </w:pPr>
            <w:r>
              <w:rPr>
                <w:rFonts w:ascii="Calibri" w:cs="Calibri" w:eastAsia="Calibri" w:hAnsi="Calibri"/>
                <w:sz w:val="17"/>
                <w:szCs w:val="17"/>
                <w:color w:val="0591DB"/>
                <w:w w:val="87"/>
              </w:rPr>
              <w:t>C</w:t>
            </w: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60"/>
        </w:trPr>
        <w:tc>
          <w:tcPr>
            <w:tcW w:w="640" w:type="dxa"/>
            <w:vAlign w:val="bottom"/>
          </w:tcPr>
          <w:p>
            <w:pPr>
              <w:spacing w:after="0" w:line="171" w:lineRule="exact"/>
              <w:rPr>
                <w:sz w:val="20"/>
                <w:szCs w:val="20"/>
                <w:color w:val="auto"/>
              </w:rPr>
            </w:pPr>
            <w:r>
              <w:rPr>
                <w:rFonts w:ascii="MS PGothic" w:cs="MS PGothic" w:eastAsia="MS PGothic" w:hAnsi="MS PGothic"/>
                <w:sz w:val="17"/>
                <w:szCs w:val="17"/>
                <w:color w:val="333333"/>
              </w:rPr>
              <w:t>✓</w:t>
            </w:r>
          </w:p>
        </w:tc>
        <w:tc>
          <w:tcPr>
            <w:tcW w:w="132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Calibri" w:cs="Calibri" w:eastAsia="Calibri" w:hAnsi="Calibri"/>
                <w:sz w:val="17"/>
                <w:szCs w:val="17"/>
                <w:color w:val="0591DB"/>
              </w:rPr>
              <w:t>C</w:t>
            </w:r>
          </w:p>
        </w:tc>
        <w:tc>
          <w:tcPr>
            <w:tcW w:w="840" w:type="dxa"/>
            <w:vAlign w:val="bottom"/>
          </w:tcPr>
          <w:p>
            <w:pPr>
              <w:jc w:val="center"/>
              <w:ind w:left="441"/>
              <w:spacing w:after="0"/>
              <w:rPr>
                <w:sz w:val="20"/>
                <w:szCs w:val="20"/>
                <w:color w:val="auto"/>
              </w:rPr>
            </w:pPr>
            <w:r>
              <w:rPr>
                <w:rFonts w:ascii="Times New Roman" w:cs="Times New Roman" w:eastAsia="Times New Roman" w:hAnsi="Times New Roman"/>
                <w:sz w:val="39"/>
                <w:szCs w:val="39"/>
                <w:color w:val="0591DB"/>
              </w:rPr>
              <w:t>●</w:t>
            </w: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0"/>
        </w:trPr>
        <w:tc>
          <w:tcPr>
            <w:tcW w:w="640" w:type="dxa"/>
            <w:vAlign w:val="bottom"/>
          </w:tcPr>
          <w:p>
            <w:pPr>
              <w:spacing w:after="0" w:line="171" w:lineRule="exact"/>
              <w:rPr>
                <w:sz w:val="20"/>
                <w:szCs w:val="20"/>
                <w:color w:val="auto"/>
              </w:rPr>
            </w:pPr>
            <w:r>
              <w:rPr>
                <w:rFonts w:ascii="MS PGothic" w:cs="MS PGothic" w:eastAsia="MS PGothic" w:hAnsi="MS PGothic"/>
                <w:sz w:val="17"/>
                <w:szCs w:val="17"/>
                <w:color w:val="333333"/>
              </w:rPr>
              <w:t>✓</w:t>
            </w:r>
          </w:p>
        </w:tc>
        <w:tc>
          <w:tcPr>
            <w:tcW w:w="1320" w:type="dxa"/>
            <w:vAlign w:val="bottom"/>
          </w:tcPr>
          <w:p>
            <w:pPr>
              <w:ind w:left="520"/>
              <w:spacing w:after="0"/>
              <w:rPr>
                <w:sz w:val="20"/>
                <w:szCs w:val="20"/>
                <w:color w:val="auto"/>
              </w:rPr>
            </w:pPr>
            <w:r>
              <w:rPr>
                <w:rFonts w:ascii="Times New Roman" w:cs="Times New Roman" w:eastAsia="Times New Roman" w:hAnsi="Times New Roman"/>
                <w:sz w:val="39"/>
                <w:szCs w:val="39"/>
                <w:color w:val="0591DB"/>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39"/>
                <w:szCs w:val="39"/>
                <w:color w:val="0591DB"/>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640" w:type="dxa"/>
            <w:vAlign w:val="bottom"/>
          </w:tcPr>
          <w:p>
            <w:pPr>
              <w:spacing w:after="0" w:line="171" w:lineRule="exact"/>
              <w:rPr>
                <w:sz w:val="20"/>
                <w:szCs w:val="20"/>
                <w:color w:val="auto"/>
              </w:rPr>
            </w:pPr>
            <w:r>
              <w:rPr>
                <w:rFonts w:ascii="MS PGothic" w:cs="MS PGothic" w:eastAsia="MS PGothic" w:hAnsi="MS PGothic"/>
                <w:sz w:val="17"/>
                <w:szCs w:val="17"/>
                <w:color w:val="333333"/>
              </w:rPr>
              <w:t>✓</w:t>
            </w:r>
          </w:p>
        </w:tc>
        <w:tc>
          <w:tcPr>
            <w:tcW w:w="1320" w:type="dxa"/>
            <w:vAlign w:val="bottom"/>
          </w:tcPr>
          <w:p>
            <w:pPr>
              <w:ind w:left="520"/>
              <w:spacing w:after="0"/>
              <w:rPr>
                <w:sz w:val="20"/>
                <w:szCs w:val="20"/>
                <w:color w:val="auto"/>
              </w:rPr>
            </w:pPr>
            <w:r>
              <w:rPr>
                <w:rFonts w:ascii="Times New Roman" w:cs="Times New Roman" w:eastAsia="Times New Roman" w:hAnsi="Times New Roman"/>
                <w:sz w:val="39"/>
                <w:szCs w:val="39"/>
                <w:color w:val="0591DB"/>
              </w:rPr>
              <w:t>●</w:t>
            </w:r>
          </w:p>
        </w:tc>
        <w:tc>
          <w:tcPr>
            <w:tcW w:w="1380" w:type="dxa"/>
            <w:vAlign w:val="bottom"/>
          </w:tcPr>
          <w:p>
            <w:pPr>
              <w:spacing w:after="0"/>
              <w:rPr>
                <w:sz w:val="24"/>
                <w:szCs w:val="24"/>
                <w:color w:val="auto"/>
              </w:rPr>
            </w:pPr>
          </w:p>
        </w:tc>
        <w:tc>
          <w:tcPr>
            <w:tcW w:w="840" w:type="dxa"/>
            <w:vAlign w:val="bottom"/>
          </w:tcPr>
          <w:p>
            <w:pPr>
              <w:jc w:val="center"/>
              <w:ind w:left="441"/>
              <w:spacing w:after="0"/>
              <w:rPr>
                <w:sz w:val="20"/>
                <w:szCs w:val="20"/>
                <w:color w:val="auto"/>
              </w:rPr>
            </w:pPr>
            <w:r>
              <w:rPr>
                <w:rFonts w:ascii="Times New Roman" w:cs="Times New Roman" w:eastAsia="Times New Roman" w:hAnsi="Times New Roman"/>
                <w:sz w:val="39"/>
                <w:szCs w:val="39"/>
                <w:color w:val="0591DB"/>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sectPr>
          <w:pgSz w:w="11900" w:h="16838" w:orient="portrait"/>
          <w:cols w:equalWidth="0" w:num="3">
            <w:col w:w="4060" w:space="259"/>
            <w:col w:w="1595" w:space="720"/>
            <w:col w:w="4466"/>
          </w:cols>
          <w:pgMar w:left="320" w:top="478" w:right="479" w:bottom="1440" w:gutter="0" w:footer="0" w:header="0"/>
          <w:type w:val="continuous"/>
        </w:sectPr>
      </w:pPr>
    </w:p>
    <w:p>
      <w:pPr>
        <w:spacing w:after="0" w:line="167" w:lineRule="exact"/>
        <w:rPr>
          <w:sz w:val="20"/>
          <w:szCs w:val="20"/>
          <w:color w:val="auto"/>
        </w:rPr>
      </w:pPr>
    </w:p>
    <w:p>
      <w:pPr>
        <w:ind w:left="160"/>
        <w:spacing w:after="0"/>
        <w:rPr>
          <w:sz w:val="20"/>
          <w:szCs w:val="20"/>
          <w:color w:val="auto"/>
        </w:rPr>
      </w:pPr>
      <w:r>
        <w:rPr>
          <w:sz w:val="1"/>
          <w:szCs w:val="1"/>
          <w:color w:val="auto"/>
        </w:rPr>
        <w:drawing>
          <wp:inline distT="0" distB="0" distL="0" distR="0">
            <wp:extent cx="229235" cy="22098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9235" cy="220980"/>
                    </a:xfrm>
                    <a:prstGeom prst="rect">
                      <a:avLst/>
                    </a:prstGeom>
                    <a:noFill/>
                    <a:ln>
                      <a:noFill/>
                    </a:ln>
                  </pic:spPr>
                </pic:pic>
              </a:graphicData>
            </a:graphic>
          </wp:inline>
        </w:drawing>
      </w:r>
      <w:r>
        <w:rPr>
          <w:rFonts w:ascii="Calibri" w:cs="Calibri" w:eastAsia="Calibri" w:hAnsi="Calibri"/>
          <w:sz w:val="17"/>
          <w:szCs w:val="17"/>
          <w:color w:val="333333"/>
        </w:rPr>
        <w:t xml:space="preserve"> Lead Independent Director</w:t>
      </w:r>
    </w:p>
    <w:p>
      <w:pPr>
        <w:ind w:left="600" w:hanging="433"/>
        <w:spacing w:after="0" w:line="203" w:lineRule="auto"/>
        <w:tabs>
          <w:tab w:leader="none" w:pos="600" w:val="left"/>
        </w:tabs>
        <w:numPr>
          <w:ilvl w:val="0"/>
          <w:numId w:val="21"/>
        </w:numPr>
        <w:rPr>
          <w:rFonts w:ascii="Calibri" w:cs="Calibri" w:eastAsia="Calibri" w:hAnsi="Calibri"/>
          <w:sz w:val="17"/>
          <w:szCs w:val="17"/>
          <w:color w:val="0591DB"/>
        </w:rPr>
      </w:pPr>
      <w:r>
        <w:rPr>
          <w:rFonts w:ascii="Calibri" w:cs="Calibri" w:eastAsia="Calibri" w:hAnsi="Calibri"/>
          <w:sz w:val="17"/>
          <w:szCs w:val="17"/>
          <w:color w:val="333333"/>
        </w:rPr>
        <w:t>Commitee Chair</w:t>
      </w:r>
    </w:p>
    <w:p>
      <w:pPr>
        <w:ind w:left="600" w:right="60" w:hanging="433"/>
        <w:spacing w:after="0" w:line="232" w:lineRule="auto"/>
        <w:tabs>
          <w:tab w:leader="none" w:pos="600" w:val="left"/>
        </w:tabs>
        <w:numPr>
          <w:ilvl w:val="0"/>
          <w:numId w:val="22"/>
        </w:numPr>
        <w:rPr>
          <w:rFonts w:ascii="Calibri" w:cs="Calibri" w:eastAsia="Calibri" w:hAnsi="Calibri"/>
          <w:sz w:val="17"/>
          <w:szCs w:val="17"/>
          <w:color w:val="0591DB"/>
        </w:rPr>
      </w:pPr>
      <w:r>
        <w:rPr>
          <w:rFonts w:ascii="Calibri" w:cs="Calibri" w:eastAsia="Calibri" w:hAnsi="Calibri"/>
          <w:sz w:val="17"/>
          <w:szCs w:val="17"/>
          <w:color w:val="333333"/>
        </w:rPr>
        <w:t>Pursuant to our Corporate Governance Guidelines, the Lead Independent Director serves as an ex-ofcio member of the Board Commitees of which he is not a member</w:t>
      </w:r>
    </w:p>
    <w:p>
      <w:pPr>
        <w:spacing w:after="0" w:line="14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xv</w:t>
      </w:r>
    </w:p>
    <w:p>
      <w:pPr>
        <w:sectPr>
          <w:pgSz w:w="11900" w:h="16838" w:orient="portrait"/>
          <w:cols w:equalWidth="0" w:num="1">
            <w:col w:w="11100"/>
          </w:cols>
          <w:pgMar w:left="320" w:top="478" w:right="4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SUMMARY OF VOTING PROPOSALS AND BOARD RECOMMENDATIONS</w:t>
      </w:r>
    </w:p>
    <w:p>
      <w:pPr>
        <w:spacing w:after="0" w:line="249" w:lineRule="exact"/>
        <w:rPr>
          <w:sz w:val="20"/>
          <w:szCs w:val="20"/>
          <w:color w:val="auto"/>
        </w:rPr>
      </w:pPr>
    </w:p>
    <w:tbl>
      <w:tblPr>
        <w:tblLayout w:type="fixed"/>
        <w:tblInd w:w="170" w:type="dxa"/>
        <w:tblCellMar>
          <w:top w:w="0" w:type="dxa"/>
          <w:left w:w="0" w:type="dxa"/>
          <w:bottom w:w="0" w:type="dxa"/>
          <w:right w:w="0" w:type="dxa"/>
        </w:tblCellMar>
      </w:tblPr>
      <w:tr>
        <w:trPr>
          <w:trHeight w:val="283"/>
        </w:trPr>
        <w:tc>
          <w:tcPr>
            <w:tcW w:w="7520" w:type="dxa"/>
            <w:vAlign w:val="bottom"/>
            <w:tcBorders>
              <w:top w:val="single" w:sz="8" w:color="0591DB"/>
              <w:left w:val="single" w:sz="8" w:color="0591DB"/>
              <w:right w:val="single" w:sz="8" w:color="0591DB"/>
            </w:tcBorders>
          </w:tcPr>
          <w:p>
            <w:pPr>
              <w:spacing w:after="0"/>
              <w:rPr>
                <w:sz w:val="24"/>
                <w:szCs w:val="24"/>
                <w:color w:val="auto"/>
              </w:rPr>
            </w:pPr>
          </w:p>
        </w:tc>
        <w:tc>
          <w:tcPr>
            <w:tcW w:w="2000" w:type="dxa"/>
            <w:vAlign w:val="bottom"/>
            <w:tcBorders>
              <w:top w:val="single" w:sz="8" w:color="0591DB"/>
              <w:right w:val="single" w:sz="8" w:color="0591DB"/>
            </w:tcBorders>
          </w:tcPr>
          <w:p>
            <w:pPr>
              <w:jc w:val="center"/>
              <w:ind w:left="182"/>
              <w:spacing w:after="0"/>
              <w:rPr>
                <w:sz w:val="20"/>
                <w:szCs w:val="20"/>
                <w:color w:val="auto"/>
              </w:rPr>
            </w:pPr>
            <w:r>
              <w:rPr>
                <w:rFonts w:ascii="Calibri" w:cs="Calibri" w:eastAsia="Calibri" w:hAnsi="Calibri"/>
                <w:sz w:val="20"/>
                <w:szCs w:val="20"/>
                <w:b w:val="1"/>
                <w:bCs w:val="1"/>
                <w:color w:val="0591DB"/>
                <w:w w:val="98"/>
              </w:rPr>
              <w:t>BOARD</w:t>
            </w:r>
          </w:p>
        </w:tc>
        <w:tc>
          <w:tcPr>
            <w:tcW w:w="1420" w:type="dxa"/>
            <w:vAlign w:val="bottom"/>
            <w:tcBorders>
              <w:top w:val="single" w:sz="8" w:color="0591DB"/>
              <w:right w:val="single" w:sz="8" w:color="0591DB"/>
            </w:tcBorders>
          </w:tcPr>
          <w:p>
            <w:pPr>
              <w:jc w:val="center"/>
              <w:ind w:left="242"/>
              <w:spacing w:after="0"/>
              <w:rPr>
                <w:sz w:val="20"/>
                <w:szCs w:val="20"/>
                <w:color w:val="auto"/>
              </w:rPr>
            </w:pPr>
            <w:r>
              <w:rPr>
                <w:rFonts w:ascii="Calibri" w:cs="Calibri" w:eastAsia="Calibri" w:hAnsi="Calibri"/>
                <w:sz w:val="20"/>
                <w:szCs w:val="20"/>
                <w:b w:val="1"/>
                <w:bCs w:val="1"/>
                <w:color w:val="0591DB"/>
                <w:w w:val="97"/>
              </w:rPr>
              <w:t>PAGE</w:t>
            </w:r>
          </w:p>
        </w:tc>
      </w:tr>
      <w:tr>
        <w:trPr>
          <w:trHeight w:val="246"/>
        </w:trPr>
        <w:tc>
          <w:tcPr>
            <w:tcW w:w="7520" w:type="dxa"/>
            <w:vAlign w:val="bottom"/>
            <w:tcBorders>
              <w:left w:val="single" w:sz="8" w:color="0591DB"/>
              <w:right w:val="single" w:sz="8" w:color="0591DB"/>
            </w:tcBorders>
          </w:tcPr>
          <w:p>
            <w:pPr>
              <w:ind w:left="160"/>
              <w:spacing w:after="0"/>
              <w:rPr>
                <w:sz w:val="20"/>
                <w:szCs w:val="20"/>
                <w:color w:val="auto"/>
              </w:rPr>
            </w:pPr>
            <w:r>
              <w:rPr>
                <w:rFonts w:ascii="Calibri" w:cs="Calibri" w:eastAsia="Calibri" w:hAnsi="Calibri"/>
                <w:sz w:val="20"/>
                <w:szCs w:val="20"/>
                <w:b w:val="1"/>
                <w:bCs w:val="1"/>
                <w:color w:val="0591DB"/>
              </w:rPr>
              <w:t>PROPOSAL</w:t>
            </w:r>
          </w:p>
        </w:tc>
        <w:tc>
          <w:tcPr>
            <w:tcW w:w="2000" w:type="dxa"/>
            <w:vAlign w:val="bottom"/>
            <w:tcBorders>
              <w:right w:val="single" w:sz="8" w:color="0591DB"/>
            </w:tcBorders>
          </w:tcPr>
          <w:p>
            <w:pPr>
              <w:jc w:val="center"/>
              <w:ind w:left="182"/>
              <w:spacing w:after="0"/>
              <w:rPr>
                <w:sz w:val="20"/>
                <w:szCs w:val="20"/>
                <w:color w:val="auto"/>
              </w:rPr>
            </w:pPr>
            <w:r>
              <w:rPr>
                <w:rFonts w:ascii="Calibri" w:cs="Calibri" w:eastAsia="Calibri" w:hAnsi="Calibri"/>
                <w:sz w:val="20"/>
                <w:szCs w:val="20"/>
                <w:b w:val="1"/>
                <w:bCs w:val="1"/>
                <w:color w:val="0591DB"/>
                <w:w w:val="98"/>
              </w:rPr>
              <w:t>RECOMMENDATION</w:t>
            </w:r>
          </w:p>
        </w:tc>
        <w:tc>
          <w:tcPr>
            <w:tcW w:w="1420" w:type="dxa"/>
            <w:vAlign w:val="bottom"/>
            <w:tcBorders>
              <w:right w:val="single" w:sz="8" w:color="0591DB"/>
            </w:tcBorders>
          </w:tcPr>
          <w:p>
            <w:pPr>
              <w:jc w:val="center"/>
              <w:ind w:left="262"/>
              <w:spacing w:after="0" w:line="233" w:lineRule="exact"/>
              <w:rPr>
                <w:sz w:val="20"/>
                <w:szCs w:val="20"/>
                <w:color w:val="auto"/>
              </w:rPr>
            </w:pPr>
            <w:r>
              <w:rPr>
                <w:rFonts w:ascii="Calibri" w:cs="Calibri" w:eastAsia="Calibri" w:hAnsi="Calibri"/>
                <w:sz w:val="20"/>
                <w:szCs w:val="20"/>
                <w:b w:val="1"/>
                <w:bCs w:val="1"/>
                <w:color w:val="0591DB"/>
                <w:w w:val="99"/>
              </w:rPr>
              <w:t>REFERENCE</w:t>
            </w:r>
          </w:p>
        </w:tc>
      </w:tr>
      <w:tr>
        <w:trPr>
          <w:trHeight w:val="32"/>
        </w:trPr>
        <w:tc>
          <w:tcPr>
            <w:tcW w:w="7520" w:type="dxa"/>
            <w:vAlign w:val="bottom"/>
            <w:tcBorders>
              <w:left w:val="single" w:sz="8" w:color="0591DB"/>
              <w:bottom w:val="single" w:sz="8" w:color="0591DB"/>
              <w:right w:val="single" w:sz="8" w:color="0591DB"/>
            </w:tcBorders>
          </w:tcPr>
          <w:p>
            <w:pPr>
              <w:spacing w:after="0"/>
              <w:rPr>
                <w:sz w:val="2"/>
                <w:szCs w:val="2"/>
                <w:color w:val="auto"/>
              </w:rPr>
            </w:pPr>
          </w:p>
        </w:tc>
        <w:tc>
          <w:tcPr>
            <w:tcW w:w="2000" w:type="dxa"/>
            <w:vAlign w:val="bottom"/>
            <w:tcBorders>
              <w:bottom w:val="single" w:sz="8" w:color="0591DB"/>
              <w:right w:val="single" w:sz="8" w:color="0591DB"/>
            </w:tcBorders>
          </w:tcPr>
          <w:p>
            <w:pPr>
              <w:spacing w:after="0"/>
              <w:rPr>
                <w:sz w:val="2"/>
                <w:szCs w:val="2"/>
                <w:color w:val="auto"/>
              </w:rPr>
            </w:pPr>
          </w:p>
        </w:tc>
        <w:tc>
          <w:tcPr>
            <w:tcW w:w="1420" w:type="dxa"/>
            <w:vAlign w:val="bottom"/>
            <w:tcBorders>
              <w:bottom w:val="single" w:sz="8" w:color="0591DB"/>
              <w:right w:val="single" w:sz="8" w:color="0591DB"/>
            </w:tcBorders>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60"/>
        <w:spacing w:after="0"/>
        <w:rPr>
          <w:sz w:val="20"/>
          <w:szCs w:val="20"/>
          <w:color w:val="auto"/>
        </w:rPr>
      </w:pPr>
      <w:r>
        <w:rPr>
          <w:rFonts w:ascii="Calibri" w:cs="Calibri" w:eastAsia="Calibri" w:hAnsi="Calibri"/>
          <w:sz w:val="26"/>
          <w:szCs w:val="26"/>
          <w:b w:val="1"/>
          <w:bCs w:val="1"/>
          <w:color w:val="0591DB"/>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Calibri" w:cs="Calibri" w:eastAsia="Calibri" w:hAnsi="Calibri"/>
          <w:sz w:val="26"/>
          <w:szCs w:val="26"/>
          <w:b w:val="1"/>
          <w:bCs w:val="1"/>
          <w:color w:val="0591DB"/>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Calibri" w:cs="Calibri" w:eastAsia="Calibri" w:hAnsi="Calibri"/>
          <w:sz w:val="26"/>
          <w:szCs w:val="26"/>
          <w:b w:val="1"/>
          <w:bCs w:val="1"/>
          <w:color w:val="0591DB"/>
        </w:rPr>
        <w:t>3</w:t>
      </w:r>
    </w:p>
    <w:p>
      <w:pPr>
        <w:spacing w:after="0" w:line="20" w:lineRule="exact"/>
        <w:rPr>
          <w:sz w:val="20"/>
          <w:szCs w:val="20"/>
          <w:color w:val="auto"/>
        </w:rPr>
      </w:pPr>
      <w:r>
        <w:rPr>
          <w:sz w:val="20"/>
          <w:szCs w:val="20"/>
          <w:color w:val="auto"/>
        </w:rPr>
        <w:br w:type="column"/>
      </w:r>
    </w:p>
    <w:p>
      <w:pPr>
        <w:spacing w:after="0" w:line="203" w:lineRule="auto"/>
        <w:rPr>
          <w:sz w:val="20"/>
          <w:szCs w:val="20"/>
          <w:color w:val="auto"/>
        </w:rPr>
      </w:pPr>
      <w:r>
        <w:rPr>
          <w:rFonts w:ascii="Calibri" w:cs="Calibri" w:eastAsia="Calibri" w:hAnsi="Calibri"/>
          <w:sz w:val="17"/>
          <w:szCs w:val="17"/>
          <w:b w:val="1"/>
          <w:bCs w:val="1"/>
          <w:color w:val="0591DB"/>
        </w:rPr>
        <w:t>Electon of Directors</w:t>
      </w:r>
    </w:p>
    <w:p>
      <w:pPr>
        <w:spacing w:after="0" w:line="132" w:lineRule="exact"/>
        <w:rPr>
          <w:sz w:val="20"/>
          <w:szCs w:val="20"/>
          <w:color w:val="auto"/>
        </w:rPr>
      </w:pPr>
    </w:p>
    <w:p>
      <w:pPr>
        <w:ind w:right="20"/>
        <w:spacing w:after="0"/>
        <w:rPr>
          <w:sz w:val="20"/>
          <w:szCs w:val="20"/>
          <w:color w:val="auto"/>
        </w:rPr>
      </w:pPr>
      <w:r>
        <w:rPr>
          <w:rFonts w:ascii="Calibri" w:cs="Calibri" w:eastAsia="Calibri" w:hAnsi="Calibri"/>
          <w:sz w:val="17"/>
          <w:szCs w:val="17"/>
          <w:color w:val="333333"/>
        </w:rPr>
        <w:t>Each of the eight directors has been nominated by the Board to stand for electon as a director of the Company. Each nominee, if elected, will serve as a director for a one-year term untl the next annual meetng of shareholders and untl his or her successor is duly elected and qualifes or untl his or her death, resignaton, retrement or removal (whichever occurs earliest).</w:t>
      </w:r>
    </w:p>
    <w:p>
      <w:pPr>
        <w:spacing w:after="0" w:line="18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Ratfcaton of Appointment of Our Independent Registered Public Accountng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-111125</wp:posOffset>
            </wp:positionV>
            <wp:extent cx="6929755" cy="857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857885"/>
                    </a:xfrm>
                    <a:prstGeom prst="rect">
                      <a:avLst/>
                    </a:prstGeom>
                    <a:noFill/>
                  </pic:spPr>
                </pic:pic>
              </a:graphicData>
            </a:graphic>
          </wp:anchor>
        </w:drawing>
      </w:r>
    </w:p>
    <w:p>
      <w:pPr>
        <w:spacing w:after="0" w:line="111" w:lineRule="exact"/>
        <w:rPr>
          <w:sz w:val="20"/>
          <w:szCs w:val="20"/>
          <w:color w:val="auto"/>
        </w:rPr>
      </w:pPr>
    </w:p>
    <w:p>
      <w:pPr>
        <w:ind w:right="80"/>
        <w:spacing w:after="0" w:line="232" w:lineRule="auto"/>
        <w:rPr>
          <w:sz w:val="20"/>
          <w:szCs w:val="20"/>
          <w:color w:val="auto"/>
        </w:rPr>
      </w:pPr>
      <w:r>
        <w:rPr>
          <w:rFonts w:ascii="Calibri" w:cs="Calibri" w:eastAsia="Calibri" w:hAnsi="Calibri"/>
          <w:sz w:val="17"/>
          <w:szCs w:val="17"/>
          <w:color w:val="333333"/>
        </w:rPr>
        <w:t>Our Audit Commitee has appointed KPMG LLP (“KPMG”) as the independent registered public accountng frm to audit our books and records for the year ending December 31, 2026. KPMG has acted as our auditor since 2006. We are ofering shareholders the opportunity to ratfy the appointment of our independent registered public accountng frm as a mater of good corporate governance practce.</w:t>
      </w:r>
    </w:p>
    <w:p>
      <w:pPr>
        <w:spacing w:after="0" w:line="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Advisory Vote to Approve Named Executve Ofcer Compensaton</w:t>
      </w:r>
    </w:p>
    <w:p>
      <w:pPr>
        <w:spacing w:after="0" w:line="13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We are seeking approval, on a non-binding, advisory basis, by our shareholders of our named executve ofcer compensaton, the “Say on Pay” vote. Our Compensaton Discussion and Analysis (“CD&amp;A”) describes our executve compensaton programs and decisions for the year ended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-289560</wp:posOffset>
            </wp:positionV>
            <wp:extent cx="178435" cy="135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43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0591DB"/>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499745</wp:posOffset>
            </wp:positionV>
            <wp:extent cx="178435" cy="135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43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0591DB"/>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26"/>
          <w:szCs w:val="26"/>
          <w:b w:val="1"/>
          <w:bCs w:val="1"/>
          <w:color w:val="0591DB"/>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6"/>
          <w:szCs w:val="26"/>
          <w:b w:val="1"/>
          <w:bCs w:val="1"/>
          <w:color w:val="0591DB"/>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alibri" w:cs="Calibri" w:eastAsia="Calibri" w:hAnsi="Calibri"/>
          <w:sz w:val="26"/>
          <w:szCs w:val="26"/>
          <w:b w:val="1"/>
          <w:bCs w:val="1"/>
          <w:color w:val="0591DB"/>
        </w:rPr>
        <w:t>42</w:t>
      </w:r>
    </w:p>
    <w:p>
      <w:pPr>
        <w:spacing w:after="0" w:line="620" w:lineRule="exact"/>
        <w:rPr>
          <w:sz w:val="20"/>
          <w:szCs w:val="20"/>
          <w:color w:val="auto"/>
        </w:rPr>
      </w:pPr>
    </w:p>
    <w:p>
      <w:pPr>
        <w:sectPr>
          <w:pgSz w:w="11900" w:h="16838" w:orient="portrait"/>
          <w:cols w:equalWidth="0" w:num="4">
            <w:col w:w="400" w:space="720"/>
            <w:col w:w="6520" w:space="500"/>
            <w:col w:w="1360" w:space="600"/>
            <w:col w:w="1000"/>
          </w:cols>
          <w:pgMar w:left="320" w:top="478" w:right="479" w:bottom="1440" w:gutter="0" w:footer="0" w:header="0"/>
          <w:type w:val="continuous"/>
        </w:sectPr>
      </w:pPr>
    </w:p>
    <w:p>
      <w:pPr>
        <w:spacing w:after="0" w:line="317"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xvi</w:t>
      </w:r>
    </w:p>
    <w:p>
      <w:pPr>
        <w:sectPr>
          <w:pgSz w:w="11900" w:h="16838" w:orient="portrait"/>
          <w:cols w:equalWidth="0" w:num="1">
            <w:col w:w="11100"/>
          </w:cols>
          <w:pgMar w:left="320" w:top="478" w:right="4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503045" cy="297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3045"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9200" w:firstLine="7"/>
        <w:spacing w:after="0" w:line="232" w:lineRule="auto"/>
        <w:tabs>
          <w:tab w:leader="none" w:pos="464" w:val="left"/>
        </w:tabs>
        <w:numPr>
          <w:ilvl w:val="0"/>
          <w:numId w:val="23"/>
        </w:numPr>
        <w:rPr>
          <w:rFonts w:ascii="Calibri" w:cs="Calibri" w:eastAsia="Calibri" w:hAnsi="Calibri"/>
          <w:sz w:val="17"/>
          <w:szCs w:val="17"/>
          <w:color w:val="333333"/>
        </w:rPr>
      </w:pPr>
      <w:r>
        <w:rPr>
          <w:rFonts w:ascii="Calibri" w:cs="Calibri" w:eastAsia="Calibri" w:hAnsi="Calibri"/>
          <w:sz w:val="17"/>
          <w:szCs w:val="17"/>
          <w:color w:val="333333"/>
        </w:rPr>
        <w:t>12</w:t>
      </w:r>
      <w:r>
        <w:rPr>
          <w:rFonts w:ascii="Calibri" w:cs="Calibri" w:eastAsia="Calibri" w:hAnsi="Calibri"/>
          <w:sz w:val="12"/>
          <w:szCs w:val="12"/>
          <w:color w:val="333333"/>
        </w:rPr>
        <w:t>th</w:t>
      </w:r>
      <w:r>
        <w:rPr>
          <w:rFonts w:ascii="Calibri" w:cs="Calibri" w:eastAsia="Calibri" w:hAnsi="Calibri"/>
          <w:sz w:val="17"/>
          <w:szCs w:val="17"/>
          <w:color w:val="333333"/>
        </w:rPr>
        <w:t xml:space="preserve"> Street NW Suite 700 Washington, D.C. 20004 +1.202.312.9100</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April 21, 2026</w:t>
      </w:r>
    </w:p>
    <w:p>
      <w:pPr>
        <w:spacing w:after="0" w:line="178" w:lineRule="exact"/>
        <w:rPr>
          <w:sz w:val="20"/>
          <w:szCs w:val="20"/>
          <w:color w:val="auto"/>
        </w:rPr>
      </w:pPr>
    </w:p>
    <w:p>
      <w:pPr>
        <w:ind w:left="160" w:right="1880"/>
        <w:spacing w:after="0" w:line="237" w:lineRule="auto"/>
        <w:rPr>
          <w:sz w:val="20"/>
          <w:szCs w:val="20"/>
          <w:color w:val="auto"/>
        </w:rPr>
      </w:pPr>
      <w:r>
        <w:rPr>
          <w:rFonts w:ascii="Calibri" w:cs="Calibri" w:eastAsia="Calibri" w:hAnsi="Calibri"/>
          <w:sz w:val="57"/>
          <w:szCs w:val="57"/>
          <w:b w:val="1"/>
          <w:bCs w:val="1"/>
          <w:color w:val="0591DB"/>
        </w:rPr>
        <w:t xml:space="preserve">PROXY STATEMENT </w:t>
      </w:r>
      <w:r>
        <w:rPr>
          <w:rFonts w:ascii="Calibri" w:cs="Calibri" w:eastAsia="Calibri" w:hAnsi="Calibri"/>
          <w:sz w:val="57"/>
          <w:szCs w:val="57"/>
          <w:color w:val="0591DB"/>
        </w:rPr>
        <w:t>FOR 2026 ANNUAL</w:t>
      </w:r>
      <w:r>
        <w:rPr>
          <w:rFonts w:ascii="Calibri" w:cs="Calibri" w:eastAsia="Calibri" w:hAnsi="Calibri"/>
          <w:sz w:val="57"/>
          <w:szCs w:val="57"/>
          <w:b w:val="1"/>
          <w:bCs w:val="1"/>
          <w:color w:val="0591DB"/>
        </w:rPr>
        <w:t xml:space="preserve"> </w:t>
      </w:r>
      <w:r>
        <w:rPr>
          <w:rFonts w:ascii="Calibri" w:cs="Calibri" w:eastAsia="Calibri" w:hAnsi="Calibri"/>
          <w:sz w:val="57"/>
          <w:szCs w:val="57"/>
          <w:color w:val="0591DB"/>
        </w:rPr>
        <w:t>MEETING OF SHAREHOLDERS</w:t>
      </w:r>
    </w:p>
    <w:p>
      <w:pPr>
        <w:spacing w:after="0" w:line="264" w:lineRule="exact"/>
        <w:rPr>
          <w:sz w:val="20"/>
          <w:szCs w:val="20"/>
          <w:color w:val="auto"/>
        </w:rPr>
      </w:pPr>
    </w:p>
    <w:p>
      <w:pPr>
        <w:jc w:val="both"/>
        <w:ind w:left="160"/>
        <w:spacing w:after="0" w:line="232" w:lineRule="auto"/>
        <w:rPr>
          <w:sz w:val="20"/>
          <w:szCs w:val="20"/>
          <w:color w:val="auto"/>
        </w:rPr>
      </w:pPr>
      <w:r>
        <w:rPr>
          <w:rFonts w:ascii="Calibri" w:cs="Calibri" w:eastAsia="Calibri" w:hAnsi="Calibri"/>
          <w:sz w:val="17"/>
          <w:szCs w:val="17"/>
          <w:color w:val="333333"/>
        </w:rPr>
        <w:t>The annual meetng of Shareholders of FTI Consultng, Inc., a Maryland corporaton (the “Company” or “FTI Consultng”), will be held on June 3, 2026 (the “Annual Meetng”) at 9:30 a.m., Eastern Time, at FTI Consultng’s principal executve ofce, which is located at 555 12th Street NW, Suite 700, Washington, D.C. 20004.</w:t>
      </w:r>
    </w:p>
    <w:p>
      <w:pPr>
        <w:spacing w:after="0" w:line="214"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Our Board of Directors (the “Board”) is solicitng our shareholders’ proxies to be exercised at the Annual Meetng. Shareholders of the Company as of the close of business on March 5, 2026, the record date for the Annual Meetng (the “Record Date”), are enttled to notce of, and to vote at, the Annual Meetng or any postponement or adjournment of the Annual Meetng.</w:t>
      </w:r>
    </w:p>
    <w:p>
      <w:pPr>
        <w:spacing w:after="0" w:line="214"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This proxy statement (“Proxy Statement”) provides informaton that you should read before you vote (or authorize a proxy to vote) on the proposals that will be presented to you at the Annual Meetng and is intended to assist you in deciding how to vote your shares of common stock, par value $0.01 per share (“Common Stock”), of the Company.</w:t>
      </w:r>
    </w:p>
    <w:p>
      <w:pPr>
        <w:spacing w:after="0" w:line="214"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On or about April 21, 2026, we began mailing or emailing to shareholders of record as of the close of business on the Record Date a Notce of Internet Availability of Proxy Materials (“Notce”) containing instructons on how to access this Proxy Statement and our annual report to shareholders for the year ended December 31, 2025 (the “2025 Annual Report”) online, and we began sending a full set of the proxy materials and the 2025 Annual Report to shareholders who previously requested a paper copy.</w:t>
      </w:r>
    </w:p>
    <w:p>
      <w:pPr>
        <w:spacing w:after="0" w:line="143"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1</w:t>
      </w:r>
    </w:p>
    <w:p>
      <w:pPr>
        <w:sectPr>
          <w:pgSz w:w="11900" w:h="16838" w:orient="portrait"/>
          <w:cols w:equalWidth="0" w:num="1">
            <w:col w:w="11040"/>
          </w:cols>
          <w:pgMar w:left="320" w:top="478"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INFORMATION ABOUT THE ANNUAL MEETING AND VOTING</w:t>
      </w:r>
    </w:p>
    <w:p>
      <w:pPr>
        <w:spacing w:after="0" w:line="21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WHY AM I RECEIVING THESE PROXY MATERIALS?</w:t>
      </w:r>
    </w:p>
    <w:p>
      <w:pPr>
        <w:spacing w:after="0" w:line="212" w:lineRule="exact"/>
        <w:rPr>
          <w:sz w:val="20"/>
          <w:szCs w:val="20"/>
          <w:color w:val="auto"/>
        </w:rPr>
      </w:pPr>
    </w:p>
    <w:p>
      <w:pPr>
        <w:jc w:val="both"/>
        <w:ind w:left="160" w:right="120"/>
        <w:spacing w:after="0" w:line="232" w:lineRule="auto"/>
        <w:rPr>
          <w:sz w:val="20"/>
          <w:szCs w:val="20"/>
          <w:color w:val="auto"/>
        </w:rPr>
      </w:pPr>
      <w:r>
        <w:rPr>
          <w:rFonts w:ascii="Calibri" w:cs="Calibri" w:eastAsia="Calibri" w:hAnsi="Calibri"/>
          <w:sz w:val="17"/>
          <w:szCs w:val="17"/>
          <w:color w:val="333333"/>
        </w:rPr>
        <w:t>You are invited to atend the Annual Meetng and are enttled to consider and vote on the items of business described in this Proxy Statement. The proxy materials include the Notce. If you received a paper copy of the proxy materials by mail or email, the proxy materials also include a proxy card or votng instructon card for the Annual Meetng.</w:t>
      </w:r>
    </w:p>
    <w:p>
      <w:pPr>
        <w:spacing w:after="0" w:line="214" w:lineRule="exact"/>
        <w:rPr>
          <w:sz w:val="20"/>
          <w:szCs w:val="20"/>
          <w:color w:val="auto"/>
        </w:rPr>
      </w:pPr>
    </w:p>
    <w:p>
      <w:pPr>
        <w:ind w:left="160" w:right="180"/>
        <w:spacing w:after="0" w:line="233" w:lineRule="auto"/>
        <w:rPr>
          <w:sz w:val="20"/>
          <w:szCs w:val="20"/>
          <w:color w:val="auto"/>
        </w:rPr>
      </w:pPr>
      <w:r>
        <w:rPr>
          <w:rFonts w:ascii="Calibri" w:cs="Calibri" w:eastAsia="Calibri" w:hAnsi="Calibri"/>
          <w:sz w:val="17"/>
          <w:szCs w:val="17"/>
          <w:color w:val="333333"/>
        </w:rPr>
        <w:t>The informaton in this Proxy Statement describes (i) the proposals to be considered and voted on at the Annual Meetng, (ii) the votng process, (iii) the nominees for director named in this Proxy Statement, (iv) informaton about our Board and commitees of our Board (collectvely, the “Commitees”),</w:t>
      </w:r>
    </w:p>
    <w:p>
      <w:pPr>
        <w:spacing w:after="0" w:line="1" w:lineRule="exact"/>
        <w:rPr>
          <w:sz w:val="20"/>
          <w:szCs w:val="20"/>
          <w:color w:val="auto"/>
        </w:rPr>
      </w:pPr>
    </w:p>
    <w:p>
      <w:pPr>
        <w:ind w:left="160" w:right="120" w:firstLine="7"/>
        <w:spacing w:after="0" w:line="232" w:lineRule="auto"/>
        <w:tabs>
          <w:tab w:leader="none" w:pos="383" w:val="left"/>
        </w:tabs>
        <w:numPr>
          <w:ilvl w:val="0"/>
          <w:numId w:val="24"/>
        </w:numPr>
        <w:rPr>
          <w:rFonts w:ascii="Calibri" w:cs="Calibri" w:eastAsia="Calibri" w:hAnsi="Calibri"/>
          <w:sz w:val="17"/>
          <w:szCs w:val="17"/>
          <w:color w:val="333333"/>
        </w:rPr>
      </w:pPr>
      <w:r>
        <w:rPr>
          <w:rFonts w:ascii="Calibri" w:cs="Calibri" w:eastAsia="Calibri" w:hAnsi="Calibri"/>
          <w:sz w:val="17"/>
          <w:szCs w:val="17"/>
          <w:color w:val="333333"/>
        </w:rPr>
        <w:t>the compensaton of our named executve ofcers (“NEOs”) and non-employee directors for the year ended December 31, 2025 and (vi) certain other informaton we are required or have chosen to provide to you.</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WHY DID I RECEIVE A NOTICE OF INTERNET AVAILABILITY OF PROXY MATERIALS?</w:t>
      </w:r>
    </w:p>
    <w:p>
      <w:pPr>
        <w:spacing w:after="0" w:line="21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We are sending a Notce, by mail or email, to many shareholders instead of a paper copy of the proxy materials and the 2025 Annual Report. All shareholders receiving the Notce will fnd instructons on how to access this Proxy Statement and the 2025 Annual Report on the website referred to in the Notce or how to request a printed set of these materials at no charge. Choosing to receive future proxy materials and annual reports over the Internet or by email will save us the cost of printng and mailing documents and will reduce the impact on the environment of holding annual meetngs. Your electon to receive the proxy materials and annual reports over the Internet or by email will remain in efect untl terminated. Your Notce will contain instructons on how to:</w:t>
      </w:r>
    </w:p>
    <w:p>
      <w:pPr>
        <w:spacing w:after="0" w:line="282" w:lineRule="exact"/>
        <w:rPr>
          <w:sz w:val="20"/>
          <w:szCs w:val="20"/>
          <w:color w:val="auto"/>
        </w:rPr>
      </w:pPr>
    </w:p>
    <w:p>
      <w:pPr>
        <w:ind w:left="1020" w:hanging="318"/>
        <w:spacing w:after="0"/>
        <w:tabs>
          <w:tab w:leader="none" w:pos="1020" w:val="left"/>
        </w:tabs>
        <w:numPr>
          <w:ilvl w:val="0"/>
          <w:numId w:val="25"/>
        </w:numPr>
        <w:rPr>
          <w:rFonts w:ascii="MS PGothic" w:cs="MS PGothic" w:eastAsia="MS PGothic" w:hAnsi="MS PGothic"/>
          <w:sz w:val="17"/>
          <w:szCs w:val="17"/>
          <w:color w:val="0591DB"/>
        </w:rPr>
      </w:pPr>
      <w:r>
        <w:rPr>
          <w:rFonts w:ascii="Calibri" w:cs="Calibri" w:eastAsia="Calibri" w:hAnsi="Calibri"/>
          <w:sz w:val="17"/>
          <w:szCs w:val="17"/>
          <w:color w:val="333333"/>
        </w:rPr>
        <w:t>view our Proxy Statement for the Annual Meetng on the Internet;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25"/>
        </w:numPr>
        <w:rPr>
          <w:rFonts w:ascii="MS PGothic" w:cs="MS PGothic" w:eastAsia="MS PGothic" w:hAnsi="MS PGothic"/>
          <w:sz w:val="17"/>
          <w:szCs w:val="17"/>
          <w:color w:val="0591DB"/>
        </w:rPr>
      </w:pPr>
      <w:r>
        <w:rPr>
          <w:rFonts w:ascii="Calibri" w:cs="Calibri" w:eastAsia="Calibri" w:hAnsi="Calibri"/>
          <w:sz w:val="17"/>
          <w:szCs w:val="17"/>
          <w:color w:val="333333"/>
        </w:rPr>
        <w:t>view our 2025 Annual Report on the Internet;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25"/>
        </w:numPr>
        <w:rPr>
          <w:rFonts w:ascii="MS PGothic" w:cs="MS PGothic" w:eastAsia="MS PGothic" w:hAnsi="MS PGothic"/>
          <w:sz w:val="17"/>
          <w:szCs w:val="17"/>
          <w:color w:val="0591DB"/>
        </w:rPr>
      </w:pPr>
      <w:r>
        <w:rPr>
          <w:rFonts w:ascii="Calibri" w:cs="Calibri" w:eastAsia="Calibri" w:hAnsi="Calibri"/>
          <w:sz w:val="17"/>
          <w:szCs w:val="17"/>
          <w:color w:val="333333"/>
        </w:rPr>
        <w:t>vote your shares of Common Stock of the Company or authorize a proxy to vote your shares; and</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25"/>
        </w:numPr>
        <w:rPr>
          <w:rFonts w:ascii="MS PGothic" w:cs="MS PGothic" w:eastAsia="MS PGothic" w:hAnsi="MS PGothic"/>
          <w:sz w:val="17"/>
          <w:szCs w:val="17"/>
          <w:color w:val="0591DB"/>
        </w:rPr>
      </w:pPr>
      <w:r>
        <w:rPr>
          <w:rFonts w:ascii="Calibri" w:cs="Calibri" w:eastAsia="Calibri" w:hAnsi="Calibri"/>
          <w:sz w:val="17"/>
          <w:szCs w:val="17"/>
          <w:color w:val="333333"/>
        </w:rPr>
        <w:t>instruct us to send future proxy materials to you by mail or electronically by email.</w:t>
      </w: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WHY DID I RECEIVE A PAPER COPY OF THE PROXY MATERIALS AND 2025 ANNUAL REPORT?</w:t>
      </w:r>
    </w:p>
    <w:p>
      <w:pPr>
        <w:spacing w:after="0" w:line="212" w:lineRule="exact"/>
        <w:rPr>
          <w:sz w:val="20"/>
          <w:szCs w:val="20"/>
          <w:color w:val="auto"/>
        </w:rPr>
      </w:pPr>
    </w:p>
    <w:p>
      <w:pPr>
        <w:jc w:val="both"/>
        <w:ind w:left="160" w:right="140"/>
        <w:spacing w:after="0" w:line="232" w:lineRule="auto"/>
        <w:rPr>
          <w:sz w:val="20"/>
          <w:szCs w:val="20"/>
          <w:color w:val="auto"/>
        </w:rPr>
      </w:pPr>
      <w:r>
        <w:rPr>
          <w:rFonts w:ascii="Calibri" w:cs="Calibri" w:eastAsia="Calibri" w:hAnsi="Calibri"/>
          <w:sz w:val="17"/>
          <w:szCs w:val="17"/>
          <w:color w:val="333333"/>
        </w:rPr>
        <w:t>We are providing some of our shareholders, including shareholders who have previously requested a paper copy of the proxy materials and 2025 Annual Report and some of our shareholders who live outside the United States (“U.S.”), with a paper copy of this Proxy Statement and the 2025 Annual Report instead of the Notce. In additon, any shareholder may request to receive proxy materials and annual reports in printed form by mail or electronically by email or over the Internet.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HOW CAN I REQUEST A PAPER COPY OF THE PROXY MATERIALS AND 2025 ANNUAL REPORT?</w:t>
      </w:r>
    </w:p>
    <w:p>
      <w:pPr>
        <w:spacing w:after="0" w:line="212" w:lineRule="exact"/>
        <w:rPr>
          <w:sz w:val="20"/>
          <w:szCs w:val="20"/>
          <w:color w:val="auto"/>
        </w:rPr>
      </w:pPr>
    </w:p>
    <w:p>
      <w:pPr>
        <w:jc w:val="both"/>
        <w:ind w:left="160" w:right="300"/>
        <w:spacing w:after="0" w:line="232" w:lineRule="auto"/>
        <w:rPr>
          <w:sz w:val="20"/>
          <w:szCs w:val="20"/>
          <w:color w:val="auto"/>
        </w:rPr>
      </w:pPr>
      <w:r>
        <w:rPr>
          <w:rFonts w:ascii="Calibri" w:cs="Calibri" w:eastAsia="Calibri" w:hAnsi="Calibri"/>
          <w:sz w:val="17"/>
          <w:szCs w:val="17"/>
          <w:color w:val="333333"/>
        </w:rPr>
        <w:t xml:space="preserve">Shareholders will fnd instructons about how to obtain a paper copy of the proxy materials and the 2025 Annual Report in the Notce or the email you receive. </w:t>
      </w:r>
      <w:r>
        <w:rPr>
          <w:rFonts w:ascii="Calibri" w:cs="Calibri" w:eastAsia="Calibri" w:hAnsi="Calibri"/>
          <w:sz w:val="17"/>
          <w:szCs w:val="17"/>
          <w:b w:val="1"/>
          <w:bCs w:val="1"/>
          <w:color w:val="333333"/>
        </w:rPr>
        <w:t>Additonally, we will promptly send a copy of the 2025 Annual Report to shareholders at no charge upon writen request to our Corporate</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 xml:space="preserve">Secretary at FTI Consultng, Inc., 555 12th Street NW, Suite 700, Washington, D.C. 20004 or by email to </w:t>
      </w:r>
      <w:r>
        <w:rPr>
          <w:rFonts w:ascii="Calibri" w:cs="Calibri" w:eastAsia="Calibri" w:hAnsi="Calibri"/>
          <w:sz w:val="17"/>
          <w:szCs w:val="17"/>
          <w:b w:val="1"/>
          <w:bCs w:val="1"/>
          <w:color w:val="0591DB"/>
        </w:rPr>
        <w:t>AnnualMeetng@ficonsultng.com</w:t>
      </w:r>
      <w:r>
        <w:rPr>
          <w:rFonts w:ascii="Calibri" w:cs="Calibri" w:eastAsia="Calibri" w:hAnsi="Calibri"/>
          <w:sz w:val="17"/>
          <w:szCs w:val="17"/>
          <w:color w:val="333333"/>
        </w:rPr>
        <w:t>.</w:t>
      </w:r>
    </w:p>
    <w:p>
      <w:pPr>
        <w:spacing w:after="0" w:line="143"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2</w:t>
      </w:r>
    </w:p>
    <w:p>
      <w:pPr>
        <w:sectPr>
          <w:pgSz w:w="11900" w:h="16838" w:orient="portrait"/>
          <w:cols w:equalWidth="0" w:num="1">
            <w:col w:w="11040"/>
          </w:cols>
          <w:pgMar w:left="320" w:top="478"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WHEN AND WHERE WILL THE COMPANY HOLD THE ANNUAL MEETING?</w:t>
      </w:r>
    </w:p>
    <w:p>
      <w:pPr>
        <w:spacing w:after="0" w:line="212" w:lineRule="exact"/>
        <w:rPr>
          <w:sz w:val="20"/>
          <w:szCs w:val="20"/>
          <w:color w:val="auto"/>
        </w:rPr>
      </w:pPr>
    </w:p>
    <w:p>
      <w:pPr>
        <w:ind w:left="160" w:right="520"/>
        <w:spacing w:after="0" w:line="233" w:lineRule="auto"/>
        <w:rPr>
          <w:sz w:val="20"/>
          <w:szCs w:val="20"/>
          <w:color w:val="auto"/>
        </w:rPr>
      </w:pPr>
      <w:r>
        <w:rPr>
          <w:rFonts w:ascii="Calibri" w:cs="Calibri" w:eastAsia="Calibri" w:hAnsi="Calibri"/>
          <w:sz w:val="17"/>
          <w:szCs w:val="17"/>
          <w:color w:val="333333"/>
        </w:rPr>
        <w:t>The Annual Meetng will be held on Wednesday, June 3, 2026 at 9:30 a.m., Eastern Time. The Annual Meetng will be held in person at our principal executve ofce located at 555 12th Street NW, Suite 700, Washington, D.C. 20004, telephone no. +1.202.312.9100.</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WHO MAY VOTE AT THE ANNUAL MEETING?</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You may vote all of the shares of our Common Stock that you own as of the close of business on the Record Date. You may cast one vote for each share that you own. As of the close of business on the Record Date, 30,118,488 shares of our Common Stock were issued and outstanding and enttled to vote at the Annual Meetng.</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WHAT IS A QUORUM?</w:t>
      </w:r>
    </w:p>
    <w:p>
      <w:pPr>
        <w:spacing w:after="0" w:line="212" w:lineRule="exact"/>
        <w:rPr>
          <w:sz w:val="20"/>
          <w:szCs w:val="20"/>
          <w:color w:val="auto"/>
        </w:rPr>
      </w:pPr>
    </w:p>
    <w:p>
      <w:pPr>
        <w:jc w:val="both"/>
        <w:ind w:left="160" w:right="20"/>
        <w:spacing w:after="0" w:line="232" w:lineRule="auto"/>
        <w:rPr>
          <w:sz w:val="20"/>
          <w:szCs w:val="20"/>
          <w:color w:val="auto"/>
        </w:rPr>
      </w:pPr>
      <w:r>
        <w:rPr>
          <w:rFonts w:ascii="Calibri" w:cs="Calibri" w:eastAsia="Calibri" w:hAnsi="Calibri"/>
          <w:sz w:val="17"/>
          <w:szCs w:val="17"/>
          <w:color w:val="333333"/>
        </w:rPr>
        <w:t>A quorum must be present at the Annual Meetng in order to transact business. A quorum will be established if shareholders enttled to cast a majority of all votes enttled to be cast on any mater are represented in person or by proxy at the Annual Meetng. If a quorum is not established, no business may be conducted at the Annual Meetng, in which case the Annual Meetng may be adjourned without a vote of shareholders by the chair of the Annual Meetng untl such tme as a quorum is present, with no notce other than announcement at the Annual Meetng.</w:t>
      </w:r>
    </w:p>
    <w:p>
      <w:pPr>
        <w:spacing w:after="0" w:line="214"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Proxies received and marked as abstentons from votng on a proposal, and broker non-votes are counted for determining whether a quorum is present. Brokers holding shares must vote according to specifc instructons they receive from the benefcial owners of those shares. If brokers do not receive specifc instructons, brokers may in some cases vote the shares in their discreton, but they are not permited to vote on certain proposals and may elect not to vote on any of the proposals unless you provide votng instructons. If you do not provide votng instructons and the broker elects to vote your shares on some but not all maters, it will result in a “broker non-vote” for the maters on which the broker does not vote. Abstentons occur when you provide votng instructons but instruct the proxy or broker to abstain from votng on a partcular mater instead of votng “for” or “against” the mater.</w:t>
      </w:r>
    </w:p>
    <w:p>
      <w:pPr>
        <w:spacing w:after="0" w:line="214" w:lineRule="exact"/>
        <w:rPr>
          <w:sz w:val="20"/>
          <w:szCs w:val="20"/>
          <w:color w:val="auto"/>
        </w:rPr>
      </w:pPr>
    </w:p>
    <w:p>
      <w:pPr>
        <w:ind w:left="160" w:right="60"/>
        <w:spacing w:after="0" w:line="233" w:lineRule="auto"/>
        <w:rPr>
          <w:sz w:val="20"/>
          <w:szCs w:val="20"/>
          <w:color w:val="auto"/>
        </w:rPr>
      </w:pPr>
      <w:r>
        <w:rPr>
          <w:rFonts w:ascii="Calibri" w:cs="Calibri" w:eastAsia="Calibri" w:hAnsi="Calibri"/>
          <w:sz w:val="17"/>
          <w:szCs w:val="17"/>
          <w:b w:val="1"/>
          <w:bCs w:val="1"/>
          <w:color w:val="0C3A68"/>
        </w:rPr>
        <w:t>WHAT AM I VOTING ON, HOW MANY VOTES ARE REQUIRED TO ELECT DIRECTORS AND APPROVE THE OTHER PROPOSALS, AND HOW DOES THE BOARD RECOMMEND I VOTE?</w:t>
      </w:r>
    </w:p>
    <w:p>
      <w:pPr>
        <w:sectPr>
          <w:pgSz w:w="11900" w:h="16838" w:orient="portrait"/>
          <w:cols w:equalWidth="0" w:num="1">
            <w:col w:w="11060"/>
          </w:cols>
          <w:pgMar w:left="320" w:top="478" w:right="519" w:bottom="1440" w:gutter="0" w:footer="0" w:header="0"/>
        </w:sectPr>
      </w:pPr>
    </w:p>
    <w:p>
      <w:pPr>
        <w:spacing w:after="0" w:line="239" w:lineRule="exact"/>
        <w:rPr>
          <w:sz w:val="20"/>
          <w:szCs w:val="20"/>
          <w:color w:val="auto"/>
        </w:rPr>
      </w:pPr>
    </w:p>
    <w:p>
      <w:pPr>
        <w:ind w:left="260"/>
        <w:spacing w:after="0" w:line="232" w:lineRule="auto"/>
        <w:rPr>
          <w:sz w:val="20"/>
          <w:szCs w:val="20"/>
          <w:color w:val="auto"/>
        </w:rPr>
      </w:pPr>
      <w:r>
        <w:rPr>
          <w:rFonts w:ascii="Calibri" w:cs="Calibri" w:eastAsia="Calibri" w:hAnsi="Calibri"/>
          <w:sz w:val="17"/>
          <w:szCs w:val="17"/>
          <w:b w:val="1"/>
          <w:bCs w:val="1"/>
          <w:color w:val="0591DB"/>
        </w:rPr>
        <w:t xml:space="preserve">Proposal No. 1: </w:t>
      </w:r>
      <w:r>
        <w:rPr>
          <w:rFonts w:ascii="Calibri" w:cs="Calibri" w:eastAsia="Calibri" w:hAnsi="Calibri"/>
          <w:sz w:val="17"/>
          <w:szCs w:val="17"/>
          <w:color w:val="333333"/>
        </w:rPr>
        <w:t>Consider and vote upon the electon as</w:t>
      </w:r>
      <w:r>
        <w:rPr>
          <w:rFonts w:ascii="Calibri" w:cs="Calibri" w:eastAsia="Calibri" w:hAnsi="Calibri"/>
          <w:sz w:val="17"/>
          <w:szCs w:val="17"/>
          <w:b w:val="1"/>
          <w:bCs w:val="1"/>
          <w:color w:val="0591DB"/>
        </w:rPr>
        <w:t xml:space="preserve"> </w:t>
      </w:r>
      <w:r>
        <w:rPr>
          <w:rFonts w:ascii="Calibri" w:cs="Calibri" w:eastAsia="Calibri" w:hAnsi="Calibri"/>
          <w:sz w:val="17"/>
          <w:szCs w:val="17"/>
          <w:color w:val="333333"/>
        </w:rPr>
        <w:t>directors of the eight nominees named in the Proxy Statement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80"/>
        <w:spacing w:after="0" w:line="232" w:lineRule="auto"/>
        <w:rPr>
          <w:sz w:val="20"/>
          <w:szCs w:val="20"/>
          <w:color w:val="auto"/>
        </w:rPr>
      </w:pPr>
      <w:r>
        <w:rPr>
          <w:rFonts w:ascii="Calibri" w:cs="Calibri" w:eastAsia="Calibri" w:hAnsi="Calibri"/>
          <w:sz w:val="17"/>
          <w:szCs w:val="17"/>
          <w:color w:val="333333"/>
        </w:rPr>
        <w:t>As there are eight nominees for the eight director seats up for electon, each nominee will be elected as a director if he or she receives the afrmatve vote of a majority of the total votes cast “FOR” and “AGAINST” his or her electon as a director at the Annual Meetng.</w:t>
      </w:r>
    </w:p>
    <w:p>
      <w:pPr>
        <w:spacing w:after="0" w:line="2" w:lineRule="exact"/>
        <w:rPr>
          <w:sz w:val="20"/>
          <w:szCs w:val="20"/>
          <w:color w:val="auto"/>
        </w:rPr>
      </w:pPr>
    </w:p>
    <w:p>
      <w:pPr>
        <w:ind w:right="200"/>
        <w:spacing w:after="0" w:line="232" w:lineRule="auto"/>
        <w:rPr>
          <w:sz w:val="20"/>
          <w:szCs w:val="20"/>
          <w:color w:val="auto"/>
        </w:rPr>
      </w:pPr>
      <w:r>
        <w:rPr>
          <w:rFonts w:ascii="Calibri" w:cs="Calibri" w:eastAsia="Calibri" w:hAnsi="Calibri"/>
          <w:sz w:val="17"/>
          <w:szCs w:val="17"/>
          <w:color w:val="333333"/>
        </w:rPr>
        <w:t>Any abstentons or broker non-votes are not counted as votes cast either “FOR” or “AGAINST” with respect to a director’s electon and will have no efect on the electon of directors.</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333333"/>
        </w:rPr>
        <w:t>The Board recommends a vote FOR the electon of each nominee as a director.</w:t>
      </w:r>
    </w:p>
    <w:p>
      <w:pPr>
        <w:spacing w:after="0" w:line="200" w:lineRule="exact"/>
        <w:rPr>
          <w:sz w:val="20"/>
          <w:szCs w:val="20"/>
          <w:color w:val="auto"/>
        </w:rPr>
      </w:pPr>
    </w:p>
    <w:p>
      <w:pPr>
        <w:sectPr>
          <w:pgSz w:w="11900" w:h="16838" w:orient="portrait"/>
          <w:cols w:equalWidth="0" w:num="2">
            <w:col w:w="4140" w:space="500"/>
            <w:col w:w="6420"/>
          </w:cols>
          <w:pgMar w:left="320" w:top="478" w:right="519" w:bottom="1440" w:gutter="0" w:footer="0" w:header="0"/>
          <w:type w:val="continuous"/>
        </w:sectPr>
      </w:pPr>
    </w:p>
    <w:p>
      <w:pPr>
        <w:spacing w:after="0" w:line="38" w:lineRule="exact"/>
        <w:rPr>
          <w:sz w:val="20"/>
          <w:szCs w:val="20"/>
          <w:color w:val="auto"/>
        </w:rPr>
      </w:pPr>
    </w:p>
    <w:p>
      <w:pPr>
        <w:jc w:val="center"/>
        <w:ind w:right="-179"/>
        <w:spacing w:after="0"/>
        <w:rPr>
          <w:sz w:val="20"/>
          <w:szCs w:val="20"/>
          <w:color w:val="auto"/>
        </w:rPr>
      </w:pPr>
      <w:r>
        <w:rPr>
          <w:rFonts w:ascii="Calibri" w:cs="Calibri" w:eastAsia="Calibri" w:hAnsi="Calibri"/>
          <w:sz w:val="15"/>
          <w:szCs w:val="15"/>
          <w:color w:val="333333"/>
        </w:rPr>
        <w:t>3</w:t>
      </w:r>
    </w:p>
    <w:p>
      <w:pPr>
        <w:sectPr>
          <w:pgSz w:w="11900" w:h="16838" w:orient="portrait"/>
          <w:cols w:equalWidth="0" w:num="1">
            <w:col w:w="11060"/>
          </w:cols>
          <w:pgMar w:left="320" w:top="478" w:right="5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1137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1137920"/>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both"/>
        <w:ind w:left="260"/>
        <w:spacing w:after="0" w:line="232" w:lineRule="auto"/>
        <w:rPr>
          <w:sz w:val="20"/>
          <w:szCs w:val="20"/>
          <w:color w:val="auto"/>
        </w:rPr>
      </w:pPr>
      <w:r>
        <w:rPr>
          <w:rFonts w:ascii="Calibri" w:cs="Calibri" w:eastAsia="Calibri" w:hAnsi="Calibri"/>
          <w:sz w:val="17"/>
          <w:szCs w:val="17"/>
          <w:b w:val="1"/>
          <w:bCs w:val="1"/>
          <w:color w:val="0591DB"/>
        </w:rPr>
        <w:t xml:space="preserve">Proposal No. 2: </w:t>
      </w:r>
      <w:r>
        <w:rPr>
          <w:rFonts w:ascii="Calibri" w:cs="Calibri" w:eastAsia="Calibri" w:hAnsi="Calibri"/>
          <w:sz w:val="17"/>
          <w:szCs w:val="17"/>
          <w:color w:val="333333"/>
        </w:rPr>
        <w:t>Consider and vote upon the ratfcaton of</w:t>
      </w:r>
      <w:r>
        <w:rPr>
          <w:rFonts w:ascii="Calibri" w:cs="Calibri" w:eastAsia="Calibri" w:hAnsi="Calibri"/>
          <w:sz w:val="17"/>
          <w:szCs w:val="17"/>
          <w:b w:val="1"/>
          <w:bCs w:val="1"/>
          <w:color w:val="0591DB"/>
        </w:rPr>
        <w:t xml:space="preserve"> </w:t>
      </w:r>
      <w:r>
        <w:rPr>
          <w:rFonts w:ascii="Calibri" w:cs="Calibri" w:eastAsia="Calibri" w:hAnsi="Calibri"/>
          <w:sz w:val="17"/>
          <w:szCs w:val="17"/>
          <w:color w:val="333333"/>
        </w:rPr>
        <w:t>the appointment of KPMG LLP (“KPMG”) as FTI Consultng, Inc.’s independent registered public accountng frm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0" w:right="140"/>
        <w:spacing w:after="0" w:line="232" w:lineRule="auto"/>
        <w:rPr>
          <w:sz w:val="20"/>
          <w:szCs w:val="20"/>
          <w:color w:val="auto"/>
        </w:rPr>
      </w:pPr>
      <w:r>
        <w:rPr>
          <w:rFonts w:ascii="Calibri" w:cs="Calibri" w:eastAsia="Calibri" w:hAnsi="Calibri"/>
          <w:sz w:val="17"/>
          <w:szCs w:val="17"/>
          <w:b w:val="1"/>
          <w:bCs w:val="1"/>
          <w:color w:val="0591DB"/>
        </w:rPr>
        <w:t xml:space="preserve">Proposal No. 3: </w:t>
      </w:r>
      <w:r>
        <w:rPr>
          <w:rFonts w:ascii="Calibri" w:cs="Calibri" w:eastAsia="Calibri" w:hAnsi="Calibri"/>
          <w:sz w:val="17"/>
          <w:szCs w:val="17"/>
          <w:color w:val="333333"/>
        </w:rPr>
        <w:t>Consider and vote upon an advisory</w:t>
      </w:r>
      <w:r>
        <w:rPr>
          <w:rFonts w:ascii="Calibri" w:cs="Calibri" w:eastAsia="Calibri" w:hAnsi="Calibri"/>
          <w:sz w:val="17"/>
          <w:szCs w:val="17"/>
          <w:b w:val="1"/>
          <w:bCs w:val="1"/>
          <w:color w:val="0591DB"/>
        </w:rPr>
        <w:t xml:space="preserve"> </w:t>
      </w:r>
      <w:r>
        <w:rPr>
          <w:rFonts w:ascii="Calibri" w:cs="Calibri" w:eastAsia="Calibri" w:hAnsi="Calibri"/>
          <w:sz w:val="17"/>
          <w:szCs w:val="17"/>
          <w:color w:val="333333"/>
        </w:rPr>
        <w:t>(non-binding) resoluton to approve the compensaton of the named executve ofcers for the year ended December 31, 2025 as described in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100"/>
        <w:spacing w:after="0" w:line="232" w:lineRule="auto"/>
        <w:rPr>
          <w:sz w:val="20"/>
          <w:szCs w:val="20"/>
          <w:color w:val="auto"/>
        </w:rPr>
      </w:pPr>
      <w:r>
        <w:rPr>
          <w:rFonts w:ascii="Calibri" w:cs="Calibri" w:eastAsia="Calibri" w:hAnsi="Calibri"/>
          <w:sz w:val="17"/>
          <w:szCs w:val="17"/>
          <w:color w:val="333333"/>
        </w:rPr>
        <w:t>Ratfcaton of the appointment of KPMG as the Company’s independent registered public accountng frm for the year ending December 31, 2026 requires a majority of the votes cast on the proposal at the Annual Meetng to be voted “FOR” this proposal. Abstentons will not count as votes cast either “FOR” or “AGAINST” Proposal No. 2 and will have no efect on the outcome of this proposal.</w:t>
      </w:r>
    </w:p>
    <w:p>
      <w:pPr>
        <w:spacing w:after="0" w:line="134" w:lineRule="exact"/>
        <w:rPr>
          <w:sz w:val="20"/>
          <w:szCs w:val="20"/>
          <w:color w:val="auto"/>
        </w:rPr>
      </w:pPr>
    </w:p>
    <w:p>
      <w:pPr>
        <w:ind w:right="120"/>
        <w:spacing w:after="0" w:line="233" w:lineRule="auto"/>
        <w:rPr>
          <w:sz w:val="20"/>
          <w:szCs w:val="20"/>
          <w:color w:val="auto"/>
        </w:rPr>
      </w:pPr>
      <w:r>
        <w:rPr>
          <w:rFonts w:ascii="Calibri" w:cs="Calibri" w:eastAsia="Calibri" w:hAnsi="Calibri"/>
          <w:sz w:val="17"/>
          <w:szCs w:val="17"/>
          <w:b w:val="1"/>
          <w:bCs w:val="1"/>
          <w:color w:val="333333"/>
        </w:rPr>
        <w:t>The Board recommends a vote FOR the ratfcaton of the appointment of KPMG for the year ending December 31, 2026.</w:t>
      </w:r>
    </w:p>
    <w:p>
      <w:pPr>
        <w:spacing w:after="0" w:line="252" w:lineRule="exact"/>
        <w:rPr>
          <w:sz w:val="20"/>
          <w:szCs w:val="20"/>
          <w:color w:val="auto"/>
        </w:rPr>
      </w:pPr>
    </w:p>
    <w:p>
      <w:pPr>
        <w:ind w:right="80"/>
        <w:spacing w:after="0"/>
        <w:rPr>
          <w:sz w:val="20"/>
          <w:szCs w:val="20"/>
          <w:color w:val="auto"/>
        </w:rPr>
      </w:pPr>
      <w:r>
        <w:rPr>
          <w:rFonts w:ascii="Calibri" w:cs="Calibri" w:eastAsia="Calibri" w:hAnsi="Calibri"/>
          <w:sz w:val="17"/>
          <w:szCs w:val="17"/>
          <w:color w:val="333333"/>
        </w:rPr>
        <w:t>The approval of an advisory resoluton approving the compensaton of our named executve ofcers for the year ended December 31, 2025 as described in this Proxy Statement for the Annual Meetng requires a majority of the votes cast on this proposal at the Annual Meetng to be voted “FOR” this proposal. Any abstentons and broker non-votes will not be counted as votes cast either “FOR” or “AGAINST” Proposal No. 3 and will have no efect on the outcome of this proposal. However, this proposal is an advisory (non-binding) proposal.</w:t>
      </w:r>
    </w:p>
    <w:p>
      <w:pPr>
        <w:spacing w:after="0" w:line="293" w:lineRule="exact"/>
        <w:rPr>
          <w:sz w:val="20"/>
          <w:szCs w:val="20"/>
          <w:color w:val="auto"/>
        </w:rPr>
      </w:pPr>
    </w:p>
    <w:p>
      <w:pPr>
        <w:jc w:val="both"/>
        <w:ind w:right="60"/>
        <w:spacing w:after="0" w:line="232" w:lineRule="auto"/>
        <w:rPr>
          <w:sz w:val="20"/>
          <w:szCs w:val="20"/>
          <w:color w:val="auto"/>
        </w:rPr>
      </w:pPr>
      <w:r>
        <w:rPr>
          <w:rFonts w:ascii="Calibri" w:cs="Calibri" w:eastAsia="Calibri" w:hAnsi="Calibri"/>
          <w:sz w:val="17"/>
          <w:szCs w:val="17"/>
          <w:b w:val="1"/>
          <w:bCs w:val="1"/>
          <w:color w:val="333333"/>
        </w:rPr>
        <w:t>The Board recommends a vote FOR the advisory (non-binding) resoluton to approve the compensaton of our named executve ofcers for the year ended December 31, 2025 as described in the Proxy Statement for the Annual Meetng.</w:t>
      </w:r>
    </w:p>
    <w:p>
      <w:pPr>
        <w:spacing w:after="0" w:line="200" w:lineRule="exact"/>
        <w:rPr>
          <w:sz w:val="20"/>
          <w:szCs w:val="20"/>
          <w:color w:val="auto"/>
        </w:rPr>
      </w:pPr>
    </w:p>
    <w:p>
      <w:pPr>
        <w:sectPr>
          <w:pgSz w:w="11900" w:h="16838" w:orient="portrait"/>
          <w:cols w:equalWidth="0" w:num="2">
            <w:col w:w="4420" w:space="220"/>
            <w:col w:w="6420"/>
          </w:cols>
          <w:pgMar w:left="320" w:top="478" w:right="519" w:bottom="1440" w:gutter="0" w:footer="0" w:header="0"/>
          <w:type w:val="continuous"/>
        </w:sectPr>
      </w:pPr>
    </w:p>
    <w:p>
      <w:pPr>
        <w:spacing w:after="0" w:line="108"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If you sign, date and return a proxy card, or otherwise authorize your proxy but do not complete votng instructons for a specifc proposal, your shares will be voted with respect to such proposal by the named proxies in accordance with the Board’s above recommendatons and in the discreton of the proxy holder on any other mater that may properly come before the Annual Meetng or any postponement or adjournment thereof.</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CAN I VOTE MY SHARES BY FILLING OUT AND RETURNING THE NOTICE?</w:t>
      </w:r>
    </w:p>
    <w:p>
      <w:pPr>
        <w:spacing w:after="0" w:line="212" w:lineRule="exact"/>
        <w:rPr>
          <w:sz w:val="20"/>
          <w:szCs w:val="20"/>
          <w:color w:val="auto"/>
        </w:rPr>
      </w:pPr>
    </w:p>
    <w:p>
      <w:pPr>
        <w:jc w:val="both"/>
        <w:ind w:left="160" w:right="180"/>
        <w:spacing w:after="0" w:line="232" w:lineRule="auto"/>
        <w:rPr>
          <w:sz w:val="20"/>
          <w:szCs w:val="20"/>
          <w:color w:val="auto"/>
        </w:rPr>
      </w:pPr>
      <w:r>
        <w:rPr>
          <w:rFonts w:ascii="Calibri" w:cs="Calibri" w:eastAsia="Calibri" w:hAnsi="Calibri"/>
          <w:sz w:val="17"/>
          <w:szCs w:val="17"/>
          <w:color w:val="333333"/>
        </w:rPr>
        <w:t>No. The Notce identfes the items to be considered and voted on at the Annual Meetng, but you cannot vote by marking and returning the Notce. The Notce provides instructons on how to authorize a proxy to vote your shares of Common Stock by Internet, by telephone or by requestng a paper proxy card or how to vote in person by atending and submitng a ballot at the Annual Meetng.</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WHO PAYS THE COSTS OF THE PROXY SOLICITATION?</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Company will pay the cost of solicitng proxies. In additon to the mailing or emailing of the Notce, the proxy materials and the 2025 Annual Report, the solicitaton of proxies or votes may be made in person, by telephone or by electronic communicaton by our ofcers, directors and employees, who will not receive any additonal compensaton for such solicitaton actvites.</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4</w:t>
      </w:r>
    </w:p>
    <w:p>
      <w:pPr>
        <w:sectPr>
          <w:pgSz w:w="11900" w:h="16838" w:orient="portrait"/>
          <w:cols w:equalWidth="0" w:num="1">
            <w:col w:w="11060"/>
          </w:cols>
          <w:pgMar w:left="320" w:top="478" w:right="5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WHAT DOES IT MEAN IF I RECEIVED MORE THAN ONE PROXY CARD OR VOTING INSTRUCTION CARD?</w:t>
      </w:r>
    </w:p>
    <w:p>
      <w:pPr>
        <w:spacing w:after="0" w:line="212"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If you receive more than one proxy card or votng instructon card, it means that you have multple accounts with our transfer agent and/or a broker, trust, bank, or other nominee or fduciary or you may hold shares in diferent ways or in multple names (such as through joint tenancy, trusts and custodial accounts). Please vote, or authorize a proxy to vote, all your shares on each proxy card or votng instructon card received.</w:t>
      </w:r>
    </w:p>
    <w:p>
      <w:pPr>
        <w:spacing w:after="0" w:line="214" w:lineRule="exact"/>
        <w:rPr>
          <w:sz w:val="20"/>
          <w:szCs w:val="20"/>
          <w:color w:val="auto"/>
        </w:rPr>
      </w:pPr>
    </w:p>
    <w:p>
      <w:pPr>
        <w:ind w:left="160" w:right="360"/>
        <w:spacing w:after="0" w:line="233" w:lineRule="auto"/>
        <w:rPr>
          <w:sz w:val="20"/>
          <w:szCs w:val="20"/>
          <w:color w:val="auto"/>
        </w:rPr>
      </w:pPr>
      <w:r>
        <w:rPr>
          <w:rFonts w:ascii="Calibri" w:cs="Calibri" w:eastAsia="Calibri" w:hAnsi="Calibri"/>
          <w:sz w:val="17"/>
          <w:szCs w:val="17"/>
          <w:b w:val="1"/>
          <w:bCs w:val="1"/>
          <w:color w:val="0C3A68"/>
        </w:rPr>
        <w:t>WILL MY SHARES BE VOTED IF I DO NOT COMPLETE, SIGN, DATE AND RETURN MY PROXY CARD OR VOTING INSTRUCTION CARD OR VOTE BY SOME OTHER METHOD?</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If you are a registered “record” shareholder and you do not authorize a proxy to vote your shares of Common Stock by Internet, by telephone or by completng, signing, datng and returning a paper proxy card or votng instructon card, your shares will not be voted unless you atend the Annual Meetng and vote in person. However, if you sign, date and return a proxy card but do not complete votng instructons for a proposal, your shares will be voted with respect to such proposal by the named proxies in accordance with the Board’s recommendatons and in the discreton of the proxy holder on any other mater that may properly come before the Annual Meetng or any postponement or adjournment thereof.</w:t>
      </w:r>
    </w:p>
    <w:p>
      <w:pPr>
        <w:spacing w:after="0" w:line="214"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If your shares are held in a brokerage account or by a trust, bank, or other nominee or fduciary, you are considered the “benefcial owner” of shares held in “street name,” and the Notce or proxy materials would have been forwarded to you by or on behalf of that organizaton. In order to vote your shares, you must follow the votng instructons forwarded to you by or on behalf of that organizaton. Brokerage frms, trusts, banks, and other nominees and fduciaries are required to request votng instructons for shares they hold on behalf of customers and others. As the benefcial owner, you have the right to direct the record holder on how to vote, and you are also invited to atend the Annual Meetng. We encourage you to provide instructons to your broker, trust, bank, or other nominee or fduciary on how to vote your shares. Since a benefcial owner is not the record shareholder, you may not vote the shares you benefcially own at the Annual Meetng unless you obtain a legal proxy from the record holder giving you the right to vote the shares at the meetng. It may take several days or more to obtain a legal proxy.</w:t>
      </w:r>
    </w:p>
    <w:p>
      <w:pPr>
        <w:spacing w:after="0" w:line="214" w:lineRule="exact"/>
        <w:rPr>
          <w:sz w:val="20"/>
          <w:szCs w:val="20"/>
          <w:color w:val="auto"/>
        </w:rPr>
      </w:pPr>
    </w:p>
    <w:p>
      <w:pPr>
        <w:ind w:left="160" w:right="80"/>
        <w:spacing w:after="0"/>
        <w:rPr>
          <w:sz w:val="20"/>
          <w:szCs w:val="20"/>
          <w:color w:val="auto"/>
        </w:rPr>
      </w:pPr>
      <w:r>
        <w:rPr>
          <w:rFonts w:ascii="Calibri" w:cs="Calibri" w:eastAsia="Calibri" w:hAnsi="Calibri"/>
          <w:sz w:val="17"/>
          <w:szCs w:val="17"/>
          <w:color w:val="333333"/>
        </w:rPr>
        <w:t>If your shares are held for you in street name (i.e., you own your shares through a brokerage, bank or other insttutonal account), you are considered the benefcial owner of those shares but not the record holder. This means that you vote by providing instructons to your broker rather than to the Company. Brokers holding shares must vote according to specifc instructons they receive from the benefcial owner of those shares. If brokers do not receive specifc instructons, brokers may in some cases vote the shares in their discreton, but they are not permited to vote on certain proposals and may elect not to vote on any of the proposals unless you provide votng instructons. If you do not provide votng instructons and the broker elects to vote your shares on some but not all maters, it will result in a “broker non-vote” for the maters on which the broker does not vote. Abstentons occur when you provide votng instructons but instruct the broker to abstain from votng on a partcular mater instead of votng for or against the mater. Broker non-votes, if any, are not considered as votes cast and will have no efect on the outcome of the electon of the nominees for director or on any of the other proposals.</w:t>
      </w:r>
    </w:p>
    <w:p>
      <w:pPr>
        <w:spacing w:after="0" w:line="288"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5</w:t>
      </w:r>
    </w:p>
    <w:p>
      <w:pPr>
        <w:sectPr>
          <w:pgSz w:w="11900" w:h="16838" w:orient="portrait"/>
          <w:cols w:equalWidth="0" w:num="1">
            <w:col w:w="11080"/>
          </w:cols>
          <w:pgMar w:left="320" w:top="478"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HOW CAN I REVOKE MY PROXY AND CHANGE MY VOTE PRIOR TO THE ANNUAL MEETING?</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You may change your vote at any tme prior to the vote taken at the Annual Meetng. You may revoke or change your vote in any one of four ways:</w:t>
      </w:r>
    </w:p>
    <w:p>
      <w:pPr>
        <w:spacing w:after="0" w:line="118" w:lineRule="exact"/>
        <w:rPr>
          <w:sz w:val="20"/>
          <w:szCs w:val="20"/>
          <w:color w:val="auto"/>
        </w:rPr>
      </w:pPr>
    </w:p>
    <w:p>
      <w:pPr>
        <w:ind w:left="1020" w:right="1160" w:hanging="318"/>
        <w:spacing w:after="0" w:line="233" w:lineRule="auto"/>
        <w:tabs>
          <w:tab w:leader="none" w:pos="1020" w:val="left"/>
        </w:tabs>
        <w:numPr>
          <w:ilvl w:val="0"/>
          <w:numId w:val="26"/>
        </w:numPr>
        <w:rPr>
          <w:rFonts w:ascii="MS PGothic" w:cs="MS PGothic" w:eastAsia="MS PGothic" w:hAnsi="MS PGothic"/>
          <w:sz w:val="17"/>
          <w:szCs w:val="17"/>
          <w:color w:val="333333"/>
        </w:rPr>
      </w:pPr>
      <w:r>
        <w:rPr>
          <w:rFonts w:ascii="Calibri" w:cs="Calibri" w:eastAsia="Calibri" w:hAnsi="Calibri"/>
          <w:sz w:val="17"/>
          <w:szCs w:val="17"/>
          <w:color w:val="333333"/>
        </w:rPr>
        <w:t xml:space="preserve">You may notfy our Corporate Secretary, at our ofce at 555 12th Street NW, Suite 700, Washington, D.C. 20004 or by email to </w:t>
      </w:r>
      <w:r>
        <w:rPr>
          <w:rFonts w:ascii="Calibri" w:cs="Calibri" w:eastAsia="Calibri" w:hAnsi="Calibri"/>
          <w:sz w:val="17"/>
          <w:szCs w:val="17"/>
          <w:color w:val="0591DB"/>
        </w:rPr>
        <w:t>AnnualMeetng@ficonsultng.com</w:t>
      </w:r>
      <w:r>
        <w:rPr>
          <w:rFonts w:ascii="Calibri" w:cs="Calibri" w:eastAsia="Calibri" w:hAnsi="Calibri"/>
          <w:sz w:val="17"/>
          <w:szCs w:val="17"/>
          <w:color w:val="333333"/>
        </w:rPr>
        <w:t>, in writng that you wish to revoke your proxy.</w:t>
      </w:r>
    </w:p>
    <w:p>
      <w:pPr>
        <w:spacing w:after="0" w:line="114" w:lineRule="exact"/>
        <w:rPr>
          <w:rFonts w:ascii="MS PGothic" w:cs="MS PGothic" w:eastAsia="MS PGothic" w:hAnsi="MS PGothic"/>
          <w:sz w:val="17"/>
          <w:szCs w:val="17"/>
          <w:color w:val="333333"/>
        </w:rPr>
      </w:pPr>
    </w:p>
    <w:p>
      <w:pPr>
        <w:ind w:left="1020" w:hanging="318"/>
        <w:spacing w:after="0"/>
        <w:tabs>
          <w:tab w:leader="none" w:pos="1020" w:val="left"/>
        </w:tabs>
        <w:numPr>
          <w:ilvl w:val="0"/>
          <w:numId w:val="26"/>
        </w:numPr>
        <w:rPr>
          <w:rFonts w:ascii="MS PGothic" w:cs="MS PGothic" w:eastAsia="MS PGothic" w:hAnsi="MS PGothic"/>
          <w:sz w:val="17"/>
          <w:szCs w:val="17"/>
          <w:color w:val="333333"/>
        </w:rPr>
      </w:pPr>
      <w:r>
        <w:rPr>
          <w:rFonts w:ascii="Calibri" w:cs="Calibri" w:eastAsia="Calibri" w:hAnsi="Calibri"/>
          <w:sz w:val="17"/>
          <w:szCs w:val="17"/>
          <w:color w:val="333333"/>
        </w:rPr>
        <w:t>You may submit a proxy dated later than your original proxy.</w:t>
      </w:r>
    </w:p>
    <w:p>
      <w:pPr>
        <w:spacing w:after="0" w:line="131" w:lineRule="exact"/>
        <w:rPr>
          <w:rFonts w:ascii="MS PGothic" w:cs="MS PGothic" w:eastAsia="MS PGothic" w:hAnsi="MS PGothic"/>
          <w:sz w:val="17"/>
          <w:szCs w:val="17"/>
          <w:color w:val="333333"/>
        </w:rPr>
      </w:pPr>
    </w:p>
    <w:p>
      <w:pPr>
        <w:ind w:left="1020" w:right="260" w:hanging="318"/>
        <w:spacing w:after="0" w:line="233" w:lineRule="auto"/>
        <w:tabs>
          <w:tab w:leader="none" w:pos="1020" w:val="left"/>
        </w:tabs>
        <w:numPr>
          <w:ilvl w:val="0"/>
          <w:numId w:val="26"/>
        </w:numPr>
        <w:rPr>
          <w:rFonts w:ascii="MS PGothic" w:cs="MS PGothic" w:eastAsia="MS PGothic" w:hAnsi="MS PGothic"/>
          <w:sz w:val="17"/>
          <w:szCs w:val="17"/>
          <w:color w:val="333333"/>
        </w:rPr>
      </w:pPr>
      <w:r>
        <w:rPr>
          <w:rFonts w:ascii="Calibri" w:cs="Calibri" w:eastAsia="Calibri" w:hAnsi="Calibri"/>
          <w:sz w:val="17"/>
          <w:szCs w:val="17"/>
          <w:color w:val="333333"/>
        </w:rPr>
        <w:t>You may atend the Annual Meetng and vote by ballot if you are a shareholder of record. Merely atending the Annual Meetng will not by itself revoke a previously authorized proxy. You must submit a ballot and vote your shares of Common Stock at the Annual Meetng.</w:t>
      </w:r>
    </w:p>
    <w:p>
      <w:pPr>
        <w:spacing w:after="0" w:line="118" w:lineRule="exact"/>
        <w:rPr>
          <w:rFonts w:ascii="MS PGothic" w:cs="MS PGothic" w:eastAsia="MS PGothic" w:hAnsi="MS PGothic"/>
          <w:sz w:val="17"/>
          <w:szCs w:val="17"/>
          <w:color w:val="333333"/>
        </w:rPr>
      </w:pPr>
    </w:p>
    <w:p>
      <w:pPr>
        <w:ind w:left="1020" w:right="140" w:hanging="318"/>
        <w:spacing w:after="0" w:line="232" w:lineRule="auto"/>
        <w:tabs>
          <w:tab w:leader="none" w:pos="1020" w:val="left"/>
        </w:tabs>
        <w:numPr>
          <w:ilvl w:val="0"/>
          <w:numId w:val="26"/>
        </w:numPr>
        <w:rPr>
          <w:rFonts w:ascii="MS PGothic" w:cs="MS PGothic" w:eastAsia="MS PGothic" w:hAnsi="MS PGothic"/>
          <w:sz w:val="17"/>
          <w:szCs w:val="17"/>
          <w:color w:val="333333"/>
        </w:rPr>
      </w:pPr>
      <w:r>
        <w:rPr>
          <w:rFonts w:ascii="Calibri" w:cs="Calibri" w:eastAsia="Calibri" w:hAnsi="Calibri"/>
          <w:sz w:val="17"/>
          <w:szCs w:val="17"/>
          <w:color w:val="333333"/>
        </w:rPr>
        <w:t>For shares you hold benefcially or in street name, you may change your vote by following the specifc votng instructons provided to you by the record holder to change or revoke any instructons you have already provided or, if you obtained a legal proxy from your broker, trust, bank, or other nominee or fduciary giving you the right to vote your shares, by atending the Annual Meetng and votng. Again, atendance alone will not by itself revoke a previously authorized proxy.</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HOW DO I ATTEND THE ANNUAL MEETING?</w:t>
      </w:r>
    </w:p>
    <w:p>
      <w:pPr>
        <w:spacing w:after="0" w:line="212"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The Annual Meetng is currently scheduled to be held on Wednesday, June 3, 2026 at 9:30 a.m., Eastern Time at our principal executve ofce located at 555 12th Street NW, Suite 700, Washington, D.C. 20004. If you plan to atend the Annual Meetng, you must register in advance by no later than May 13, 2026 and follow these instructons to gain admission. Atendance at the Annual Meetng is limited to shareholders as of the close of business on the Record Date or their authorized proxy holders or representatves. Cameras, sound or video recording equipment, cellular telephones, smartphones or other similar equipment and electronic devices will not be allowed in the meetng room. To gain admission to an in-person Annual Meetng, you must present an admission tcket and valid picture identfcaton, such as a driver’s license or passport.</w:t>
      </w:r>
    </w:p>
    <w:p>
      <w:pPr>
        <w:spacing w:after="0" w:line="120" w:lineRule="exact"/>
        <w:rPr>
          <w:sz w:val="20"/>
          <w:szCs w:val="20"/>
          <w:color w:val="auto"/>
        </w:rPr>
      </w:pPr>
    </w:p>
    <w:p>
      <w:pPr>
        <w:ind w:left="1020" w:right="40" w:hanging="318"/>
        <w:spacing w:after="0" w:line="233" w:lineRule="auto"/>
        <w:tabs>
          <w:tab w:leader="none" w:pos="1020" w:val="left"/>
        </w:tabs>
        <w:numPr>
          <w:ilvl w:val="0"/>
          <w:numId w:val="27"/>
        </w:numPr>
        <w:rPr>
          <w:rFonts w:ascii="MS PGothic" w:cs="MS PGothic" w:eastAsia="MS PGothic" w:hAnsi="MS PGothic"/>
          <w:sz w:val="17"/>
          <w:szCs w:val="17"/>
          <w:color w:val="333333"/>
        </w:rPr>
      </w:pPr>
      <w:r>
        <w:rPr>
          <w:rFonts w:ascii="Calibri" w:cs="Calibri" w:eastAsia="Calibri" w:hAnsi="Calibri"/>
          <w:sz w:val="17"/>
          <w:szCs w:val="17"/>
          <w:b w:val="1"/>
          <w:bCs w:val="1"/>
          <w:color w:val="333333"/>
        </w:rPr>
        <w:t>If You Vote by Mail</w:t>
      </w:r>
      <w:r>
        <w:rPr>
          <w:rFonts w:ascii="Calibri" w:cs="Calibri" w:eastAsia="Calibri" w:hAnsi="Calibri"/>
          <w:sz w:val="17"/>
          <w:szCs w:val="17"/>
          <w:color w:val="333333"/>
        </w:rPr>
        <w:t>. If you are a shareholder of record and receive your proxy materials by mail, you must mark the box on the proxy card you</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return to the Company indicatng that you will atend the Annual Meetng. Your admission tcket is atached to your proxy card.</w:t>
      </w:r>
    </w:p>
    <w:p>
      <w:pPr>
        <w:spacing w:after="0" w:line="118" w:lineRule="exact"/>
        <w:rPr>
          <w:rFonts w:ascii="MS PGothic" w:cs="MS PGothic" w:eastAsia="MS PGothic" w:hAnsi="MS PGothic"/>
          <w:sz w:val="17"/>
          <w:szCs w:val="17"/>
          <w:color w:val="333333"/>
        </w:rPr>
      </w:pPr>
    </w:p>
    <w:p>
      <w:pPr>
        <w:ind w:left="1020" w:hanging="318"/>
        <w:spacing w:after="0" w:line="232" w:lineRule="auto"/>
        <w:tabs>
          <w:tab w:leader="none" w:pos="1020" w:val="left"/>
        </w:tabs>
        <w:numPr>
          <w:ilvl w:val="0"/>
          <w:numId w:val="27"/>
        </w:numPr>
        <w:rPr>
          <w:rFonts w:ascii="MS PGothic" w:cs="MS PGothic" w:eastAsia="MS PGothic" w:hAnsi="MS PGothic"/>
          <w:sz w:val="17"/>
          <w:szCs w:val="17"/>
          <w:color w:val="333333"/>
        </w:rPr>
      </w:pPr>
      <w:r>
        <w:rPr>
          <w:rFonts w:ascii="Calibri" w:cs="Calibri" w:eastAsia="Calibri" w:hAnsi="Calibri"/>
          <w:sz w:val="17"/>
          <w:szCs w:val="17"/>
          <w:b w:val="1"/>
          <w:bCs w:val="1"/>
          <w:color w:val="333333"/>
        </w:rPr>
        <w:t>If You Vote by Internet</w:t>
      </w:r>
      <w:r>
        <w:rPr>
          <w:rFonts w:ascii="Calibri" w:cs="Calibri" w:eastAsia="Calibri" w:hAnsi="Calibri"/>
          <w:sz w:val="17"/>
          <w:szCs w:val="17"/>
          <w:color w:val="333333"/>
        </w:rPr>
        <w:t>. If you are a shareholder of record and receive your materials electronically and authorize a proxy to vote your shares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of Common Stock via the Internet, there will be instructons to follow when votng to register to atend the Annual Meetng and print out your admission tcket.</w:t>
      </w:r>
    </w:p>
    <w:p>
      <w:pPr>
        <w:spacing w:after="0" w:line="120" w:lineRule="exact"/>
        <w:rPr>
          <w:rFonts w:ascii="MS PGothic" w:cs="MS PGothic" w:eastAsia="MS PGothic" w:hAnsi="MS PGothic"/>
          <w:sz w:val="17"/>
          <w:szCs w:val="17"/>
          <w:color w:val="333333"/>
        </w:rPr>
      </w:pPr>
    </w:p>
    <w:p>
      <w:pPr>
        <w:jc w:val="both"/>
        <w:ind w:left="1020" w:right="260" w:hanging="318"/>
        <w:spacing w:after="0" w:line="232" w:lineRule="auto"/>
        <w:tabs>
          <w:tab w:leader="none" w:pos="1020" w:val="left"/>
        </w:tabs>
        <w:numPr>
          <w:ilvl w:val="0"/>
          <w:numId w:val="27"/>
        </w:numPr>
        <w:rPr>
          <w:rFonts w:ascii="MS PGothic" w:cs="MS PGothic" w:eastAsia="MS PGothic" w:hAnsi="MS PGothic"/>
          <w:sz w:val="17"/>
          <w:szCs w:val="17"/>
          <w:color w:val="333333"/>
        </w:rPr>
      </w:pPr>
      <w:r>
        <w:rPr>
          <w:rFonts w:ascii="Calibri" w:cs="Calibri" w:eastAsia="Calibri" w:hAnsi="Calibri"/>
          <w:sz w:val="17"/>
          <w:szCs w:val="17"/>
          <w:b w:val="1"/>
          <w:bCs w:val="1"/>
          <w:color w:val="333333"/>
        </w:rPr>
        <w:t>Benefcial Owners</w:t>
      </w:r>
      <w:r>
        <w:rPr>
          <w:rFonts w:ascii="Calibri" w:cs="Calibri" w:eastAsia="Calibri" w:hAnsi="Calibri"/>
          <w:sz w:val="17"/>
          <w:szCs w:val="17"/>
          <w:color w:val="333333"/>
        </w:rPr>
        <w:t>. If you are a benefcial owner, bring the notce or votng instructon card that you received from the record holder to be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admited to the Annual Meetng. You will also be asked to present your brokerage statement refectng your ownership of shares as of the close of business on the Record Date. You will not be able to vote your shares at the Annual Meetng without a legal proxy from the record holder.</w:t>
      </w:r>
    </w:p>
    <w:p>
      <w:pPr>
        <w:spacing w:after="0" w:line="120" w:lineRule="exact"/>
        <w:rPr>
          <w:rFonts w:ascii="MS PGothic" w:cs="MS PGothic" w:eastAsia="MS PGothic" w:hAnsi="MS PGothic"/>
          <w:sz w:val="17"/>
          <w:szCs w:val="17"/>
          <w:color w:val="333333"/>
        </w:rPr>
      </w:pPr>
    </w:p>
    <w:p>
      <w:pPr>
        <w:ind w:left="1020" w:hanging="318"/>
        <w:spacing w:after="0" w:line="232" w:lineRule="auto"/>
        <w:tabs>
          <w:tab w:leader="none" w:pos="1020" w:val="left"/>
        </w:tabs>
        <w:numPr>
          <w:ilvl w:val="0"/>
          <w:numId w:val="27"/>
        </w:numPr>
        <w:rPr>
          <w:rFonts w:ascii="MS PGothic" w:cs="MS PGothic" w:eastAsia="MS PGothic" w:hAnsi="MS PGothic"/>
          <w:sz w:val="17"/>
          <w:szCs w:val="17"/>
          <w:color w:val="333333"/>
        </w:rPr>
      </w:pPr>
      <w:r>
        <w:rPr>
          <w:rFonts w:ascii="Calibri" w:cs="Calibri" w:eastAsia="Calibri" w:hAnsi="Calibri"/>
          <w:sz w:val="17"/>
          <w:szCs w:val="17"/>
          <w:b w:val="1"/>
          <w:bCs w:val="1"/>
          <w:color w:val="333333"/>
        </w:rPr>
        <w:t>Authorized Proxy Holder or Named Representatves</w:t>
      </w:r>
      <w:r>
        <w:rPr>
          <w:rFonts w:ascii="Calibri" w:cs="Calibri" w:eastAsia="Calibri" w:hAnsi="Calibri"/>
          <w:sz w:val="17"/>
          <w:szCs w:val="17"/>
          <w:color w:val="333333"/>
        </w:rPr>
        <w:t>. If you are a shareholder as of the close of business on the Record Date and intend to</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appoint another individual as a proxy holder or authorized named representatve to atend the Annual Meetng on your behalf, you must send a writen request for an admission tcket by regular mail to our Corporate Secretary at FTI Consultng, Inc., 555 12th Street NW, Suite</w:t>
      </w:r>
    </w:p>
    <w:p>
      <w:pPr>
        <w:spacing w:after="0" w:line="143"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6</w:t>
      </w:r>
    </w:p>
    <w:p>
      <w:pPr>
        <w:sectPr>
          <w:pgSz w:w="11900" w:h="16838" w:orient="portrait"/>
          <w:cols w:equalWidth="0" w:num="1">
            <w:col w:w="11020"/>
          </w:cols>
          <w:pgMar w:left="320" w:top="478"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040"/>
        <w:spacing w:after="0" w:line="232" w:lineRule="auto"/>
        <w:rPr>
          <w:sz w:val="20"/>
          <w:szCs w:val="20"/>
          <w:color w:val="auto"/>
        </w:rPr>
      </w:pPr>
      <w:r>
        <w:rPr>
          <w:rFonts w:ascii="Calibri" w:cs="Calibri" w:eastAsia="Calibri" w:hAnsi="Calibri"/>
          <w:sz w:val="17"/>
          <w:szCs w:val="17"/>
          <w:color w:val="333333"/>
        </w:rPr>
        <w:t xml:space="preserve">700, Washington, D.C. 20004 or by email to </w:t>
      </w:r>
      <w:r>
        <w:rPr>
          <w:rFonts w:ascii="Calibri" w:cs="Calibri" w:eastAsia="Calibri" w:hAnsi="Calibri"/>
          <w:sz w:val="17"/>
          <w:szCs w:val="17"/>
          <w:color w:val="0591DB"/>
        </w:rPr>
        <w:t>AnnualMeetng@ficonsultng.com</w:t>
      </w:r>
      <w:r>
        <w:rPr>
          <w:rFonts w:ascii="Calibri" w:cs="Calibri" w:eastAsia="Calibri" w:hAnsi="Calibri"/>
          <w:sz w:val="17"/>
          <w:szCs w:val="17"/>
          <w:color w:val="333333"/>
        </w:rPr>
        <w:t xml:space="preserve">. Each shareholder may appoint only one proxy holder or authorized representatve to atend the meetng on his or her behalf. </w:t>
      </w:r>
      <w:r>
        <w:rPr>
          <w:rFonts w:ascii="Calibri" w:cs="Calibri" w:eastAsia="Calibri" w:hAnsi="Calibri"/>
          <w:sz w:val="17"/>
          <w:szCs w:val="17"/>
          <w:b w:val="1"/>
          <w:bCs w:val="1"/>
          <w:color w:val="333333"/>
        </w:rPr>
        <w:t>Requests for authorized proxy holders or named representatves to</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 xml:space="preserve">atend the Annual Meetng must be received no later than May 13, 2026. </w:t>
      </w:r>
      <w:r>
        <w:rPr>
          <w:rFonts w:ascii="Calibri" w:cs="Calibri" w:eastAsia="Calibri" w:hAnsi="Calibri"/>
          <w:sz w:val="17"/>
          <w:szCs w:val="17"/>
          <w:color w:val="333333"/>
        </w:rPr>
        <w:t>Please include the following informaton when submitng your</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request: (i) your name and complete mailing address; (ii) proof that you own shares of Common Stock of the Company as of the close of business on the Record Date (such as a brokerage statement showing your name and address or a leter from the brokerage frm, trust, bank, or other nominee or fduciary holding your shares); (iii) a signed authorizaton appointng such individual to be your authorized named representatve at the meetng, which includes the individual’s name, mailing address, telephone number and email address, and a descripton of the extent of his or her authority; and (iv) a legal proxy if you intend such representatve to vote your shares at the meetng.</w:t>
      </w:r>
    </w:p>
    <w:p>
      <w:pPr>
        <w:spacing w:after="0" w:line="116" w:lineRule="exact"/>
        <w:rPr>
          <w:sz w:val="20"/>
          <w:szCs w:val="20"/>
          <w:color w:val="auto"/>
        </w:rPr>
      </w:pPr>
    </w:p>
    <w:p>
      <w:pPr>
        <w:ind w:left="1020" w:hanging="318"/>
        <w:spacing w:after="0"/>
        <w:tabs>
          <w:tab w:leader="none" w:pos="1020" w:val="left"/>
        </w:tabs>
        <w:numPr>
          <w:ilvl w:val="0"/>
          <w:numId w:val="28"/>
        </w:numPr>
        <w:rPr>
          <w:rFonts w:ascii="MS PGothic" w:cs="MS PGothic" w:eastAsia="MS PGothic" w:hAnsi="MS PGothic"/>
          <w:sz w:val="17"/>
          <w:szCs w:val="17"/>
          <w:color w:val="333333"/>
        </w:rPr>
      </w:pPr>
      <w:r>
        <w:rPr>
          <w:rFonts w:ascii="Calibri" w:cs="Calibri" w:eastAsia="Calibri" w:hAnsi="Calibri"/>
          <w:sz w:val="17"/>
          <w:szCs w:val="17"/>
          <w:color w:val="333333"/>
        </w:rPr>
        <w:t>We reserve the right to deny entry to the Annual Meetng if the above conditons are not satsfed.</w:t>
      </w: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WHAT IS HOUSEHOLDING OF PROXY STATEMENT, OTHER PROXY INFORMATION AND 2025 ANNUAL REPORT?</w:t>
      </w:r>
    </w:p>
    <w:p>
      <w:pPr>
        <w:spacing w:after="0" w:line="212"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 xml:space="preserve">Multple shareholders who share a single address may receive only one Notce, Proxy Statement and 2025 Annual Report, as applicable, at that address, untl such tme as one or more of these shareholders notfes Broadridge Financial Solutons that they wish to receive individual copies. This practce, known as “householding,” reduces printng and postage costs. If you do not wish to partcipate in householding for future mailings, or if you received multple copies of the proxy materials and annual reports and would prefer to receive a single copy in the future, please contact Broadridge Financial Solutons by calling its toll-free number at 1.866.540.7095 or by mail to Broadridge Financial Solutons, Atn.: Householding Department, 51 Mercedes Way, Edgewood, NY 11717. Benefcial shareholders may request informaton about householding from their banks, brokers or other holders of record. If you received a “householding” mailing this year and would like to have additonal copies of the proxy materials mailed to you, please send a writen request to our Corporate Secretary at our principal executve ofce or by email to </w:t>
      </w:r>
      <w:r>
        <w:rPr>
          <w:rFonts w:ascii="Calibri" w:cs="Calibri" w:eastAsia="Calibri" w:hAnsi="Calibri"/>
          <w:sz w:val="17"/>
          <w:szCs w:val="17"/>
          <w:color w:val="0591DB"/>
        </w:rPr>
        <w:t>AnnualMeetng@ficonsultng.com</w:t>
      </w:r>
      <w:r>
        <w:rPr>
          <w:rFonts w:ascii="Calibri" w:cs="Calibri" w:eastAsia="Calibri" w:hAnsi="Calibri"/>
          <w:sz w:val="17"/>
          <w:szCs w:val="17"/>
          <w:color w:val="333333"/>
        </w:rPr>
        <w:t>, and we will promptly deliver the proxy materials to you.</w:t>
      </w:r>
    </w:p>
    <w:p>
      <w:pPr>
        <w:spacing w:after="0" w:line="224"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ADDITIONAL INFORMATION</w:t>
      </w:r>
    </w:p>
    <w:p>
      <w:pPr>
        <w:spacing w:after="0" w:line="215" w:lineRule="exact"/>
        <w:rPr>
          <w:sz w:val="20"/>
          <w:szCs w:val="20"/>
          <w:color w:val="auto"/>
        </w:rPr>
      </w:pPr>
    </w:p>
    <w:p>
      <w:pPr>
        <w:ind w:left="160" w:right="160"/>
        <w:spacing w:after="0" w:line="232" w:lineRule="auto"/>
        <w:rPr>
          <w:sz w:val="20"/>
          <w:szCs w:val="20"/>
          <w:color w:val="auto"/>
        </w:rPr>
      </w:pPr>
      <w:r>
        <w:rPr>
          <w:rFonts w:ascii="Calibri" w:cs="Calibri" w:eastAsia="Calibri" w:hAnsi="Calibri"/>
          <w:sz w:val="17"/>
          <w:szCs w:val="17"/>
          <w:color w:val="333333"/>
        </w:rPr>
        <w:t xml:space="preserve">On or about April 21, 2026, we began sending a Notce of Internet Availability of Proxy Materials, or the Notce of Annual Meetng, this Proxy Statement and the 2025 Annual Report in paper copies, to the Company’s shareholders of record as of the close of business on the Record Date. The 2025 Annual Report does not consttute a part of the proxy solicitaton materials. The 2025 Annual Report provides you with additonal informaton about the Company. Copies of our Notce of Annual Meetng, Proxy Statement and 2025 Annual Report are available in the Governance secton of the Company’s website at </w:t>
      </w:r>
      <w:r>
        <w:rPr>
          <w:rFonts w:ascii="Calibri" w:cs="Calibri" w:eastAsia="Calibri" w:hAnsi="Calibri"/>
          <w:sz w:val="17"/>
          <w:szCs w:val="17"/>
          <w:color w:val="0591DB"/>
        </w:rPr>
        <w:t>htps://www.ficonsultng.com/about/governance</w:t>
      </w:r>
      <w:r>
        <w:rPr>
          <w:rFonts w:ascii="Calibri" w:cs="Calibri" w:eastAsia="Calibri" w:hAnsi="Calibri"/>
          <w:sz w:val="17"/>
          <w:szCs w:val="17"/>
          <w:color w:val="333333"/>
        </w:rPr>
        <w:t>.</w:t>
      </w:r>
    </w:p>
    <w:p>
      <w:pPr>
        <w:spacing w:after="0" w:line="224"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INFORMATION ABOUT THE BOARD OF DIRECTORS AND COMMITTEES</w:t>
      </w:r>
    </w:p>
    <w:p>
      <w:pPr>
        <w:spacing w:after="0" w:line="21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THE DIRECTOR NOMINATION PROCESS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Identfcaton of Candidates as Directors for Electon at the Annual Meetng</w:t>
      </w:r>
    </w:p>
    <w:p>
      <w:pPr>
        <w:spacing w:after="0" w:line="212" w:lineRule="exact"/>
        <w:rPr>
          <w:sz w:val="20"/>
          <w:szCs w:val="20"/>
          <w:color w:val="auto"/>
        </w:rPr>
      </w:pPr>
    </w:p>
    <w:p>
      <w:pPr>
        <w:jc w:val="both"/>
        <w:ind w:left="160" w:right="180"/>
        <w:spacing w:after="0" w:line="232" w:lineRule="auto"/>
        <w:rPr>
          <w:sz w:val="20"/>
          <w:szCs w:val="20"/>
          <w:color w:val="auto"/>
        </w:rPr>
      </w:pPr>
      <w:r>
        <w:rPr>
          <w:rFonts w:ascii="Calibri" w:cs="Calibri" w:eastAsia="Calibri" w:hAnsi="Calibri"/>
          <w:sz w:val="17"/>
          <w:szCs w:val="17"/>
          <w:color w:val="333333"/>
        </w:rPr>
        <w:t>During the frst quarter of each year, the Board and each Commitee conduct a self-assessment, which helps to inform the director nominaton process. The Nominatng, Corporate Governance and Social Responsibility Commitee (“NCGSR Commitee”) works with our Board to develop the qualifcatons, atributes and experience required of</w:t>
      </w:r>
    </w:p>
    <w:p>
      <w:pPr>
        <w:spacing w:after="0" w:line="143"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color w:val="333333"/>
        </w:rPr>
        <w:t>7</w:t>
      </w:r>
    </w:p>
    <w:p>
      <w:pPr>
        <w:sectPr>
          <w:pgSz w:w="11900" w:h="16838" w:orient="portrait"/>
          <w:cols w:equalWidth="0" w:num="1">
            <w:col w:w="11000"/>
          </w:cols>
          <w:pgMar w:left="320" w:top="478"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440"/>
        <w:spacing w:after="0" w:line="233" w:lineRule="auto"/>
        <w:rPr>
          <w:sz w:val="20"/>
          <w:szCs w:val="20"/>
          <w:color w:val="auto"/>
        </w:rPr>
      </w:pPr>
      <w:r>
        <w:rPr>
          <w:rFonts w:ascii="Calibri" w:cs="Calibri" w:eastAsia="Calibri" w:hAnsi="Calibri"/>
          <w:sz w:val="17"/>
          <w:szCs w:val="17"/>
          <w:color w:val="333333"/>
        </w:rPr>
        <w:t>Board nominees in light of current Board compositon, our business and operatons, our long-term and short-term plans, applicable legal and listng requirements, and other factors the NCGSR Commitee considers relevant.</w:t>
      </w:r>
    </w:p>
    <w:p>
      <w:pPr>
        <w:spacing w:after="0" w:line="212" w:lineRule="exact"/>
        <w:rPr>
          <w:sz w:val="20"/>
          <w:szCs w:val="20"/>
          <w:color w:val="auto"/>
        </w:rPr>
      </w:pPr>
    </w:p>
    <w:p>
      <w:pPr>
        <w:ind w:left="160" w:right="280"/>
        <w:spacing w:after="0" w:line="233" w:lineRule="auto"/>
        <w:rPr>
          <w:sz w:val="20"/>
          <w:szCs w:val="20"/>
          <w:color w:val="auto"/>
        </w:rPr>
      </w:pPr>
      <w:r>
        <w:rPr>
          <w:rFonts w:ascii="Calibri" w:cs="Calibri" w:eastAsia="Calibri" w:hAnsi="Calibri"/>
          <w:sz w:val="17"/>
          <w:szCs w:val="17"/>
          <w:color w:val="333333"/>
        </w:rPr>
        <w:t>The NCGSR Commitee is authorized, in its sole discreton, to engage outside search frms and consultants to assist with the process of identfying and qualifying candidates for nominaton as directors and has the sole authority to negotate the fees and terms of the retenton of such advisors.</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The NCGSR Commitee evaluates directors for electon each year as if they were new candidates. It may identfy other candidates for nominaton as directors, if necessary, through recommendatons from our directors, management, employees, shareholders, or outside advisors or consultants. Any recommendatons from shareholders should be submited to the NCGSR Commitee as described under “Corporate Governance — Communicatons With Directors” on </w:t>
      </w:r>
      <w:r>
        <w:rPr>
          <w:rFonts w:ascii="Calibri" w:cs="Calibri" w:eastAsia="Calibri" w:hAnsi="Calibri"/>
          <w:sz w:val="17"/>
          <w:szCs w:val="17"/>
          <w:color w:val="0591DB"/>
        </w:rPr>
        <w:t>page 40</w:t>
      </w:r>
      <w:r>
        <w:rPr>
          <w:rFonts w:ascii="Calibri" w:cs="Calibri" w:eastAsia="Calibri" w:hAnsi="Calibri"/>
          <w:sz w:val="17"/>
          <w:szCs w:val="17"/>
          <w:color w:val="333333"/>
        </w:rPr>
        <w:t xml:space="preserve"> of this Proxy Statement and should include the same informaton required under our Bylaws for nominatng a director through the formal shareholder nominaton process described under the secton ttled “Corporate Governance — Shareholder Nominees For Director” on </w:t>
      </w:r>
      <w:r>
        <w:rPr>
          <w:rFonts w:ascii="Calibri" w:cs="Calibri" w:eastAsia="Calibri" w:hAnsi="Calibri"/>
          <w:sz w:val="17"/>
          <w:szCs w:val="17"/>
          <w:color w:val="0591DB"/>
        </w:rPr>
        <w:t>page 39</w:t>
      </w:r>
      <w:r>
        <w:rPr>
          <w:rFonts w:ascii="Calibri" w:cs="Calibri" w:eastAsia="Calibri" w:hAnsi="Calibri"/>
          <w:sz w:val="17"/>
          <w:szCs w:val="17"/>
          <w:color w:val="333333"/>
        </w:rPr>
        <w:t xml:space="preserve"> of this Proxy Statement. The NCGSR Commitee will evaluate candidates, including candidates recommended by shareholders, in the same manner, regardless of the source of the recommendaton.</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Director Nominaton Actons</w:t>
      </w:r>
    </w:p>
    <w:p>
      <w:pPr>
        <w:spacing w:after="0" w:line="212"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As part of its refreshment eforts, the NCGSR Commitee focuses on confrming that the non-employee director candidates are independent and have a diverse skill set based on industry- and company-specifc knowledge and will bring unique perspectves to the Board. The NCGSR Commitee will also consider other atributes when evaluatng candidates. Specifcally, the refreshment process entails: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170180</wp:posOffset>
            </wp:positionV>
            <wp:extent cx="3465195" cy="3201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65195" cy="320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17"/>
          <w:szCs w:val="17"/>
          <w:color w:val="333333"/>
        </w:rPr>
        <w:t>8</w:t>
      </w:r>
    </w:p>
    <w:p>
      <w:pPr>
        <w:sectPr>
          <w:pgSz w:w="11900" w:h="16838" w:orient="portrait"/>
          <w:cols w:equalWidth="0" w:num="1">
            <w:col w:w="10980"/>
          </w:cols>
          <w:pgMar w:left="320" w:top="478" w:right="5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Board Compositon Developments</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Mark S. Bartlet, a member of our Audit Commitee, will reach age 75 prior to the Annual Meetng and therefore, pursuant to our Corporate Governance Guidelines, will not be nominated to stand for re-electon to the Board. The Board has approved a decrease in its size from nine directors to eight directors, efectve automatcally as of the Annual Meetng, in light of Mr. Bartlet’s pending retrement.</w:t>
      </w:r>
    </w:p>
    <w:p>
      <w:pPr>
        <w:spacing w:after="0" w:line="214" w:lineRule="exact"/>
        <w:rPr>
          <w:sz w:val="20"/>
          <w:szCs w:val="20"/>
          <w:color w:val="auto"/>
        </w:rPr>
      </w:pPr>
    </w:p>
    <w:p>
      <w:pPr>
        <w:ind w:left="160" w:right="440"/>
        <w:spacing w:after="0" w:line="233" w:lineRule="auto"/>
        <w:rPr>
          <w:sz w:val="20"/>
          <w:szCs w:val="20"/>
          <w:color w:val="auto"/>
        </w:rPr>
      </w:pPr>
      <w:r>
        <w:rPr>
          <w:rFonts w:ascii="Calibri" w:cs="Calibri" w:eastAsia="Calibri" w:hAnsi="Calibri"/>
          <w:sz w:val="17"/>
          <w:szCs w:val="17"/>
          <w:color w:val="333333"/>
        </w:rPr>
        <w:t>In March 2025, the Board appointed Eric T. Steigerwalt and Janet H. Zelenka to the Board. In June 2025, Gerard E. Holthaus and Brenda J. Bacon each retred from the Board afer reaching age 75 prior to our 2025 Annual Meetng.</w:t>
      </w:r>
    </w:p>
    <w:p>
      <w:pPr>
        <w:spacing w:after="0" w:line="212"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In antcipaton of Mr. Holthaus’s retrement in June 2025, the Board determined that it was in the Company’s best interests to appoint Mr. Gunby, our President and CEO and a member of our Board of Directors, as Chairman of the Board, and to appoint Claudio Costamagna as Lead Independent Director, each efectve upon their re-electon as directors at the 2025 Annual Meetng.</w:t>
      </w:r>
    </w:p>
    <w:p>
      <w:pPr>
        <w:spacing w:after="0" w:line="214" w:lineRule="exact"/>
        <w:rPr>
          <w:sz w:val="20"/>
          <w:szCs w:val="20"/>
          <w:color w:val="auto"/>
        </w:rPr>
      </w:pPr>
    </w:p>
    <w:p>
      <w:pPr>
        <w:jc w:val="both"/>
        <w:ind w:left="160" w:right="60"/>
        <w:spacing w:after="0" w:line="232" w:lineRule="auto"/>
        <w:rPr>
          <w:sz w:val="20"/>
          <w:szCs w:val="20"/>
          <w:color w:val="auto"/>
        </w:rPr>
      </w:pPr>
      <w:r>
        <w:rPr>
          <w:rFonts w:ascii="Calibri" w:cs="Calibri" w:eastAsia="Calibri" w:hAnsi="Calibri"/>
          <w:sz w:val="17"/>
          <w:szCs w:val="17"/>
          <w:color w:val="333333"/>
        </w:rPr>
        <w:t>Our Board and the NCGSR Commitee maintain a robust refreshment and recruitment process in which the members focus on identfying, considering and evaluatng potental Board candidates in connecton with an ongoing review of Board needs. The Board also annually reviews and assesses its compositon through its self-evaluaton process. The Board and NCGSR will contnue assessing Board compositon, efectveness and needs on an ongoing basis.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Other Director Qualifcatons</w:t>
      </w:r>
    </w:p>
    <w:p>
      <w:pPr>
        <w:spacing w:after="0" w:line="118" w:lineRule="exact"/>
        <w:rPr>
          <w:sz w:val="20"/>
          <w:szCs w:val="20"/>
          <w:color w:val="auto"/>
        </w:rPr>
      </w:pPr>
    </w:p>
    <w:p>
      <w:pPr>
        <w:ind w:left="1020" w:right="200" w:hanging="318"/>
        <w:spacing w:after="0" w:line="233" w:lineRule="auto"/>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Leadership Experience. </w:t>
      </w:r>
      <w:r>
        <w:rPr>
          <w:rFonts w:ascii="Calibri" w:cs="Calibri" w:eastAsia="Calibri" w:hAnsi="Calibri"/>
          <w:sz w:val="17"/>
          <w:szCs w:val="17"/>
          <w:color w:val="333333"/>
        </w:rPr>
        <w:t>Experience holding a signifcant leadership positon in a complex organizaton or experience dealing with complex</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problems, including a practcal understanding of strategy, processes, risk management and other factors that accelerate growth and change.</w:t>
      </w:r>
    </w:p>
    <w:p>
      <w:pPr>
        <w:spacing w:after="0" w:line="118" w:lineRule="exact"/>
        <w:rPr>
          <w:rFonts w:ascii="MS PGothic" w:cs="MS PGothic" w:eastAsia="MS PGothic" w:hAnsi="MS PGothic"/>
          <w:sz w:val="17"/>
          <w:szCs w:val="17"/>
          <w:color w:val="0591DB"/>
        </w:rPr>
      </w:pPr>
    </w:p>
    <w:p>
      <w:pPr>
        <w:ind w:left="1020" w:right="340" w:hanging="318"/>
        <w:spacing w:after="0" w:line="233" w:lineRule="auto"/>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Finance or Accountng Experience. </w:t>
      </w:r>
      <w:r>
        <w:rPr>
          <w:rFonts w:ascii="Calibri" w:cs="Calibri" w:eastAsia="Calibri" w:hAnsi="Calibri"/>
          <w:sz w:val="17"/>
          <w:szCs w:val="17"/>
          <w:color w:val="333333"/>
        </w:rPr>
        <w:t>Experience with fnance and/or fnancial reportng that demonstrates an understanding of fnance and</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fnancial informaton and processes.</w:t>
      </w:r>
    </w:p>
    <w:p>
      <w:pPr>
        <w:spacing w:after="0" w:line="118" w:lineRule="exact"/>
        <w:rPr>
          <w:rFonts w:ascii="MS PGothic" w:cs="MS PGothic" w:eastAsia="MS PGothic" w:hAnsi="MS PGothic"/>
          <w:sz w:val="17"/>
          <w:szCs w:val="17"/>
          <w:color w:val="0591DB"/>
        </w:rPr>
      </w:pPr>
    </w:p>
    <w:p>
      <w:pPr>
        <w:ind w:left="1020" w:right="160" w:hanging="318"/>
        <w:spacing w:after="0" w:line="232" w:lineRule="auto"/>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Services or Industry Experience. </w:t>
      </w:r>
      <w:r>
        <w:rPr>
          <w:rFonts w:ascii="Calibri" w:cs="Calibri" w:eastAsia="Calibri" w:hAnsi="Calibri"/>
          <w:sz w:val="17"/>
          <w:szCs w:val="17"/>
          <w:color w:val="333333"/>
        </w:rPr>
        <w:t>Experience with our key practce oferings or client industries — such as capital markets, mergers and</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acquisitons, restructuring, consultng, energy, fnancial insttutons, healthcare and telecom, media and technology — to deepen the Board’s understanding and knowledge of our business.</w:t>
      </w:r>
    </w:p>
    <w:p>
      <w:pPr>
        <w:spacing w:after="0" w:line="115"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Government Experience. </w:t>
      </w:r>
      <w:r>
        <w:rPr>
          <w:rFonts w:ascii="Calibri" w:cs="Calibri" w:eastAsia="Calibri" w:hAnsi="Calibri"/>
          <w:sz w:val="17"/>
          <w:szCs w:val="17"/>
          <w:color w:val="333333"/>
        </w:rPr>
        <w:t>Experience working constructvely and proactvely with governments and agencies, both foreign and domestc.</w:t>
      </w:r>
    </w:p>
    <w:p>
      <w:pPr>
        <w:spacing w:after="0" w:line="131" w:lineRule="exact"/>
        <w:rPr>
          <w:rFonts w:ascii="MS PGothic" w:cs="MS PGothic" w:eastAsia="MS PGothic" w:hAnsi="MS PGothic"/>
          <w:sz w:val="17"/>
          <w:szCs w:val="17"/>
          <w:color w:val="0591DB"/>
        </w:rPr>
      </w:pPr>
    </w:p>
    <w:p>
      <w:pPr>
        <w:ind w:left="1020" w:right="60" w:hanging="318"/>
        <w:spacing w:after="0" w:line="232" w:lineRule="auto"/>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Other Public Company Board Experience. </w:t>
      </w:r>
      <w:r>
        <w:rPr>
          <w:rFonts w:ascii="Calibri" w:cs="Calibri" w:eastAsia="Calibri" w:hAnsi="Calibri"/>
          <w:sz w:val="17"/>
          <w:szCs w:val="17"/>
          <w:color w:val="333333"/>
        </w:rPr>
        <w:t>Experience serving on the boards and board commitees of other public companies provides an</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understanding of corporate governance practces and trends and insights into board management and the relatonships among the board, the chief executve ofcer and other members of senior management.</w:t>
      </w:r>
    </w:p>
    <w:p>
      <w:pPr>
        <w:spacing w:after="0" w:line="120" w:lineRule="exact"/>
        <w:rPr>
          <w:rFonts w:ascii="MS PGothic" w:cs="MS PGothic" w:eastAsia="MS PGothic" w:hAnsi="MS PGothic"/>
          <w:sz w:val="17"/>
          <w:szCs w:val="17"/>
          <w:color w:val="0591DB"/>
        </w:rPr>
      </w:pPr>
    </w:p>
    <w:p>
      <w:pPr>
        <w:ind w:left="1020" w:right="280" w:hanging="318"/>
        <w:spacing w:after="0" w:line="233" w:lineRule="auto"/>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Global Experience. </w:t>
      </w:r>
      <w:r>
        <w:rPr>
          <w:rFonts w:ascii="Calibri" w:cs="Calibri" w:eastAsia="Calibri" w:hAnsi="Calibri"/>
          <w:sz w:val="17"/>
          <w:szCs w:val="17"/>
          <w:color w:val="333333"/>
        </w:rPr>
        <w:t>Experience managing or growing companies outside the U.S. or with global companies to broaden our knowledge, help</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direct our global expansion and help navigate the hurdles of doing business outside the U.S.</w:t>
      </w:r>
    </w:p>
    <w:p>
      <w:pPr>
        <w:spacing w:after="0" w:line="118" w:lineRule="exact"/>
        <w:rPr>
          <w:rFonts w:ascii="MS PGothic" w:cs="MS PGothic" w:eastAsia="MS PGothic" w:hAnsi="MS PGothic"/>
          <w:sz w:val="17"/>
          <w:szCs w:val="17"/>
          <w:color w:val="0591DB"/>
        </w:rPr>
      </w:pPr>
    </w:p>
    <w:p>
      <w:pPr>
        <w:ind w:left="1020" w:right="100" w:hanging="318"/>
        <w:spacing w:after="0" w:line="233" w:lineRule="auto"/>
        <w:tabs>
          <w:tab w:leader="none" w:pos="1020" w:val="left"/>
        </w:tabs>
        <w:numPr>
          <w:ilvl w:val="0"/>
          <w:numId w:val="29"/>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Diversity. </w:t>
      </w:r>
      <w:r>
        <w:rPr>
          <w:rFonts w:ascii="Calibri" w:cs="Calibri" w:eastAsia="Calibri" w:hAnsi="Calibri"/>
          <w:sz w:val="17"/>
          <w:szCs w:val="17"/>
          <w:color w:val="333333"/>
        </w:rPr>
        <w:t>Diverse viewpoints, backgrounds, professional skills, work experience, atributes and other qualites to bring unique perspectves to</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the Board to help broaden the Company’s understanding and knowledge of the markets and clients we serve.</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9</w:t>
      </w:r>
    </w:p>
    <w:p>
      <w:pPr>
        <w:sectPr>
          <w:pgSz w:w="11900" w:h="16838" w:orient="portrait"/>
          <w:cols w:equalWidth="0" w:num="1">
            <w:col w:w="11080"/>
          </w:cols>
          <w:pgMar w:left="320" w:top="478"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In additon, the NCGSR Commitee and the Board consider other factors as they determine to be appropriate, including:</w:t>
      </w:r>
    </w:p>
    <w:p>
      <w:pPr>
        <w:spacing w:after="0" w:line="118" w:lineRule="exact"/>
        <w:rPr>
          <w:sz w:val="20"/>
          <w:szCs w:val="20"/>
          <w:color w:val="auto"/>
        </w:rPr>
      </w:pPr>
    </w:p>
    <w:p>
      <w:pPr>
        <w:ind w:left="1020" w:right="660" w:hanging="318"/>
        <w:spacing w:after="0" w:line="233" w:lineRule="auto"/>
        <w:tabs>
          <w:tab w:leader="none" w:pos="1020" w:val="left"/>
        </w:tabs>
        <w:numPr>
          <w:ilvl w:val="0"/>
          <w:numId w:val="3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Integrity and Credibility. </w:t>
      </w:r>
      <w:r>
        <w:rPr>
          <w:rFonts w:ascii="Calibri" w:cs="Calibri" w:eastAsia="Calibri" w:hAnsi="Calibri"/>
          <w:sz w:val="17"/>
          <w:szCs w:val="17"/>
          <w:color w:val="333333"/>
        </w:rPr>
        <w:t>High ethical standards and strength of character in the candidate’s personal and professional dealings and a</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willingness to be held accountable.</w:t>
      </w:r>
    </w:p>
    <w:p>
      <w:pPr>
        <w:spacing w:after="0" w:line="118"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3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Business Judgment. </w:t>
      </w:r>
      <w:r>
        <w:rPr>
          <w:rFonts w:ascii="Calibri" w:cs="Calibri" w:eastAsia="Calibri" w:hAnsi="Calibri"/>
          <w:sz w:val="17"/>
          <w:szCs w:val="17"/>
          <w:color w:val="333333"/>
        </w:rPr>
        <w:t>Mature and practcal judgment and a history of making good business decisions in good faith and in a manner that will be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in the best interests of the Company and its stakeholders.</w:t>
      </w:r>
    </w:p>
    <w:p>
      <w:pPr>
        <w:spacing w:after="0" w:line="118" w:lineRule="exact"/>
        <w:rPr>
          <w:rFonts w:ascii="MS PGothic" w:cs="MS PGothic" w:eastAsia="MS PGothic" w:hAnsi="MS PGothic"/>
          <w:sz w:val="17"/>
          <w:szCs w:val="17"/>
          <w:color w:val="0591DB"/>
        </w:rPr>
      </w:pPr>
    </w:p>
    <w:p>
      <w:pPr>
        <w:ind w:left="1020" w:right="60" w:hanging="318"/>
        <w:spacing w:after="0" w:line="233" w:lineRule="auto"/>
        <w:tabs>
          <w:tab w:leader="none" w:pos="1020" w:val="left"/>
        </w:tabs>
        <w:numPr>
          <w:ilvl w:val="0"/>
          <w:numId w:val="3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Collaboratve Work Ethic. </w:t>
      </w:r>
      <w:r>
        <w:rPr>
          <w:rFonts w:ascii="Calibri" w:cs="Calibri" w:eastAsia="Calibri" w:hAnsi="Calibri"/>
          <w:sz w:val="17"/>
          <w:szCs w:val="17"/>
          <w:color w:val="333333"/>
        </w:rPr>
        <w:t>Ability to work together with other directors and management to carry out his or her dutes in the best interests of</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the Company and its stakeholders.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3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Need for Expertse. </w:t>
      </w:r>
      <w:r>
        <w:rPr>
          <w:rFonts w:ascii="Calibri" w:cs="Calibri" w:eastAsia="Calibri" w:hAnsi="Calibri"/>
          <w:sz w:val="17"/>
          <w:szCs w:val="17"/>
          <w:color w:val="333333"/>
        </w:rPr>
        <w:t>Extent to which the candidate has some quality or experience that would fll a present need on the Board.</w:t>
      </w:r>
    </w:p>
    <w:p>
      <w:pPr>
        <w:spacing w:after="0" w:line="131" w:lineRule="exact"/>
        <w:rPr>
          <w:rFonts w:ascii="MS PGothic" w:cs="MS PGothic" w:eastAsia="MS PGothic" w:hAnsi="MS PGothic"/>
          <w:sz w:val="17"/>
          <w:szCs w:val="17"/>
          <w:color w:val="0591DB"/>
        </w:rPr>
      </w:pPr>
    </w:p>
    <w:p>
      <w:pPr>
        <w:ind w:left="1020" w:right="320" w:hanging="318"/>
        <w:spacing w:after="0" w:line="233" w:lineRule="auto"/>
        <w:tabs>
          <w:tab w:leader="none" w:pos="1020" w:val="left"/>
        </w:tabs>
        <w:numPr>
          <w:ilvl w:val="0"/>
          <w:numId w:val="3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Sufcient Time. </w:t>
      </w:r>
      <w:r>
        <w:rPr>
          <w:rFonts w:ascii="Calibri" w:cs="Calibri" w:eastAsia="Calibri" w:hAnsi="Calibri"/>
          <w:sz w:val="17"/>
          <w:szCs w:val="17"/>
          <w:color w:val="333333"/>
        </w:rPr>
        <w:t>Extent to which the candidate is willing to devote sufcient tme and efort to the afairs of the Company, as well as other</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factors related to the ability and willingness of the candidate to serve on the Board.</w:t>
      </w:r>
    </w:p>
    <w:p>
      <w:pPr>
        <w:spacing w:after="0" w:line="118" w:lineRule="exact"/>
        <w:rPr>
          <w:rFonts w:ascii="MS PGothic" w:cs="MS PGothic" w:eastAsia="MS PGothic" w:hAnsi="MS PGothic"/>
          <w:sz w:val="17"/>
          <w:szCs w:val="17"/>
          <w:color w:val="0591DB"/>
        </w:rPr>
      </w:pPr>
    </w:p>
    <w:p>
      <w:pPr>
        <w:ind w:left="1020" w:right="220" w:hanging="318"/>
        <w:spacing w:after="0" w:line="232" w:lineRule="auto"/>
        <w:tabs>
          <w:tab w:leader="none" w:pos="1020" w:val="left"/>
        </w:tabs>
        <w:numPr>
          <w:ilvl w:val="0"/>
          <w:numId w:val="3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Independence. </w:t>
      </w:r>
      <w:r>
        <w:rPr>
          <w:rFonts w:ascii="Calibri" w:cs="Calibri" w:eastAsia="Calibri" w:hAnsi="Calibri"/>
          <w:sz w:val="17"/>
          <w:szCs w:val="17"/>
          <w:color w:val="333333"/>
        </w:rPr>
        <w:t>Qualifcaton of the candidate as independent under the rules of the New York Stock Exchange (“NYSE”) and the Company’s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 xml:space="preserve">Categorical Standards of Director Independence, which are available in the Governance secton of the Company’s website at </w:t>
      </w:r>
      <w:r>
        <w:rPr>
          <w:rFonts w:ascii="Calibri" w:cs="Calibri" w:eastAsia="Calibri" w:hAnsi="Calibri"/>
          <w:sz w:val="17"/>
          <w:szCs w:val="17"/>
          <w:color w:val="0591DB"/>
        </w:rPr>
        <w:t xml:space="preserve">htps://www.ficonsultng.com/about/governance </w:t>
      </w:r>
      <w:r>
        <w:rPr>
          <w:rFonts w:ascii="Calibri" w:cs="Calibri" w:eastAsia="Calibri" w:hAnsi="Calibri"/>
          <w:sz w:val="17"/>
          <w:szCs w:val="17"/>
          <w:color w:val="333333"/>
        </w:rPr>
        <w:t>and under the listng rules of the NYSE.</w:t>
      </w:r>
    </w:p>
    <w:p>
      <w:pPr>
        <w:spacing w:after="0" w:line="214" w:lineRule="exact"/>
        <w:rPr>
          <w:sz w:val="20"/>
          <w:szCs w:val="20"/>
          <w:color w:val="auto"/>
        </w:rPr>
      </w:pPr>
    </w:p>
    <w:p>
      <w:pPr>
        <w:ind w:left="160" w:right="380"/>
        <w:spacing w:after="0"/>
        <w:rPr>
          <w:sz w:val="20"/>
          <w:szCs w:val="20"/>
          <w:color w:val="auto"/>
        </w:rPr>
      </w:pPr>
      <w:r>
        <w:rPr>
          <w:rFonts w:ascii="Calibri" w:cs="Calibri" w:eastAsia="Calibri" w:hAnsi="Calibri"/>
          <w:sz w:val="17"/>
          <w:szCs w:val="17"/>
          <w:color w:val="333333"/>
        </w:rPr>
        <w:t>The NCGSR Commitee assesses its efectveness in balancing these consideratons in connecton with its annual evaluaton of the compositon of the Board.</w:t>
      </w:r>
    </w:p>
    <w:p>
      <w:pPr>
        <w:spacing w:after="0" w:line="336"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10</w:t>
      </w:r>
    </w:p>
    <w:p>
      <w:pPr>
        <w:sectPr>
          <w:pgSz w:w="11900" w:h="16838" w:orient="portrait"/>
          <w:cols w:equalWidth="0" w:num="1">
            <w:col w:w="11020"/>
          </w:cols>
          <w:pgMar w:left="320" w:top="478"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Qualifcatons of the Director Nominees</w:t>
      </w:r>
    </w:p>
    <w:p>
      <w:pPr>
        <w:spacing w:after="0" w:line="212" w:lineRule="exact"/>
        <w:rPr>
          <w:sz w:val="20"/>
          <w:szCs w:val="20"/>
          <w:color w:val="auto"/>
        </w:rPr>
      </w:pPr>
    </w:p>
    <w:p>
      <w:pPr>
        <w:ind w:left="160" w:right="100"/>
        <w:spacing w:after="0" w:line="232" w:lineRule="auto"/>
        <w:rPr>
          <w:sz w:val="20"/>
          <w:szCs w:val="20"/>
          <w:color w:val="auto"/>
        </w:rPr>
      </w:pPr>
      <w:r>
        <w:rPr>
          <w:rFonts w:ascii="Calibri" w:cs="Calibri" w:eastAsia="Calibri" w:hAnsi="Calibri"/>
          <w:sz w:val="17"/>
          <w:szCs w:val="17"/>
          <w:color w:val="333333"/>
        </w:rPr>
        <w:t>Our director nominees are a group of experienced business leaders who provide unique perspectves to the Company’s business discussions and strategic plans, which we believe are critcal to maintaining a high-functoning Board. Collectvely, the tenure of our director nominees balances deep experience at the Company with fresh perspectves. Our director nominees also have varied expertse, skills and backgrounds that enable them to efectvely carry out their dutes and responsibilites.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00" w:type="dxa"/>
            <w:vAlign w:val="bottom"/>
            <w:tcBorders>
              <w:top w:val="single" w:sz="8" w:color="0591DB"/>
              <w:left w:val="single" w:sz="8" w:color="0591DB"/>
              <w:right w:val="single" w:sz="8" w:color="0591DB"/>
            </w:tcBorders>
          </w:tcPr>
          <w:p>
            <w:pPr>
              <w:spacing w:after="0"/>
              <w:rPr>
                <w:sz w:val="15"/>
                <w:szCs w:val="15"/>
                <w:color w:val="auto"/>
              </w:rPr>
            </w:pPr>
          </w:p>
        </w:tc>
        <w:tc>
          <w:tcPr>
            <w:tcW w:w="2500" w:type="dxa"/>
            <w:vAlign w:val="bottom"/>
            <w:tcBorders>
              <w:top w:val="single" w:sz="8" w:color="0591DB"/>
              <w:right w:val="single" w:sz="8" w:color="0591DB"/>
            </w:tcBorders>
          </w:tcPr>
          <w:p>
            <w:pPr>
              <w:spacing w:after="0"/>
              <w:rPr>
                <w:sz w:val="15"/>
                <w:szCs w:val="15"/>
                <w:color w:val="auto"/>
              </w:rPr>
            </w:pPr>
          </w:p>
        </w:tc>
        <w:tc>
          <w:tcPr>
            <w:tcW w:w="840" w:type="dxa"/>
            <w:vAlign w:val="bottom"/>
            <w:tcBorders>
              <w:top w:val="single" w:sz="8" w:color="0591DB"/>
              <w:right w:val="single" w:sz="8" w:color="0591DB"/>
            </w:tcBorders>
          </w:tcPr>
          <w:p>
            <w:pPr>
              <w:spacing w:after="0"/>
              <w:rPr>
                <w:sz w:val="15"/>
                <w:szCs w:val="15"/>
                <w:color w:val="auto"/>
              </w:rPr>
            </w:pPr>
          </w:p>
        </w:tc>
        <w:tc>
          <w:tcPr>
            <w:tcW w:w="900" w:type="dxa"/>
            <w:vAlign w:val="bottom"/>
            <w:tcBorders>
              <w:top w:val="single" w:sz="8" w:color="0591DB"/>
              <w:right w:val="single" w:sz="8" w:color="0591DB"/>
            </w:tcBorders>
          </w:tcPr>
          <w:p>
            <w:pPr>
              <w:spacing w:after="0"/>
              <w:rPr>
                <w:sz w:val="15"/>
                <w:szCs w:val="15"/>
                <w:color w:val="auto"/>
              </w:rPr>
            </w:pPr>
          </w:p>
        </w:tc>
        <w:tc>
          <w:tcPr>
            <w:tcW w:w="900" w:type="dxa"/>
            <w:vAlign w:val="bottom"/>
            <w:tcBorders>
              <w:top w:val="single" w:sz="8" w:color="0591DB"/>
              <w:right w:val="single" w:sz="8" w:color="0591DB"/>
            </w:tcBorders>
          </w:tcPr>
          <w:p>
            <w:pPr>
              <w:spacing w:after="0"/>
              <w:rPr>
                <w:sz w:val="15"/>
                <w:szCs w:val="15"/>
                <w:color w:val="auto"/>
              </w:rPr>
            </w:pPr>
          </w:p>
        </w:tc>
        <w:tc>
          <w:tcPr>
            <w:tcW w:w="840" w:type="dxa"/>
            <w:vAlign w:val="bottom"/>
            <w:tcBorders>
              <w:top w:val="single" w:sz="8" w:color="0591DB"/>
              <w:right w:val="single" w:sz="8" w:color="0591DB"/>
            </w:tcBorders>
          </w:tcPr>
          <w:p>
            <w:pPr>
              <w:spacing w:after="0"/>
              <w:rPr>
                <w:sz w:val="15"/>
                <w:szCs w:val="15"/>
                <w:color w:val="auto"/>
              </w:rPr>
            </w:pPr>
          </w:p>
        </w:tc>
        <w:tc>
          <w:tcPr>
            <w:tcW w:w="1000" w:type="dxa"/>
            <w:vAlign w:val="bottom"/>
            <w:tcBorders>
              <w:top w:val="single" w:sz="8" w:color="0591DB"/>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OTHER PUBLIC</w:t>
            </w:r>
          </w:p>
        </w:tc>
        <w:tc>
          <w:tcPr>
            <w:tcW w:w="600" w:type="dxa"/>
            <w:vAlign w:val="bottom"/>
            <w:tcBorders>
              <w:top w:val="single" w:sz="8" w:color="0591DB"/>
              <w:right w:val="single" w:sz="8" w:color="0591DB"/>
            </w:tcBorders>
          </w:tcPr>
          <w:p>
            <w:pPr>
              <w:spacing w:after="0"/>
              <w:rPr>
                <w:sz w:val="15"/>
                <w:szCs w:val="15"/>
                <w:color w:val="auto"/>
              </w:rPr>
            </w:pPr>
          </w:p>
        </w:tc>
        <w:tc>
          <w:tcPr>
            <w:tcW w:w="1100" w:type="dxa"/>
            <w:vAlign w:val="bottom"/>
            <w:tcBorders>
              <w:top w:val="single" w:sz="8" w:color="0591DB"/>
              <w:right w:val="single" w:sz="8" w:color="0591DB"/>
            </w:tcBorders>
          </w:tcPr>
          <w:p>
            <w:pPr>
              <w:spacing w:after="0"/>
              <w:rPr>
                <w:sz w:val="15"/>
                <w:szCs w:val="15"/>
                <w:color w:val="auto"/>
              </w:rPr>
            </w:pPr>
          </w:p>
        </w:tc>
        <w:tc>
          <w:tcPr>
            <w:tcW w:w="1120" w:type="dxa"/>
            <w:vAlign w:val="bottom"/>
            <w:tcBorders>
              <w:top w:val="single" w:sz="8" w:color="0591DB"/>
            </w:tcBorders>
          </w:tcPr>
          <w:p>
            <w:pPr>
              <w:spacing w:after="0"/>
              <w:rPr>
                <w:sz w:val="15"/>
                <w:szCs w:val="15"/>
                <w:color w:val="auto"/>
              </w:rPr>
            </w:pPr>
          </w:p>
        </w:tc>
        <w:tc>
          <w:tcPr>
            <w:tcW w:w="20" w:type="dxa"/>
            <w:vAlign w:val="bottom"/>
            <w:tcBorders>
              <w:top w:val="single" w:sz="8" w:color="0591DB"/>
            </w:tcBorders>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Borders>
              <w:left w:val="single" w:sz="8" w:color="0591DB"/>
              <w:right w:val="single" w:sz="8" w:color="0591DB"/>
            </w:tcBorders>
          </w:tcPr>
          <w:p>
            <w:pPr>
              <w:spacing w:after="0"/>
              <w:rPr>
                <w:sz w:val="14"/>
                <w:szCs w:val="14"/>
                <w:color w:val="auto"/>
              </w:rPr>
            </w:pPr>
          </w:p>
        </w:tc>
        <w:tc>
          <w:tcPr>
            <w:tcW w:w="2500" w:type="dxa"/>
            <w:vAlign w:val="bottom"/>
            <w:tcBorders>
              <w:right w:val="single" w:sz="8" w:color="0591DB"/>
            </w:tcBorders>
          </w:tcPr>
          <w:p>
            <w:pPr>
              <w:spacing w:after="0"/>
              <w:rPr>
                <w:sz w:val="14"/>
                <w:szCs w:val="14"/>
                <w:color w:val="auto"/>
              </w:rPr>
            </w:pPr>
          </w:p>
        </w:tc>
        <w:tc>
          <w:tcPr>
            <w:tcW w:w="840" w:type="dxa"/>
            <w:vAlign w:val="bottom"/>
            <w:tcBorders>
              <w:right w:val="single" w:sz="8" w:color="0591DB"/>
            </w:tcBorders>
          </w:tcPr>
          <w:p>
            <w:pPr>
              <w:spacing w:after="0"/>
              <w:rPr>
                <w:sz w:val="14"/>
                <w:szCs w:val="14"/>
                <w:color w:val="auto"/>
              </w:rPr>
            </w:pPr>
          </w:p>
        </w:tc>
        <w:tc>
          <w:tcPr>
            <w:tcW w:w="900" w:type="dxa"/>
            <w:vAlign w:val="bottom"/>
            <w:tcBorders>
              <w:right w:val="single" w:sz="8" w:color="0591DB"/>
            </w:tcBorders>
          </w:tcPr>
          <w:p>
            <w:pPr>
              <w:spacing w:after="0"/>
              <w:rPr>
                <w:sz w:val="14"/>
                <w:szCs w:val="14"/>
                <w:color w:val="auto"/>
              </w:rPr>
            </w:pPr>
          </w:p>
        </w:tc>
        <w:tc>
          <w:tcPr>
            <w:tcW w:w="900" w:type="dxa"/>
            <w:vAlign w:val="bottom"/>
            <w:tcBorders>
              <w:right w:val="single" w:sz="8" w:color="0591DB"/>
            </w:tcBorders>
          </w:tcPr>
          <w:p>
            <w:pPr>
              <w:spacing w:after="0"/>
              <w:rPr>
                <w:sz w:val="14"/>
                <w:szCs w:val="14"/>
                <w:color w:val="auto"/>
              </w:rPr>
            </w:pPr>
          </w:p>
        </w:tc>
        <w:tc>
          <w:tcPr>
            <w:tcW w:w="840" w:type="dxa"/>
            <w:vAlign w:val="bottom"/>
            <w:tcBorders>
              <w:right w:val="single" w:sz="8" w:color="0591DB"/>
            </w:tcBorders>
          </w:tcPr>
          <w:p>
            <w:pPr>
              <w:jc w:val="center"/>
              <w:spacing w:after="0" w:line="169" w:lineRule="exact"/>
              <w:rPr>
                <w:sz w:val="20"/>
                <w:szCs w:val="20"/>
                <w:color w:val="auto"/>
              </w:rPr>
            </w:pPr>
            <w:r>
              <w:rPr>
                <w:rFonts w:ascii="Calibri" w:cs="Calibri" w:eastAsia="Calibri" w:hAnsi="Calibri"/>
                <w:sz w:val="14"/>
                <w:szCs w:val="14"/>
                <w:b w:val="1"/>
                <w:bCs w:val="1"/>
                <w:color w:val="0591DB"/>
                <w:w w:val="99"/>
              </w:rPr>
              <w:t>LEGAL/</w:t>
            </w:r>
          </w:p>
        </w:tc>
        <w:tc>
          <w:tcPr>
            <w:tcW w:w="1000" w:type="dxa"/>
            <w:vAlign w:val="bottom"/>
            <w:tcBorders>
              <w:right w:val="single" w:sz="8" w:color="0591DB"/>
            </w:tcBorders>
          </w:tcPr>
          <w:p>
            <w:pPr>
              <w:jc w:val="center"/>
              <w:spacing w:after="0" w:line="169" w:lineRule="exact"/>
              <w:rPr>
                <w:sz w:val="20"/>
                <w:szCs w:val="20"/>
                <w:color w:val="auto"/>
              </w:rPr>
            </w:pPr>
            <w:r>
              <w:rPr>
                <w:rFonts w:ascii="Calibri" w:cs="Calibri" w:eastAsia="Calibri" w:hAnsi="Calibri"/>
                <w:sz w:val="14"/>
                <w:szCs w:val="14"/>
                <w:b w:val="1"/>
                <w:bCs w:val="1"/>
                <w:color w:val="0591DB"/>
              </w:rPr>
              <w:t>COMPANY</w:t>
            </w:r>
          </w:p>
        </w:tc>
        <w:tc>
          <w:tcPr>
            <w:tcW w:w="600" w:type="dxa"/>
            <w:vAlign w:val="bottom"/>
            <w:tcBorders>
              <w:right w:val="single" w:sz="8" w:color="0591DB"/>
            </w:tcBorders>
          </w:tcPr>
          <w:p>
            <w:pPr>
              <w:spacing w:after="0"/>
              <w:rPr>
                <w:sz w:val="14"/>
                <w:szCs w:val="14"/>
                <w:color w:val="auto"/>
              </w:rPr>
            </w:pPr>
          </w:p>
        </w:tc>
        <w:tc>
          <w:tcPr>
            <w:tcW w:w="1100" w:type="dxa"/>
            <w:vAlign w:val="bottom"/>
            <w:tcBorders>
              <w:right w:val="single" w:sz="8" w:color="0591DB"/>
            </w:tcBorders>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shd w:val="clear" w:color="auto" w:fill="0591DB"/>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Borders>
              <w:left w:val="single" w:sz="8" w:color="0591DB"/>
              <w:right w:val="single" w:sz="8" w:color="0591DB"/>
            </w:tcBorders>
          </w:tcPr>
          <w:p>
            <w:pPr>
              <w:spacing w:after="0"/>
              <w:rPr>
                <w:sz w:val="15"/>
                <w:szCs w:val="15"/>
                <w:color w:val="auto"/>
              </w:rPr>
            </w:pPr>
          </w:p>
        </w:tc>
        <w:tc>
          <w:tcPr>
            <w:tcW w:w="2500" w:type="dxa"/>
            <w:vAlign w:val="bottom"/>
            <w:tcBorders>
              <w:right w:val="single" w:sz="8" w:color="0591DB"/>
            </w:tcBorders>
          </w:tcPr>
          <w:p>
            <w:pPr>
              <w:spacing w:after="0"/>
              <w:rPr>
                <w:sz w:val="15"/>
                <w:szCs w:val="15"/>
                <w:color w:val="auto"/>
              </w:rPr>
            </w:pPr>
          </w:p>
        </w:tc>
        <w:tc>
          <w:tcPr>
            <w:tcW w:w="840" w:type="dxa"/>
            <w:vAlign w:val="bottom"/>
            <w:tcBorders>
              <w:right w:val="single" w:sz="8" w:color="0591DB"/>
            </w:tcBorders>
          </w:tcPr>
          <w:p>
            <w:pPr>
              <w:spacing w:after="0"/>
              <w:rPr>
                <w:sz w:val="15"/>
                <w:szCs w:val="15"/>
                <w:color w:val="auto"/>
              </w:rPr>
            </w:pPr>
          </w:p>
        </w:tc>
        <w:tc>
          <w:tcPr>
            <w:tcW w:w="90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FINANCIALLY</w:t>
            </w:r>
          </w:p>
        </w:tc>
        <w:tc>
          <w:tcPr>
            <w:tcW w:w="90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SERVICES OR</w:t>
            </w:r>
          </w:p>
        </w:tc>
        <w:tc>
          <w:tcPr>
            <w:tcW w:w="84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LITIGATION</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BOARD</w:t>
            </w:r>
          </w:p>
        </w:tc>
        <w:tc>
          <w:tcPr>
            <w:tcW w:w="600" w:type="dxa"/>
            <w:vAlign w:val="bottom"/>
            <w:tcBorders>
              <w:right w:val="single" w:sz="8" w:color="0591DB"/>
            </w:tcBorders>
          </w:tcPr>
          <w:p>
            <w:pPr>
              <w:spacing w:after="0"/>
              <w:rPr>
                <w:sz w:val="15"/>
                <w:szCs w:val="15"/>
                <w:color w:val="auto"/>
              </w:rPr>
            </w:pPr>
          </w:p>
        </w:tc>
        <w:tc>
          <w:tcPr>
            <w:tcW w:w="1100" w:type="dxa"/>
            <w:vAlign w:val="bottom"/>
            <w:tcBorders>
              <w:right w:val="single" w:sz="8" w:color="0591DB"/>
            </w:tcBorders>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00" w:type="dxa"/>
            <w:vAlign w:val="bottom"/>
            <w:tcBorders>
              <w:left w:val="single" w:sz="8" w:color="0591DB"/>
              <w:bottom w:val="single" w:sz="8" w:color="0591DB"/>
              <w:right w:val="single" w:sz="8" w:color="0591DB"/>
            </w:tcBorders>
          </w:tcPr>
          <w:p>
            <w:pPr>
              <w:ind w:left="300"/>
              <w:spacing w:after="0"/>
              <w:rPr>
                <w:sz w:val="20"/>
                <w:szCs w:val="20"/>
                <w:color w:val="auto"/>
              </w:rPr>
            </w:pPr>
            <w:r>
              <w:rPr>
                <w:rFonts w:ascii="Calibri" w:cs="Calibri" w:eastAsia="Calibri" w:hAnsi="Calibri"/>
                <w:sz w:val="14"/>
                <w:szCs w:val="14"/>
                <w:b w:val="1"/>
                <w:bCs w:val="1"/>
                <w:color w:val="0591DB"/>
              </w:rPr>
              <w:t>DIRECTOR</w:t>
            </w:r>
          </w:p>
        </w:tc>
        <w:tc>
          <w:tcPr>
            <w:tcW w:w="2500" w:type="dxa"/>
            <w:vAlign w:val="bottom"/>
            <w:tcBorders>
              <w:bottom w:val="single" w:sz="8" w:color="0591DB"/>
              <w:right w:val="single" w:sz="8" w:color="0591DB"/>
            </w:tcBorders>
          </w:tcPr>
          <w:p>
            <w:pPr>
              <w:spacing w:after="0"/>
              <w:rPr>
                <w:sz w:val="16"/>
                <w:szCs w:val="16"/>
                <w:color w:val="auto"/>
              </w:rPr>
            </w:pPr>
          </w:p>
        </w:tc>
        <w:tc>
          <w:tcPr>
            <w:tcW w:w="840" w:type="dxa"/>
            <w:vAlign w:val="bottom"/>
            <w:tcBorders>
              <w:bottom w:val="single" w:sz="8" w:color="0591DB"/>
              <w:right w:val="single" w:sz="8" w:color="0591DB"/>
            </w:tcBorders>
          </w:tcPr>
          <w:p>
            <w:pPr>
              <w:ind w:left="100"/>
              <w:spacing w:after="0"/>
              <w:rPr>
                <w:sz w:val="20"/>
                <w:szCs w:val="20"/>
                <w:color w:val="auto"/>
              </w:rPr>
            </w:pPr>
            <w:r>
              <w:rPr>
                <w:rFonts w:ascii="Calibri" w:cs="Calibri" w:eastAsia="Calibri" w:hAnsi="Calibri"/>
                <w:sz w:val="14"/>
                <w:szCs w:val="14"/>
                <w:b w:val="1"/>
                <w:bCs w:val="1"/>
                <w:color w:val="0591DB"/>
                <w:w w:val="97"/>
              </w:rPr>
              <w:t>LEADERSHIP</w:t>
            </w:r>
          </w:p>
        </w:tc>
        <w:tc>
          <w:tcPr>
            <w:tcW w:w="90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LITERATE</w:t>
            </w:r>
          </w:p>
        </w:tc>
        <w:tc>
          <w:tcPr>
            <w:tcW w:w="90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INDUSTRY</w:t>
            </w:r>
          </w:p>
        </w:tc>
        <w:tc>
          <w:tcPr>
            <w:tcW w:w="84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EXPERIENCE</w:t>
            </w:r>
          </w:p>
        </w:tc>
        <w:tc>
          <w:tcPr>
            <w:tcW w:w="100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EXPERIENCE</w:t>
            </w:r>
          </w:p>
        </w:tc>
        <w:tc>
          <w:tcPr>
            <w:tcW w:w="600" w:type="dxa"/>
            <w:vAlign w:val="bottom"/>
            <w:tcBorders>
              <w:bottom w:val="single" w:sz="8" w:color="0591DB"/>
              <w:right w:val="single" w:sz="8" w:color="0591DB"/>
            </w:tcBorders>
          </w:tcPr>
          <w:p>
            <w:pPr>
              <w:ind w:left="100"/>
              <w:spacing w:after="0"/>
              <w:rPr>
                <w:sz w:val="20"/>
                <w:szCs w:val="20"/>
                <w:color w:val="auto"/>
              </w:rPr>
            </w:pPr>
            <w:r>
              <w:rPr>
                <w:rFonts w:ascii="Calibri" w:cs="Calibri" w:eastAsia="Calibri" w:hAnsi="Calibri"/>
                <w:sz w:val="14"/>
                <w:szCs w:val="14"/>
                <w:b w:val="1"/>
                <w:bCs w:val="1"/>
                <w:color w:val="0591DB"/>
                <w:w w:val="98"/>
              </w:rPr>
              <w:t>GLOBAL</w:t>
            </w:r>
          </w:p>
        </w:tc>
        <w:tc>
          <w:tcPr>
            <w:tcW w:w="1100" w:type="dxa"/>
            <w:vAlign w:val="bottom"/>
            <w:tcBorders>
              <w:bottom w:val="single" w:sz="8" w:color="0591DB"/>
              <w:right w:val="single" w:sz="8" w:color="0591DB"/>
            </w:tcBorders>
          </w:tcPr>
          <w:p>
            <w:pPr>
              <w:ind w:left="120"/>
              <w:spacing w:after="0"/>
              <w:rPr>
                <w:sz w:val="20"/>
                <w:szCs w:val="20"/>
                <w:color w:val="auto"/>
              </w:rPr>
            </w:pPr>
            <w:r>
              <w:rPr>
                <w:rFonts w:ascii="Calibri" w:cs="Calibri" w:eastAsia="Calibri" w:hAnsi="Calibri"/>
                <w:sz w:val="14"/>
                <w:szCs w:val="14"/>
                <w:b w:val="1"/>
                <w:bCs w:val="1"/>
                <w:color w:val="0591DB"/>
              </w:rPr>
              <w:t>CYBERSECURITY</w:t>
            </w:r>
          </w:p>
        </w:tc>
        <w:tc>
          <w:tcPr>
            <w:tcW w:w="1120" w:type="dxa"/>
            <w:vAlign w:val="bottom"/>
            <w:tcBorders>
              <w:bottom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INDEPENDENCE</w:t>
            </w:r>
          </w:p>
        </w:tc>
        <w:tc>
          <w:tcPr>
            <w:tcW w:w="20" w:type="dxa"/>
            <w:vAlign w:val="bottom"/>
            <w:tcBorders>
              <w:bottom w:val="single" w:sz="8" w:color="0591DB"/>
            </w:tcBorders>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alibri" w:cs="Calibri" w:eastAsia="Calibri" w:hAnsi="Calibri"/>
                <w:sz w:val="17"/>
                <w:szCs w:val="17"/>
                <w:b w:val="1"/>
                <w:bCs w:val="1"/>
                <w:color w:val="0591DB"/>
              </w:rPr>
              <w:t>Elsy Boglioli</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ind w:left="80"/>
              <w:spacing w:after="0"/>
              <w:rPr>
                <w:sz w:val="20"/>
                <w:szCs w:val="20"/>
                <w:color w:val="auto"/>
              </w:rPr>
            </w:pPr>
            <w:r>
              <w:rPr>
                <w:rFonts w:ascii="Calibri" w:cs="Calibri" w:eastAsia="Calibri" w:hAnsi="Calibri"/>
                <w:sz w:val="17"/>
                <w:szCs w:val="17"/>
                <w:b w:val="1"/>
                <w:bCs w:val="1"/>
                <w:color w:val="0591DB"/>
              </w:rPr>
              <w:t>Claudio Costamagna</w:t>
            </w: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6"/>
              </w:rPr>
              <w:t>● ●</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840" w:type="dxa"/>
            <w:vAlign w:val="bottom"/>
            <w:tcBorders>
              <w:right w:val="single" w:sz="8" w:color="EFF2EF"/>
            </w:tcBorders>
            <w:shd w:val="clear" w:color="auto" w:fill="EFF2EF"/>
          </w:tcPr>
          <w:p>
            <w:pPr>
              <w:spacing w:after="0"/>
              <w:rPr>
                <w:sz w:val="24"/>
                <w:szCs w:val="24"/>
                <w:color w:val="auto"/>
              </w:rPr>
            </w:pPr>
          </w:p>
        </w:tc>
        <w:tc>
          <w:tcPr>
            <w:tcW w:w="10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1100" w:type="dxa"/>
            <w:vAlign w:val="bottom"/>
            <w:tcBorders>
              <w:right w:val="single" w:sz="8" w:color="EFF2EF"/>
            </w:tcBorders>
            <w:shd w:val="clear" w:color="auto" w:fill="EFF2EF"/>
          </w:tcPr>
          <w:p>
            <w:pPr>
              <w:spacing w:after="0"/>
              <w:rPr>
                <w:sz w:val="24"/>
                <w:szCs w:val="24"/>
                <w:color w:val="auto"/>
              </w:rPr>
            </w:pPr>
          </w:p>
        </w:tc>
        <w:tc>
          <w:tcPr>
            <w:tcW w:w="1120" w:type="dxa"/>
            <w:vAlign w:val="bottom"/>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1000" w:type="dxa"/>
            <w:vAlign w:val="bottom"/>
            <w:tcBorders>
              <w:right w:val="single" w:sz="8" w:color="EFF2EF"/>
            </w:tcBorders>
            <w:shd w:val="clear" w:color="auto" w:fill="EFF2EF"/>
          </w:tcPr>
          <w:p>
            <w:pPr>
              <w:spacing w:after="0"/>
              <w:rPr>
                <w:sz w:val="24"/>
                <w:szCs w:val="24"/>
                <w:color w:val="auto"/>
              </w:rPr>
            </w:pPr>
          </w:p>
        </w:tc>
        <w:tc>
          <w:tcPr>
            <w:tcW w:w="600" w:type="dxa"/>
            <w:vAlign w:val="bottom"/>
            <w:tcBorders>
              <w:right w:val="single" w:sz="8" w:color="EFF2EF"/>
            </w:tcBorders>
            <w:shd w:val="clear" w:color="auto" w:fill="EFF2EF"/>
          </w:tcPr>
          <w:p>
            <w:pPr>
              <w:spacing w:after="0"/>
              <w:rPr>
                <w:sz w:val="24"/>
                <w:szCs w:val="24"/>
                <w:color w:val="auto"/>
              </w:rPr>
            </w:pPr>
          </w:p>
        </w:tc>
        <w:tc>
          <w:tcPr>
            <w:tcW w:w="1100" w:type="dxa"/>
            <w:vAlign w:val="bottom"/>
            <w:tcBorders>
              <w:right w:val="single" w:sz="8" w:color="EFF2EF"/>
            </w:tcBorders>
            <w:shd w:val="clear" w:color="auto" w:fill="EFF2EF"/>
          </w:tcPr>
          <w:p>
            <w:pPr>
              <w:spacing w:after="0"/>
              <w:rPr>
                <w:sz w:val="24"/>
                <w:szCs w:val="24"/>
                <w:color w:val="auto"/>
              </w:rPr>
            </w:pPr>
          </w:p>
        </w:tc>
        <w:tc>
          <w:tcPr>
            <w:tcW w:w="1120" w:type="dxa"/>
            <w:vAlign w:val="bottom"/>
            <w:shd w:val="clear" w:color="auto" w:fill="EFF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alibri" w:cs="Calibri" w:eastAsia="Calibri" w:hAnsi="Calibri"/>
                <w:sz w:val="17"/>
                <w:szCs w:val="17"/>
                <w:b w:val="1"/>
                <w:bCs w:val="1"/>
                <w:color w:val="0591DB"/>
              </w:rPr>
              <w:t>Nicholas C. Fanandakis</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6"/>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ind w:left="80"/>
              <w:spacing w:after="0"/>
              <w:rPr>
                <w:sz w:val="20"/>
                <w:szCs w:val="20"/>
                <w:color w:val="auto"/>
              </w:rPr>
            </w:pPr>
            <w:r>
              <w:rPr>
                <w:rFonts w:ascii="Calibri" w:cs="Calibri" w:eastAsia="Calibri" w:hAnsi="Calibri"/>
                <w:sz w:val="17"/>
                <w:szCs w:val="17"/>
                <w:b w:val="1"/>
                <w:bCs w:val="1"/>
                <w:color w:val="0591DB"/>
              </w:rPr>
              <w:t>Steven H. Gunby</w:t>
            </w: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6"/>
              </w:rPr>
              <w:t>● ●</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0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20" w:type="dxa"/>
            <w:vAlign w:val="bottom"/>
            <w:shd w:val="clear" w:color="auto" w:fill="EFF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1000" w:type="dxa"/>
            <w:vAlign w:val="bottom"/>
            <w:tcBorders>
              <w:right w:val="single" w:sz="8" w:color="EFF2EF"/>
            </w:tcBorders>
            <w:shd w:val="clear" w:color="auto" w:fill="EFF2EF"/>
          </w:tcPr>
          <w:p>
            <w:pPr>
              <w:spacing w:after="0"/>
              <w:rPr>
                <w:sz w:val="24"/>
                <w:szCs w:val="24"/>
                <w:color w:val="auto"/>
              </w:rPr>
            </w:pPr>
          </w:p>
        </w:tc>
        <w:tc>
          <w:tcPr>
            <w:tcW w:w="600" w:type="dxa"/>
            <w:vAlign w:val="bottom"/>
            <w:tcBorders>
              <w:right w:val="single" w:sz="8" w:color="EFF2EF"/>
            </w:tcBorders>
            <w:shd w:val="clear" w:color="auto" w:fill="EFF2EF"/>
          </w:tcPr>
          <w:p>
            <w:pPr>
              <w:spacing w:after="0"/>
              <w:rPr>
                <w:sz w:val="24"/>
                <w:szCs w:val="24"/>
                <w:color w:val="auto"/>
              </w:rPr>
            </w:pPr>
          </w:p>
        </w:tc>
        <w:tc>
          <w:tcPr>
            <w:tcW w:w="1100" w:type="dxa"/>
            <w:vAlign w:val="bottom"/>
            <w:tcBorders>
              <w:right w:val="single" w:sz="8" w:color="EFF2EF"/>
            </w:tcBorders>
            <w:shd w:val="clear" w:color="auto" w:fill="EFF2EF"/>
          </w:tcPr>
          <w:p>
            <w:pPr>
              <w:spacing w:after="0"/>
              <w:rPr>
                <w:sz w:val="24"/>
                <w:szCs w:val="24"/>
                <w:color w:val="auto"/>
              </w:rPr>
            </w:pPr>
          </w:p>
        </w:tc>
        <w:tc>
          <w:tcPr>
            <w:tcW w:w="1120" w:type="dxa"/>
            <w:vAlign w:val="bottom"/>
            <w:shd w:val="clear" w:color="auto" w:fill="EFF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alibri" w:cs="Calibri" w:eastAsia="Calibri" w:hAnsi="Calibri"/>
                <w:sz w:val="17"/>
                <w:szCs w:val="17"/>
                <w:b w:val="1"/>
                <w:bCs w:val="1"/>
                <w:color w:val="0591DB"/>
              </w:rPr>
              <w:t>Stephen C. Robinson</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ind w:left="80"/>
              <w:spacing w:after="0"/>
              <w:rPr>
                <w:sz w:val="20"/>
                <w:szCs w:val="20"/>
                <w:color w:val="auto"/>
              </w:rPr>
            </w:pPr>
            <w:r>
              <w:rPr>
                <w:rFonts w:ascii="Calibri" w:cs="Calibri" w:eastAsia="Calibri" w:hAnsi="Calibri"/>
                <w:sz w:val="17"/>
                <w:szCs w:val="17"/>
                <w:b w:val="1"/>
                <w:bCs w:val="1"/>
                <w:color w:val="0591DB"/>
              </w:rPr>
              <w:t>Laureen E. Seeger</w:t>
            </w: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10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20" w:type="dxa"/>
            <w:vAlign w:val="bottom"/>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1000" w:type="dxa"/>
            <w:vAlign w:val="bottom"/>
            <w:tcBorders>
              <w:right w:val="single" w:sz="8" w:color="EFF2EF"/>
            </w:tcBorders>
            <w:shd w:val="clear" w:color="auto" w:fill="EFF2EF"/>
          </w:tcPr>
          <w:p>
            <w:pPr>
              <w:spacing w:after="0"/>
              <w:rPr>
                <w:sz w:val="24"/>
                <w:szCs w:val="24"/>
                <w:color w:val="auto"/>
              </w:rPr>
            </w:pPr>
          </w:p>
        </w:tc>
        <w:tc>
          <w:tcPr>
            <w:tcW w:w="600" w:type="dxa"/>
            <w:vAlign w:val="bottom"/>
            <w:tcBorders>
              <w:right w:val="single" w:sz="8" w:color="EFF2EF"/>
            </w:tcBorders>
            <w:shd w:val="clear" w:color="auto" w:fill="EFF2EF"/>
          </w:tcPr>
          <w:p>
            <w:pPr>
              <w:spacing w:after="0"/>
              <w:rPr>
                <w:sz w:val="24"/>
                <w:szCs w:val="24"/>
                <w:color w:val="auto"/>
              </w:rPr>
            </w:pPr>
          </w:p>
        </w:tc>
        <w:tc>
          <w:tcPr>
            <w:tcW w:w="1100" w:type="dxa"/>
            <w:vAlign w:val="bottom"/>
            <w:tcBorders>
              <w:right w:val="single" w:sz="8" w:color="EFF2EF"/>
            </w:tcBorders>
            <w:shd w:val="clear" w:color="auto" w:fill="EFF2EF"/>
          </w:tcPr>
          <w:p>
            <w:pPr>
              <w:spacing w:after="0"/>
              <w:rPr>
                <w:sz w:val="24"/>
                <w:szCs w:val="24"/>
                <w:color w:val="auto"/>
              </w:rPr>
            </w:pPr>
          </w:p>
        </w:tc>
        <w:tc>
          <w:tcPr>
            <w:tcW w:w="1120" w:type="dxa"/>
            <w:vAlign w:val="bottom"/>
            <w:shd w:val="clear" w:color="auto" w:fill="EFF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alibri" w:cs="Calibri" w:eastAsia="Calibri" w:hAnsi="Calibri"/>
                <w:sz w:val="17"/>
                <w:szCs w:val="17"/>
                <w:b w:val="1"/>
                <w:bCs w:val="1"/>
                <w:color w:val="0591DB"/>
              </w:rPr>
              <w:t>Eric T. Steigerwalt</w:t>
            </w: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6"/>
              </w:rPr>
              <w:t>● ●</w:t>
            </w:r>
          </w:p>
        </w:tc>
        <w:tc>
          <w:tcPr>
            <w:tcW w:w="9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ind w:left="80"/>
              <w:spacing w:after="0"/>
              <w:rPr>
                <w:sz w:val="20"/>
                <w:szCs w:val="20"/>
                <w:color w:val="auto"/>
              </w:rPr>
            </w:pPr>
            <w:r>
              <w:rPr>
                <w:rFonts w:ascii="Calibri" w:cs="Calibri" w:eastAsia="Calibri" w:hAnsi="Calibri"/>
                <w:sz w:val="17"/>
                <w:szCs w:val="17"/>
                <w:b w:val="1"/>
                <w:bCs w:val="1"/>
                <w:color w:val="0591DB"/>
              </w:rPr>
              <w:t>Janet H. Zelenka</w:t>
            </w: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9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6"/>
              </w:rPr>
              <w:t>● ●</w:t>
            </w:r>
          </w:p>
        </w:tc>
        <w:tc>
          <w:tcPr>
            <w:tcW w:w="9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000" w:type="dxa"/>
            <w:vAlign w:val="bottom"/>
            <w:tcBorders>
              <w:right w:val="single" w:sz="8" w:color="EFF2EF"/>
            </w:tcBorders>
            <w:shd w:val="clear" w:color="auto" w:fill="EFF2EF"/>
          </w:tcPr>
          <w:p>
            <w:pPr>
              <w:spacing w:after="0"/>
              <w:rPr>
                <w:sz w:val="24"/>
                <w:szCs w:val="24"/>
                <w:color w:val="auto"/>
              </w:rPr>
            </w:pPr>
          </w:p>
        </w:tc>
        <w:tc>
          <w:tcPr>
            <w:tcW w:w="6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7"/>
              </w:rPr>
              <w:t>●</w:t>
            </w:r>
          </w:p>
        </w:tc>
        <w:tc>
          <w:tcPr>
            <w:tcW w:w="1100" w:type="dxa"/>
            <w:vAlign w:val="bottom"/>
            <w:tcBorders>
              <w:right w:val="single" w:sz="8" w:color="EFF2EF"/>
            </w:tcBorders>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6"/>
              </w:rPr>
              <w:t>● ●</w:t>
            </w:r>
          </w:p>
        </w:tc>
        <w:tc>
          <w:tcPr>
            <w:tcW w:w="1120" w:type="dxa"/>
            <w:vAlign w:val="bottom"/>
            <w:shd w:val="clear" w:color="auto" w:fill="EFF2EF"/>
          </w:tcPr>
          <w:p>
            <w:pPr>
              <w:jc w:val="center"/>
              <w:spacing w:after="0"/>
              <w:rPr>
                <w:sz w:val="20"/>
                <w:szCs w:val="20"/>
                <w:color w:val="auto"/>
              </w:rPr>
            </w:pPr>
            <w:r>
              <w:rPr>
                <w:rFonts w:ascii="Times New Roman" w:cs="Times New Roman" w:eastAsia="Times New Roman" w:hAnsi="Times New Roman"/>
                <w:sz w:val="27"/>
                <w:szCs w:val="27"/>
                <w:color w:val="0591DB"/>
                <w:w w:val="91"/>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vMerge w:val="restart"/>
          </w:tcPr>
          <w:p>
            <w:pPr>
              <w:spacing w:after="0"/>
              <w:rPr>
                <w:sz w:val="24"/>
                <w:szCs w:val="24"/>
                <w:color w:val="auto"/>
              </w:rPr>
            </w:pPr>
          </w:p>
        </w:tc>
        <w:tc>
          <w:tcPr>
            <w:tcW w:w="1100" w:type="dxa"/>
            <w:vAlign w:val="bottom"/>
            <w:tcBorders>
              <w:left w:val="single" w:sz="8" w:color="EFF2EF"/>
              <w:right w:val="single" w:sz="8" w:color="EFF2EF"/>
            </w:tcBorders>
            <w:shd w:val="clear" w:color="auto" w:fill="EFF2EF"/>
          </w:tcPr>
          <w:p>
            <w:pPr>
              <w:spacing w:after="0"/>
              <w:rPr>
                <w:sz w:val="24"/>
                <w:szCs w:val="24"/>
                <w:color w:val="auto"/>
              </w:rPr>
            </w:pPr>
          </w:p>
        </w:tc>
        <w:tc>
          <w:tcPr>
            <w:tcW w:w="25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900" w:type="dxa"/>
            <w:vAlign w:val="bottom"/>
            <w:tcBorders>
              <w:right w:val="single" w:sz="8" w:color="EFF2EF"/>
            </w:tcBorders>
            <w:shd w:val="clear" w:color="auto" w:fill="EFF2EF"/>
          </w:tcPr>
          <w:p>
            <w:pPr>
              <w:spacing w:after="0"/>
              <w:rPr>
                <w:sz w:val="24"/>
                <w:szCs w:val="24"/>
                <w:color w:val="auto"/>
              </w:rPr>
            </w:pPr>
          </w:p>
        </w:tc>
        <w:tc>
          <w:tcPr>
            <w:tcW w:w="840" w:type="dxa"/>
            <w:vAlign w:val="bottom"/>
            <w:tcBorders>
              <w:right w:val="single" w:sz="8" w:color="EFF2EF"/>
            </w:tcBorders>
            <w:shd w:val="clear" w:color="auto" w:fill="EFF2EF"/>
          </w:tcPr>
          <w:p>
            <w:pPr>
              <w:spacing w:after="0"/>
              <w:rPr>
                <w:sz w:val="24"/>
                <w:szCs w:val="24"/>
                <w:color w:val="auto"/>
              </w:rPr>
            </w:pPr>
          </w:p>
        </w:tc>
        <w:tc>
          <w:tcPr>
            <w:tcW w:w="1000" w:type="dxa"/>
            <w:vAlign w:val="bottom"/>
            <w:tcBorders>
              <w:right w:val="single" w:sz="8" w:color="EFF2EF"/>
            </w:tcBorders>
            <w:shd w:val="clear" w:color="auto" w:fill="EFF2EF"/>
          </w:tcPr>
          <w:p>
            <w:pPr>
              <w:spacing w:after="0"/>
              <w:rPr>
                <w:sz w:val="24"/>
                <w:szCs w:val="24"/>
                <w:color w:val="auto"/>
              </w:rPr>
            </w:pPr>
          </w:p>
        </w:tc>
        <w:tc>
          <w:tcPr>
            <w:tcW w:w="600" w:type="dxa"/>
            <w:vAlign w:val="bottom"/>
            <w:tcBorders>
              <w:right w:val="single" w:sz="8" w:color="EFF2EF"/>
            </w:tcBorders>
            <w:shd w:val="clear" w:color="auto" w:fill="EFF2EF"/>
          </w:tcPr>
          <w:p>
            <w:pPr>
              <w:spacing w:after="0"/>
              <w:rPr>
                <w:sz w:val="24"/>
                <w:szCs w:val="24"/>
                <w:color w:val="auto"/>
              </w:rPr>
            </w:pPr>
          </w:p>
        </w:tc>
        <w:tc>
          <w:tcPr>
            <w:tcW w:w="1100" w:type="dxa"/>
            <w:vAlign w:val="bottom"/>
            <w:tcBorders>
              <w:right w:val="single" w:sz="8" w:color="EFF2EF"/>
            </w:tcBorders>
            <w:shd w:val="clear" w:color="auto" w:fill="EFF2EF"/>
          </w:tcPr>
          <w:p>
            <w:pPr>
              <w:spacing w:after="0"/>
              <w:rPr>
                <w:sz w:val="24"/>
                <w:szCs w:val="24"/>
                <w:color w:val="auto"/>
              </w:rPr>
            </w:pPr>
          </w:p>
        </w:tc>
        <w:tc>
          <w:tcPr>
            <w:tcW w:w="1120" w:type="dxa"/>
            <w:vAlign w:val="bottom"/>
            <w:shd w:val="clear" w:color="auto" w:fill="EFF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00" w:type="dxa"/>
            <w:vAlign w:val="bottom"/>
            <w:gridSpan w:val="2"/>
          </w:tcPr>
          <w:p>
            <w:pPr>
              <w:spacing w:after="0" w:line="200" w:lineRule="exact"/>
              <w:rPr>
                <w:sz w:val="20"/>
                <w:szCs w:val="20"/>
                <w:color w:val="auto"/>
              </w:rPr>
            </w:pPr>
            <w:r>
              <w:rPr>
                <w:rFonts w:ascii="Calibri" w:cs="Calibri" w:eastAsia="Calibri" w:hAnsi="Calibri"/>
                <w:sz w:val="17"/>
                <w:szCs w:val="17"/>
                <w:color w:val="333333"/>
              </w:rPr>
              <w:t>• denotes “Some Experience”</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3" w:lineRule="exact"/>
              <w:rPr>
                <w:sz w:val="20"/>
                <w:szCs w:val="20"/>
                <w:color w:val="auto"/>
              </w:rPr>
            </w:pPr>
            <w:r>
              <w:rPr>
                <w:rFonts w:ascii="Calibri" w:cs="Calibri" w:eastAsia="Calibri" w:hAnsi="Calibri"/>
                <w:sz w:val="17"/>
                <w:szCs w:val="17"/>
                <w:color w:val="333333"/>
              </w:rPr>
              <w:t>•• denotes “Very Experienced”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jc w:val="right"/>
              <w:ind w:right="606"/>
              <w:spacing w:after="0"/>
              <w:rPr>
                <w:sz w:val="20"/>
                <w:szCs w:val="20"/>
                <w:color w:val="auto"/>
              </w:rPr>
            </w:pPr>
            <w:r>
              <w:rPr>
                <w:rFonts w:ascii="Calibri" w:cs="Calibri" w:eastAsia="Calibri" w:hAnsi="Calibri"/>
                <w:sz w:val="17"/>
                <w:szCs w:val="17"/>
                <w:color w:val="333333"/>
                <w:w w:val="92"/>
              </w:rPr>
              <w:t>11</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-5962015</wp:posOffset>
            </wp:positionV>
            <wp:extent cx="518160" cy="54521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8160" cy="5452110"/>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jc w:val="both"/>
        <w:ind w:left="160" w:right="20"/>
        <w:spacing w:after="0" w:line="232" w:lineRule="auto"/>
        <w:rPr>
          <w:sz w:val="20"/>
          <w:szCs w:val="20"/>
          <w:color w:val="auto"/>
        </w:rPr>
      </w:pPr>
      <w:r>
        <w:rPr>
          <w:rFonts w:ascii="Calibri" w:cs="Calibri" w:eastAsia="Calibri" w:hAnsi="Calibri"/>
          <w:sz w:val="17"/>
          <w:szCs w:val="17"/>
          <w:color w:val="333333"/>
        </w:rPr>
        <w:t>The NCGSR Commitee discussed with each director his or her ability to contnue to serve as a director if he or she were to be nominated by the Board and elected by shareholders at the Annual Meetng. All of the director nominees welcome the opportunity to contnue to serve as a director of the Company if elected by shareholders at the Annual Meetng.</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The Director Nominees</w:t>
      </w:r>
    </w:p>
    <w:p>
      <w:pPr>
        <w:spacing w:after="0" w:line="212" w:lineRule="exact"/>
        <w:rPr>
          <w:sz w:val="20"/>
          <w:szCs w:val="20"/>
          <w:color w:val="auto"/>
        </w:rPr>
      </w:pPr>
    </w:p>
    <w:p>
      <w:pPr>
        <w:jc w:val="both"/>
        <w:ind w:left="160"/>
        <w:spacing w:after="0" w:line="232" w:lineRule="auto"/>
        <w:rPr>
          <w:sz w:val="20"/>
          <w:szCs w:val="20"/>
          <w:color w:val="auto"/>
        </w:rPr>
      </w:pPr>
      <w:r>
        <w:rPr>
          <w:rFonts w:ascii="Calibri" w:cs="Calibri" w:eastAsia="Calibri" w:hAnsi="Calibri"/>
          <w:sz w:val="17"/>
          <w:szCs w:val="17"/>
          <w:color w:val="333333"/>
        </w:rPr>
        <w:t>Our director nominees are a group of experienced business leaders who provide unique perspectves to the Company’s business discussions and strategic plans, which we believe are critcal to maintaining a high-functoning Board. Collectvely, the tenure of our director nominees balances deep experience at the Company with fresh perspectves. Assuming the electon of all eight nominees as directors of the Company by shareholders at the Annual Meetng, the following graphics describe certain characteristcs of the Board following their electon: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170180</wp:posOffset>
            </wp:positionV>
            <wp:extent cx="4857750" cy="942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57750"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12</w:t>
      </w:r>
    </w:p>
    <w:p>
      <w:pPr>
        <w:sectPr>
          <w:pgSz w:w="11900" w:h="16838" w:orient="portrait"/>
          <w:cols w:equalWidth="0" w:num="1">
            <w:col w:w="11060"/>
          </w:cols>
          <w:pgMar w:left="320" w:top="478"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INDEPENDENCE OF DIRECTORS</w:t>
      </w:r>
    </w:p>
    <w:p>
      <w:pPr>
        <w:spacing w:after="0" w:line="212"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 xml:space="preserve">The Board has established Categorical Standards of Director Independence, which align with the NYSE Secton 303A standards governing director independence as currently in efect, and recognizes that a director is “independent” if he or she does not have a material relatonship with the Company (directly or as a partner, shareholder or ofcer of an organizaton that has a relatonship with the Company), considering all facts and circumstances that the Board determines are relevant. Our Categorical Standards of Director Independence are available in the Governance secton of the Company’s website at </w:t>
      </w:r>
      <w:r>
        <w:rPr>
          <w:rFonts w:ascii="Calibri" w:cs="Calibri" w:eastAsia="Calibri" w:hAnsi="Calibri"/>
          <w:sz w:val="17"/>
          <w:szCs w:val="17"/>
          <w:color w:val="0591DB"/>
        </w:rPr>
        <w:t>htps://www.ficonsultng.com/about/governance</w:t>
      </w:r>
      <w:r>
        <w:rPr>
          <w:rFonts w:ascii="Calibri" w:cs="Calibri" w:eastAsia="Calibri" w:hAnsi="Calibri"/>
          <w:sz w:val="17"/>
          <w:szCs w:val="17"/>
          <w:color w:val="333333"/>
        </w:rPr>
        <w:t>. Based on those standards, the Board, upon the recommendaton of the NCGSR Commitee, afrmatvely determined that, other than Steven H. Gunby, the seven non-employee directors named in this Proxy who are standing for electon at the Annual Meetng are independent. Steven H. Gunby is not considered independent since he is our President and Chief Executve Ofcer (our “CEO”). In additon, based on those standards, the Board, upon the recommendaton of the NCGSR Commitee, afrmatvely determined that (i) Mr. Bartlet, who is not standing for re-electon at the Annual Meetng, is independent and (ii) former directors Gerard E. Holthaus and Brenda J. Bacon were independent during the period they served on our Board. Our Board also determined that each of the directors currently serving on the Audit Commitee and the Compensaton Commitee satsfy the additonal independence criteria applicable to directors on such commitees under NYSE listng rules and the rules and regulatons established by the Securites and Exchange Commission.</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In making its independence determinatons, the Board considered that Laureen E. Seeger is Chief Legal Ofcer of the American Express Company, Eric T. Steigerwalt is President and Chief Executve Ofcer of Brighthouse Financial, Inc. and Brenda J. Bacon is the past President and Chief Executve Ofcer of Brandywine Senior Living LLC, each a client of the Company. The Board determined that each of Ms. Seeger, Mr. Steigerwalt and Ms. Bacon is independent under the Categorical Standards of Director Independence afer concluding that the Company’s engagements with each respectve employer and its subsidiaries are in the ordinary course of the Company’s business on substantally the same terms as transactons with other clients of the Company for similar services, and none of Ms. Seeger, Mr. Steigerwalt nor Ms. Bacon has received any direct or indirect personal or pecuniary beneft from any such client engagements or transactons. The aggregate fees from such engagements with each of the American Express Company and its subsidiaries, Brighthouse Financial, Inc. and its subsidiaries, Brandywine Senior Living LLC and its subsidiaries amounted to less than the greater of $1.0 million or 2% of each of such company’s consolidated gross revenues for each of the years ended December 31, 2023, December 31, 2024 and December 31, 2025.</w:t>
      </w:r>
    </w:p>
    <w:p>
      <w:pPr>
        <w:spacing w:after="0" w:line="214" w:lineRule="exact"/>
        <w:rPr>
          <w:sz w:val="20"/>
          <w:szCs w:val="20"/>
          <w:color w:val="auto"/>
        </w:rPr>
      </w:pPr>
    </w:p>
    <w:p>
      <w:pPr>
        <w:ind w:left="160" w:right="340"/>
        <w:spacing w:after="0" w:line="232" w:lineRule="auto"/>
        <w:rPr>
          <w:sz w:val="20"/>
          <w:szCs w:val="20"/>
          <w:color w:val="auto"/>
        </w:rPr>
      </w:pPr>
      <w:r>
        <w:rPr>
          <w:rFonts w:ascii="Calibri" w:cs="Calibri" w:eastAsia="Calibri" w:hAnsi="Calibri"/>
          <w:sz w:val="17"/>
          <w:szCs w:val="17"/>
          <w:color w:val="333333"/>
        </w:rPr>
        <w:t>In additon, during each of the years ended December 31, 2023, December 31, 2024 and December 31, 2025, the Company has not made charitable contributons to any organizaton in which a director serves as an employee, ofcer, director, trustee or partner, which in any single year exceeded the greater of $1.0 million or 2% of such organizaton’s gross revenues.</w:t>
      </w:r>
    </w:p>
    <w:p>
      <w:pPr>
        <w:spacing w:after="0" w:line="143"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13</w:t>
      </w:r>
    </w:p>
    <w:p>
      <w:pPr>
        <w:sectPr>
          <w:pgSz w:w="11900" w:h="16838" w:orient="portrait"/>
          <w:cols w:equalWidth="0" w:num="1">
            <w:col w:w="11040"/>
          </w:cols>
          <w:pgMar w:left="320" w:top="478"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PROPOSAL NO. 1 — ELECT AS DIRECTORS THE EIGHT NOMINEES NAMED IN THE PROXY STATEMENT</w:t>
      </w:r>
    </w:p>
    <w:p>
      <w:pPr>
        <w:spacing w:after="0" w:line="212" w:lineRule="exact"/>
        <w:rPr>
          <w:sz w:val="20"/>
          <w:szCs w:val="20"/>
          <w:color w:val="auto"/>
        </w:rPr>
      </w:pPr>
    </w:p>
    <w:p>
      <w:pPr>
        <w:ind w:left="160" w:right="560"/>
        <w:spacing w:after="0" w:line="232" w:lineRule="auto"/>
        <w:rPr>
          <w:sz w:val="20"/>
          <w:szCs w:val="20"/>
          <w:color w:val="auto"/>
        </w:rPr>
      </w:pPr>
      <w:r>
        <w:rPr>
          <w:rFonts w:ascii="Calibri" w:cs="Calibri" w:eastAsia="Calibri" w:hAnsi="Calibri"/>
          <w:sz w:val="17"/>
          <w:szCs w:val="17"/>
          <w:color w:val="333333"/>
        </w:rPr>
        <w:t>Each of the directors nominated by the Board is standing for electon at the Annual Meetng. Each nominee, if elected, will serve as a director for a one-year term untl the next annual meetng of shareholders and untl his or her successor is duly elected and qualifes or untl his or her death, resignaton, retrement or removal (whichever occurs earliest).</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do not know of any reason why any nominee would be unable to serve as a director, if elected. If any nominee is unable to serve or, for good cause, will not serve, which is not antcipated, the NCGSR Commitee may identfy and recommend a candidate or candidates to the Board as a potental substtute nominee or nominees, and, if the Board agrees with the NCGSR Commitee’s recommendaton, it will nominate such person(s). If that happens, all valid proxies will be voted “FOR” the electon of the substtute nominee or nominees designated by the Board. Alternatvely, the Board may determine to keep a vacancy open or reduce the size of the Board. Shareholders may not vote for a greater number of persons than the number of nominees named.</w:t>
      </w:r>
    </w:p>
    <w:p>
      <w:pPr>
        <w:spacing w:after="0" w:line="214" w:lineRule="exact"/>
        <w:rPr>
          <w:sz w:val="20"/>
          <w:szCs w:val="20"/>
          <w:color w:val="auto"/>
        </w:rPr>
      </w:pPr>
    </w:p>
    <w:p>
      <w:pPr>
        <w:ind w:left="160"/>
        <w:spacing w:after="0" w:line="233" w:lineRule="auto"/>
        <w:rPr>
          <w:sz w:val="20"/>
          <w:szCs w:val="20"/>
          <w:color w:val="auto"/>
        </w:rPr>
      </w:pPr>
      <w:r>
        <w:rPr>
          <w:rFonts w:ascii="Calibri" w:cs="Calibri" w:eastAsia="Calibri" w:hAnsi="Calibri"/>
          <w:sz w:val="17"/>
          <w:szCs w:val="17"/>
          <w:color w:val="333333"/>
        </w:rPr>
        <w:t xml:space="preserve">More detailed informaton about each of the nominees is provided in the secton of this Proxy Statement ttled “Informaton About The Board Of Directors And Commitees — Informaton About The Nominees For Director” beginning on </w:t>
      </w:r>
      <w:r>
        <w:rPr>
          <w:rFonts w:ascii="Calibri" w:cs="Calibri" w:eastAsia="Calibri" w:hAnsi="Calibri"/>
          <w:sz w:val="17"/>
          <w:szCs w:val="17"/>
          <w:color w:val="0591DB"/>
        </w:rPr>
        <w:t>page 15</w:t>
      </w:r>
      <w:r>
        <w:rPr>
          <w:rFonts w:ascii="Calibri" w:cs="Calibri" w:eastAsia="Calibri" w:hAnsi="Calibri"/>
          <w:sz w:val="17"/>
          <w:szCs w:val="17"/>
          <w:color w:val="333333"/>
        </w:rPr>
        <w:t xml:space="preserve"> of this Proxy Statement.</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Our policy is that all incumbent directors are expected to atend the Annual Meetng, except in cases of serious illness or extreme hardship.</w:t>
      </w:r>
    </w:p>
    <w:p>
      <w:pPr>
        <w:spacing w:after="0" w:line="212"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b w:val="1"/>
          <w:bCs w:val="1"/>
          <w:i w:val="1"/>
          <w:iCs w:val="1"/>
          <w:color w:val="333333"/>
        </w:rPr>
        <w:t xml:space="preserve">Shareholder Approval Required. </w:t>
      </w:r>
      <w:r>
        <w:rPr>
          <w:rFonts w:ascii="Calibri" w:cs="Calibri" w:eastAsia="Calibri" w:hAnsi="Calibri"/>
          <w:sz w:val="17"/>
          <w:szCs w:val="17"/>
          <w:color w:val="333333"/>
        </w:rPr>
        <w:t>Each nominee will be elected as a director if he or she receives the afrmatve vote of a majority of the total votes cast</w:t>
      </w:r>
      <w:r>
        <w:rPr>
          <w:rFonts w:ascii="Calibri" w:cs="Calibri" w:eastAsia="Calibri" w:hAnsi="Calibri"/>
          <w:sz w:val="17"/>
          <w:szCs w:val="17"/>
          <w:b w:val="1"/>
          <w:bCs w:val="1"/>
          <w:i w:val="1"/>
          <w:iCs w:val="1"/>
          <w:color w:val="333333"/>
        </w:rPr>
        <w:t xml:space="preserve"> </w:t>
      </w:r>
      <w:r>
        <w:rPr>
          <w:rFonts w:ascii="Calibri" w:cs="Calibri" w:eastAsia="Calibri" w:hAnsi="Calibri"/>
          <w:sz w:val="17"/>
          <w:szCs w:val="17"/>
          <w:color w:val="333333"/>
        </w:rPr>
        <w:t xml:space="preserve">“FOR” and “AGAINST” his or her electon as a director at the Annual Meetng. Any abstentons and broker non-votes are not counted as votes cast either “FOR” or “AGAINST” with respect to a director’s electon and will have no efect on the electon of directors. Any director who does not receive the required vote will be subject to our mandatory resignaton policy, which is described in the secton of this Proxy Statement ttled “Corporate Governance — Our Signifcant Corporate Governance Policies And Practces” beginning on </w:t>
      </w:r>
      <w:r>
        <w:rPr>
          <w:rFonts w:ascii="Calibri" w:cs="Calibri" w:eastAsia="Calibri" w:hAnsi="Calibri"/>
          <w:sz w:val="17"/>
          <w:szCs w:val="17"/>
          <w:color w:val="0591DB"/>
        </w:rPr>
        <w:t>page 32</w:t>
      </w:r>
      <w:r>
        <w:rPr>
          <w:rFonts w:ascii="Calibri" w:cs="Calibri" w:eastAsia="Calibri" w:hAnsi="Calibri"/>
          <w:sz w:val="17"/>
          <w:szCs w:val="17"/>
          <w:color w:val="333333"/>
        </w:rPr>
        <w:t xml:space="preserve"> of this Proxy Statement.</w:t>
      </w:r>
    </w:p>
    <w:p>
      <w:pPr>
        <w:spacing w:after="0" w:line="209"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b w:val="1"/>
          <w:bCs w:val="1"/>
          <w:color w:val="333333"/>
        </w:rPr>
        <w:t>The Board of Directors Unanimously Recommends That You Vote FOR the Electon of All Eight Nominees as Directors.</w:t>
      </w:r>
    </w:p>
    <w:p>
      <w:pPr>
        <w:spacing w:after="0" w:line="140"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14</w:t>
      </w:r>
    </w:p>
    <w:p>
      <w:pPr>
        <w:sectPr>
          <w:pgSz w:w="11900" w:h="16838" w:orient="portrait"/>
          <w:cols w:equalWidth="0" w:num="1">
            <w:col w:w="11020"/>
          </w:cols>
          <w:pgMar w:left="320" w:top="478"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INFORMATION ABOUT THE NOMINEES FOR DIRECTOR</w:t>
      </w:r>
    </w:p>
    <w:p>
      <w:pPr>
        <w:spacing w:after="0" w:line="212" w:lineRule="exact"/>
        <w:rPr>
          <w:sz w:val="20"/>
          <w:szCs w:val="20"/>
          <w:color w:val="auto"/>
        </w:rPr>
      </w:pPr>
    </w:p>
    <w:p>
      <w:pPr>
        <w:ind w:left="160" w:right="20"/>
        <w:spacing w:after="0" w:line="233" w:lineRule="auto"/>
        <w:rPr>
          <w:sz w:val="20"/>
          <w:szCs w:val="20"/>
          <w:color w:val="auto"/>
        </w:rPr>
      </w:pPr>
      <w:r>
        <w:rPr>
          <w:rFonts w:ascii="Calibri" w:cs="Calibri" w:eastAsia="Calibri" w:hAnsi="Calibri"/>
          <w:sz w:val="17"/>
          <w:szCs w:val="17"/>
          <w:color w:val="333333"/>
        </w:rPr>
        <w:t>All of the nominees were elected as directors of the Company at the 2025 Annual Meetng. Informaton about each of the directors nominated to stand for electon at the Annual Meetng is detailed below. The ages listed are as of March 5, 2026, the record date for the Annual Meetng.</w:t>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Elsy Boglioli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-2361565</wp:posOffset>
            </wp:positionV>
            <wp:extent cx="1630680" cy="2250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0680" cy="2250440"/>
                    </a:xfrm>
                    <a:prstGeom prst="rect">
                      <a:avLst/>
                    </a:prstGeom>
                    <a:noFill/>
                  </pic:spPr>
                </pic:pic>
              </a:graphicData>
            </a:graphic>
          </wp:anchor>
        </w:drawing>
      </w:r>
    </w:p>
    <w:p>
      <w:pPr>
        <w:spacing w:after="0" w:line="4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2023</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44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13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Elsy Boglioli is the Chief Executve Ofcer of Bio-Up, a consultng frm providing advisory services to companies in the healthcare technology feld, which she founded in 2019. From 2017 to 2019, Ms. Boglioli was Executve Vice President and Chief Operatng Ofcer of Cellects, a clinical-stage biopharmaceutcal company focusing on cell therapies. Ms. Boglioli has extensive experience in the consultng services industry, having been employed by The Boston Consultng Group, a leading business strategy consultng services frm, from 2006 to 2017, and previously holding various positons, including Partner and Managing Director and leader of its biotech-focused business in Europe, and serving as a member of its global Strategy and Biopharma Practce leadership teams.</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80"/>
        <w:spacing w:after="0" w:line="232" w:lineRule="auto"/>
        <w:rPr>
          <w:sz w:val="20"/>
          <w:szCs w:val="20"/>
          <w:color w:val="auto"/>
        </w:rPr>
      </w:pPr>
      <w:r>
        <w:rPr>
          <w:rFonts w:ascii="Calibri" w:cs="Calibri" w:eastAsia="Calibri" w:hAnsi="Calibri"/>
          <w:sz w:val="17"/>
          <w:szCs w:val="17"/>
          <w:color w:val="333333"/>
        </w:rPr>
        <w:t>In additon to her various Chief Executve Ofcer roles, Ms. Boglioli brings deep experience in the professional services industry to our Board. Ms. Boglioli also provides perspectves on complex issues relevant to the Company’s business, including corporate strategy, internatonal operatonal experience and the evolving healthcare industry that our Board believes qualifes her to serve as a director.</w:t>
      </w:r>
    </w:p>
    <w:p>
      <w:pPr>
        <w:spacing w:after="0" w:line="129" w:lineRule="exact"/>
        <w:rPr>
          <w:sz w:val="20"/>
          <w:szCs w:val="20"/>
          <w:color w:val="auto"/>
        </w:rPr>
      </w:pPr>
    </w:p>
    <w:p>
      <w:pPr>
        <w:jc w:val="center"/>
        <w:ind w:right="2540"/>
        <w:spacing w:after="0"/>
        <w:rPr>
          <w:sz w:val="20"/>
          <w:szCs w:val="20"/>
          <w:color w:val="auto"/>
        </w:rPr>
      </w:pPr>
      <w:r>
        <w:rPr>
          <w:rFonts w:ascii="Calibri" w:cs="Calibri" w:eastAsia="Calibri" w:hAnsi="Calibri"/>
          <w:sz w:val="17"/>
          <w:szCs w:val="17"/>
          <w:b w:val="1"/>
          <w:bCs w:val="1"/>
          <w:color w:val="0591DB"/>
        </w:rPr>
        <w:t>Other Foreign Public Company Directorships and Commitees:</w:t>
      </w:r>
    </w:p>
    <w:p>
      <w:pPr>
        <w:spacing w:after="0" w:line="127" w:lineRule="exact"/>
        <w:rPr>
          <w:sz w:val="20"/>
          <w:szCs w:val="20"/>
          <w:color w:val="auto"/>
        </w:rPr>
      </w:pPr>
    </w:p>
    <w:p>
      <w:pPr>
        <w:ind w:left="340" w:hanging="256"/>
        <w:spacing w:after="0"/>
        <w:tabs>
          <w:tab w:leader="none" w:pos="340" w:val="left"/>
        </w:tabs>
        <w:numPr>
          <w:ilvl w:val="0"/>
          <w:numId w:val="31"/>
        </w:numPr>
        <w:rPr>
          <w:rFonts w:ascii="Calibri" w:cs="Calibri" w:eastAsia="Calibri" w:hAnsi="Calibri"/>
          <w:sz w:val="17"/>
          <w:szCs w:val="17"/>
          <w:color w:val="333333"/>
        </w:rPr>
      </w:pPr>
      <w:r>
        <w:rPr>
          <w:rFonts w:ascii="Calibri" w:cs="Calibri" w:eastAsia="Calibri" w:hAnsi="Calibri"/>
          <w:sz w:val="17"/>
          <w:szCs w:val="17"/>
          <w:color w:val="333333"/>
        </w:rPr>
        <w:t>GenSight Biologics S.A. (Chair of Nominatng Commitee)</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Select Current Foreign Non-Public Company Directorships and Commitees:</w:t>
      </w:r>
    </w:p>
    <w:p>
      <w:pPr>
        <w:spacing w:after="0" w:line="127" w:lineRule="exact"/>
        <w:rPr>
          <w:sz w:val="20"/>
          <w:szCs w:val="20"/>
          <w:color w:val="auto"/>
        </w:rPr>
      </w:pPr>
    </w:p>
    <w:p>
      <w:pPr>
        <w:ind w:left="340" w:hanging="256"/>
        <w:spacing w:after="0"/>
        <w:tabs>
          <w:tab w:leader="none" w:pos="340" w:val="left"/>
        </w:tabs>
        <w:numPr>
          <w:ilvl w:val="0"/>
          <w:numId w:val="32"/>
        </w:numPr>
        <w:rPr>
          <w:rFonts w:ascii="Calibri" w:cs="Calibri" w:eastAsia="Calibri" w:hAnsi="Calibri"/>
          <w:sz w:val="17"/>
          <w:szCs w:val="17"/>
          <w:color w:val="333333"/>
        </w:rPr>
      </w:pPr>
      <w:r>
        <w:rPr>
          <w:rFonts w:ascii="Calibri" w:cs="Calibri" w:eastAsia="Calibri" w:hAnsi="Calibri"/>
          <w:sz w:val="17"/>
          <w:szCs w:val="17"/>
          <w:color w:val="333333"/>
        </w:rPr>
        <w:t>Inova.io</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2"/>
        </w:numPr>
        <w:rPr>
          <w:rFonts w:ascii="Calibri" w:cs="Calibri" w:eastAsia="Calibri" w:hAnsi="Calibri"/>
          <w:sz w:val="17"/>
          <w:szCs w:val="17"/>
          <w:color w:val="333333"/>
        </w:rPr>
      </w:pPr>
      <w:r>
        <w:rPr>
          <w:rFonts w:ascii="Calibri" w:cs="Calibri" w:eastAsia="Calibri" w:hAnsi="Calibri"/>
          <w:sz w:val="17"/>
          <w:szCs w:val="17"/>
          <w:color w:val="333333"/>
        </w:rPr>
        <w:t>Metafora Biosystems</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2"/>
        </w:numPr>
        <w:rPr>
          <w:rFonts w:ascii="Calibri" w:cs="Calibri" w:eastAsia="Calibri" w:hAnsi="Calibri"/>
          <w:sz w:val="17"/>
          <w:szCs w:val="17"/>
          <w:color w:val="333333"/>
        </w:rPr>
      </w:pPr>
      <w:r>
        <w:rPr>
          <w:rFonts w:ascii="Calibri" w:cs="Calibri" w:eastAsia="Calibri" w:hAnsi="Calibri"/>
          <w:sz w:val="17"/>
          <w:szCs w:val="17"/>
          <w:color w:val="333333"/>
        </w:rPr>
        <w:t>Treefrog Therapeutcs (Chair)</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2"/>
        </w:numPr>
        <w:rPr>
          <w:rFonts w:ascii="Calibri" w:cs="Calibri" w:eastAsia="Calibri" w:hAnsi="Calibri"/>
          <w:sz w:val="17"/>
          <w:szCs w:val="17"/>
          <w:color w:val="333333"/>
        </w:rPr>
      </w:pPr>
      <w:r>
        <w:rPr>
          <w:rFonts w:ascii="Calibri" w:cs="Calibri" w:eastAsia="Calibri" w:hAnsi="Calibri"/>
          <w:sz w:val="17"/>
          <w:szCs w:val="17"/>
          <w:color w:val="333333"/>
        </w:rPr>
        <w:t>Womed Tech</w:t>
      </w:r>
    </w:p>
    <w:p>
      <w:pPr>
        <w:spacing w:after="0" w:line="140" w:lineRule="exact"/>
        <w:rPr>
          <w:sz w:val="20"/>
          <w:szCs w:val="20"/>
          <w:color w:val="auto"/>
        </w:rPr>
      </w:pPr>
    </w:p>
    <w:p>
      <w:pPr>
        <w:ind w:left="1440"/>
        <w:spacing w:after="0"/>
        <w:rPr>
          <w:sz w:val="20"/>
          <w:szCs w:val="20"/>
          <w:color w:val="auto"/>
        </w:rPr>
      </w:pPr>
      <w:r>
        <w:rPr>
          <w:rFonts w:ascii="Calibri" w:cs="Calibri" w:eastAsia="Calibri" w:hAnsi="Calibri"/>
          <w:sz w:val="17"/>
          <w:szCs w:val="17"/>
          <w:color w:val="333333"/>
        </w:rPr>
        <w:t>15</w:t>
      </w:r>
    </w:p>
    <w:p>
      <w:pPr>
        <w:sectPr>
          <w:pgSz w:w="11900" w:h="16838" w:orient="portrait"/>
          <w:cols w:equalWidth="0" w:num="2">
            <w:col w:w="3380" w:space="720"/>
            <w:col w:w="6980"/>
          </w:cols>
          <w:pgMar w:left="320" w:top="478" w:right="4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8935" cy="22586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38935" cy="225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Claudio Costamagna</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2012</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Claudio Costamagna is Chairman of CC e Soci S.r.l., a fnancial advisory frm he founded in 2007, and CC Holdings S.r.l., its parent. Mr. Costamagna has extensive experience in investment banking, having served for 18 years, untl 2006, in various positons with The Goldman Sachs Group, Inc., culminatng as Chairman of the Investment Banking Division in Europe, the Middle East and Africa from 2004 to 2006.</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240"/>
        <w:spacing w:after="0" w:line="232" w:lineRule="auto"/>
        <w:rPr>
          <w:sz w:val="20"/>
          <w:szCs w:val="20"/>
          <w:color w:val="auto"/>
        </w:rPr>
      </w:pPr>
      <w:r>
        <w:rPr>
          <w:rFonts w:ascii="Calibri" w:cs="Calibri" w:eastAsia="Calibri" w:hAnsi="Calibri"/>
          <w:sz w:val="17"/>
          <w:szCs w:val="17"/>
          <w:color w:val="333333"/>
        </w:rPr>
        <w:t>Mr. Costamagna ofers our Board deep fnancial sector experience, including experience in corporate fnance, investment banking, mergers and acquisitons, and private equity, as well as experience with management of global corporatons. In additon, our Board believes</w:t>
      </w:r>
    </w:p>
    <w:p>
      <w:pPr>
        <w:spacing w:after="0" w:line="2" w:lineRule="exact"/>
        <w:rPr>
          <w:sz w:val="20"/>
          <w:szCs w:val="20"/>
          <w:color w:val="auto"/>
        </w:rPr>
      </w:pPr>
    </w:p>
    <w:p>
      <w:pPr>
        <w:ind w:right="40"/>
        <w:spacing w:after="0" w:line="232" w:lineRule="auto"/>
        <w:rPr>
          <w:sz w:val="20"/>
          <w:szCs w:val="20"/>
          <w:color w:val="auto"/>
        </w:rPr>
      </w:pPr>
      <w:r>
        <w:rPr>
          <w:rFonts w:ascii="Calibri" w:cs="Calibri" w:eastAsia="Calibri" w:hAnsi="Calibri"/>
          <w:sz w:val="17"/>
          <w:szCs w:val="17"/>
          <w:color w:val="333333"/>
        </w:rPr>
        <w:t>Mr. Costamagna’s knowledge of our Company, along with his experience as a Chairman of various public and private companies, qualifes him to serve as a director.</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Select Past Foreign Public Company Directorships:</w:t>
      </w:r>
    </w:p>
    <w:p>
      <w:pPr>
        <w:spacing w:after="0" w:line="127" w:lineRule="exact"/>
        <w:rPr>
          <w:sz w:val="20"/>
          <w:szCs w:val="20"/>
          <w:color w:val="auto"/>
        </w:rPr>
      </w:pPr>
    </w:p>
    <w:p>
      <w:pPr>
        <w:ind w:left="340" w:hanging="256"/>
        <w:spacing w:after="0"/>
        <w:tabs>
          <w:tab w:leader="none" w:pos="340" w:val="left"/>
        </w:tabs>
        <w:numPr>
          <w:ilvl w:val="0"/>
          <w:numId w:val="33"/>
        </w:numPr>
        <w:rPr>
          <w:rFonts w:ascii="Calibri" w:cs="Calibri" w:eastAsia="Calibri" w:hAnsi="Calibri"/>
          <w:sz w:val="17"/>
          <w:szCs w:val="17"/>
          <w:color w:val="333333"/>
        </w:rPr>
      </w:pPr>
      <w:r>
        <w:rPr>
          <w:rFonts w:ascii="Calibri" w:cs="Calibri" w:eastAsia="Calibri" w:hAnsi="Calibri"/>
          <w:sz w:val="17"/>
          <w:szCs w:val="17"/>
          <w:color w:val="333333"/>
        </w:rPr>
        <w:t>REVO S.p.A (Chairman)</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3"/>
        </w:numPr>
        <w:rPr>
          <w:rFonts w:ascii="Calibri" w:cs="Calibri" w:eastAsia="Calibri" w:hAnsi="Calibri"/>
          <w:sz w:val="17"/>
          <w:szCs w:val="17"/>
          <w:color w:val="333333"/>
        </w:rPr>
      </w:pPr>
      <w:r>
        <w:rPr>
          <w:rFonts w:ascii="Calibri" w:cs="Calibri" w:eastAsia="Calibri" w:hAnsi="Calibri"/>
          <w:sz w:val="17"/>
          <w:szCs w:val="17"/>
          <w:color w:val="333333"/>
        </w:rPr>
        <w:t>Cassa Deposit e Prestt (Chairman)</w:t>
      </w:r>
    </w:p>
    <w:p>
      <w:pPr>
        <w:spacing w:after="0" w:line="127" w:lineRule="exact"/>
        <w:rPr>
          <w:sz w:val="20"/>
          <w:szCs w:val="20"/>
          <w:color w:val="auto"/>
        </w:rPr>
      </w:pPr>
    </w:p>
    <w:p>
      <w:pPr>
        <w:jc w:val="center"/>
        <w:ind w:right="2220"/>
        <w:spacing w:after="0"/>
        <w:rPr>
          <w:sz w:val="20"/>
          <w:szCs w:val="20"/>
          <w:color w:val="auto"/>
        </w:rPr>
      </w:pPr>
      <w:r>
        <w:rPr>
          <w:rFonts w:ascii="Calibri" w:cs="Calibri" w:eastAsia="Calibri" w:hAnsi="Calibri"/>
          <w:sz w:val="17"/>
          <w:szCs w:val="17"/>
          <w:b w:val="1"/>
          <w:bCs w:val="1"/>
          <w:color w:val="0591DB"/>
        </w:rPr>
        <w:t>Select Current Foreign Non-Public Directorships and Commitees:</w:t>
      </w:r>
    </w:p>
    <w:p>
      <w:pPr>
        <w:spacing w:after="0" w:line="127" w:lineRule="exact"/>
        <w:rPr>
          <w:sz w:val="20"/>
          <w:szCs w:val="20"/>
          <w:color w:val="auto"/>
        </w:rPr>
      </w:pPr>
    </w:p>
    <w:p>
      <w:pPr>
        <w:ind w:left="340" w:hanging="256"/>
        <w:spacing w:after="0"/>
        <w:tabs>
          <w:tab w:leader="none" w:pos="340" w:val="left"/>
        </w:tabs>
        <w:numPr>
          <w:ilvl w:val="0"/>
          <w:numId w:val="34"/>
        </w:numPr>
        <w:rPr>
          <w:rFonts w:ascii="Calibri" w:cs="Calibri" w:eastAsia="Calibri" w:hAnsi="Calibri"/>
          <w:sz w:val="17"/>
          <w:szCs w:val="17"/>
          <w:color w:val="333333"/>
        </w:rPr>
      </w:pPr>
      <w:r>
        <w:rPr>
          <w:rFonts w:ascii="Calibri" w:cs="Calibri" w:eastAsia="Calibri" w:hAnsi="Calibri"/>
          <w:sz w:val="17"/>
          <w:szCs w:val="17"/>
          <w:color w:val="333333"/>
        </w:rPr>
        <w:t>CC e Soci S.r.l. (Chairman)</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4"/>
        </w:numPr>
        <w:rPr>
          <w:rFonts w:ascii="Calibri" w:cs="Calibri" w:eastAsia="Calibri" w:hAnsi="Calibri"/>
          <w:sz w:val="17"/>
          <w:szCs w:val="17"/>
          <w:color w:val="333333"/>
        </w:rPr>
      </w:pPr>
      <w:r>
        <w:rPr>
          <w:rFonts w:ascii="Calibri" w:cs="Calibri" w:eastAsia="Calibri" w:hAnsi="Calibri"/>
          <w:sz w:val="17"/>
          <w:szCs w:val="17"/>
          <w:color w:val="333333"/>
        </w:rPr>
        <w:t>Ferragamo Finanziaria S.p.A.</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4"/>
        </w:numPr>
        <w:rPr>
          <w:rFonts w:ascii="Calibri" w:cs="Calibri" w:eastAsia="Calibri" w:hAnsi="Calibri"/>
          <w:sz w:val="17"/>
          <w:szCs w:val="17"/>
          <w:color w:val="333333"/>
        </w:rPr>
      </w:pPr>
      <w:r>
        <w:rPr>
          <w:rFonts w:ascii="Calibri" w:cs="Calibri" w:eastAsia="Calibri" w:hAnsi="Calibri"/>
          <w:sz w:val="17"/>
          <w:szCs w:val="17"/>
          <w:color w:val="333333"/>
        </w:rPr>
        <w:t>Finavedi S.p.A.</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4"/>
        </w:numPr>
        <w:rPr>
          <w:rFonts w:ascii="Calibri" w:cs="Calibri" w:eastAsia="Calibri" w:hAnsi="Calibri"/>
          <w:sz w:val="17"/>
          <w:szCs w:val="17"/>
          <w:color w:val="333333"/>
        </w:rPr>
      </w:pPr>
      <w:r>
        <w:rPr>
          <w:rFonts w:ascii="Calibri" w:cs="Calibri" w:eastAsia="Calibri" w:hAnsi="Calibri"/>
          <w:sz w:val="17"/>
          <w:szCs w:val="17"/>
          <w:color w:val="333333"/>
        </w:rPr>
        <w:t>Italiana Petroli S.p.A.</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4"/>
        </w:numPr>
        <w:rPr>
          <w:rFonts w:ascii="Calibri" w:cs="Calibri" w:eastAsia="Calibri" w:hAnsi="Calibri"/>
          <w:sz w:val="17"/>
          <w:szCs w:val="17"/>
          <w:color w:val="333333"/>
        </w:rPr>
      </w:pPr>
      <w:r>
        <w:rPr>
          <w:rFonts w:ascii="Calibri" w:cs="Calibri" w:eastAsia="Calibri" w:hAnsi="Calibri"/>
          <w:sz w:val="17"/>
          <w:szCs w:val="17"/>
          <w:color w:val="333333"/>
        </w:rPr>
        <w:t>Salini Costrutori S.p.A.</w:t>
      </w:r>
    </w:p>
    <w:p>
      <w:pPr>
        <w:spacing w:after="0" w:line="131" w:lineRule="exact"/>
        <w:rPr>
          <w:rFonts w:ascii="Calibri" w:cs="Calibri" w:eastAsia="Calibri" w:hAnsi="Calibri"/>
          <w:sz w:val="17"/>
          <w:szCs w:val="17"/>
          <w:color w:val="333333"/>
        </w:rPr>
      </w:pPr>
    </w:p>
    <w:p>
      <w:pPr>
        <w:ind w:left="1440" w:right="4780" w:hanging="1356"/>
        <w:spacing w:after="0" w:line="396" w:lineRule="auto"/>
        <w:tabs>
          <w:tab w:leader="none" w:pos="347" w:val="left"/>
        </w:tabs>
        <w:numPr>
          <w:ilvl w:val="0"/>
          <w:numId w:val="34"/>
        </w:numPr>
        <w:rPr>
          <w:rFonts w:ascii="Calibri" w:cs="Calibri" w:eastAsia="Calibri" w:hAnsi="Calibri"/>
          <w:sz w:val="17"/>
          <w:szCs w:val="17"/>
          <w:color w:val="333333"/>
        </w:rPr>
      </w:pPr>
      <w:r>
        <w:rPr>
          <w:rFonts w:ascii="Calibri" w:cs="Calibri" w:eastAsia="Calibri" w:hAnsi="Calibri"/>
          <w:sz w:val="17"/>
          <w:szCs w:val="17"/>
          <w:color w:val="333333"/>
        </w:rPr>
        <w:t>Unopiu S.p.A. (Chairman) 16</w:t>
      </w:r>
    </w:p>
    <w:p>
      <w:pPr>
        <w:sectPr>
          <w:pgSz w:w="11900" w:h="16838" w:orient="portrait"/>
          <w:cols w:equalWidth="0" w:num="2">
            <w:col w:w="3380" w:space="720"/>
            <w:col w:w="6900"/>
          </w:cols>
          <w:pgMar w:left="320" w:top="478" w:right="5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8935" cy="2216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8935"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Nicholas C. Fanandakis</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2014</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ind w:right="20"/>
        <w:spacing w:after="0" w:line="232" w:lineRule="auto"/>
        <w:rPr>
          <w:sz w:val="20"/>
          <w:szCs w:val="20"/>
          <w:color w:val="auto"/>
        </w:rPr>
      </w:pPr>
      <w:r>
        <w:rPr>
          <w:rFonts w:ascii="Calibri" w:cs="Calibri" w:eastAsia="Calibri" w:hAnsi="Calibri"/>
          <w:sz w:val="17"/>
          <w:szCs w:val="17"/>
          <w:color w:val="333333"/>
        </w:rPr>
        <w:t>Nicholas C. Fanandakis served as Senior Advisor to the Chief Executve Ofcer of DuPont de Nemours, Inc. (“DuPont”), a leading global research and technology-based science company, from February 2020 to December 2020. In 2019, Mr. Fanandakis retred as an Executve Vice President of DuPont afer 40 years of service. Mr. Fanandakis helped lead the company through the merger with The Dow Chemical Company and subsequent business separatons. From 2009 to 2019, Mr. Fanandakis served as Chief Financial Ofcer and Executve Vice President of DuPont and led the company through major portolio transformatons. Mr. Fanandakis joined DuPont in 1979 as an accountng and business analyst, afer which he served in a variety of plant, marketng, product management and business director roles. Mr. Fanandakis served as Group Vice President of DuPont Applied BioSciences from 2008 to 2009. Mr. Fanandakis also served as Vice President and General Manager of DuPont Chemical Solutons Enterprise from 2003 untl 2007, when he was named Vice President of DuPont Corporate Plans.</w:t>
      </w:r>
    </w:p>
    <w:p>
      <w:pPr>
        <w:spacing w:after="0" w:line="134" w:lineRule="exact"/>
        <w:rPr>
          <w:sz w:val="20"/>
          <w:szCs w:val="20"/>
          <w:color w:val="auto"/>
        </w:rPr>
      </w:pPr>
    </w:p>
    <w:p>
      <w:pPr>
        <w:spacing w:after="0" w:line="233" w:lineRule="auto"/>
        <w:rPr>
          <w:sz w:val="20"/>
          <w:szCs w:val="20"/>
          <w:color w:val="auto"/>
        </w:rPr>
      </w:pPr>
      <w:r>
        <w:rPr>
          <w:rFonts w:ascii="Calibri" w:cs="Calibri" w:eastAsia="Calibri" w:hAnsi="Calibri"/>
          <w:sz w:val="17"/>
          <w:szCs w:val="17"/>
          <w:color w:val="333333"/>
        </w:rPr>
        <w:t>In 2023, Mr. Fanandakis received the CERT Certfcate in Cybersecurity Oversight from the Sofware Engineering Insttute of Carnegie Mellon University.</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120"/>
        <w:spacing w:after="0" w:line="232" w:lineRule="auto"/>
        <w:rPr>
          <w:sz w:val="20"/>
          <w:szCs w:val="20"/>
          <w:color w:val="auto"/>
        </w:rPr>
      </w:pPr>
      <w:r>
        <w:rPr>
          <w:rFonts w:ascii="Calibri" w:cs="Calibri" w:eastAsia="Calibri" w:hAnsi="Calibri"/>
          <w:sz w:val="17"/>
          <w:szCs w:val="17"/>
          <w:color w:val="333333"/>
        </w:rPr>
        <w:t>Mr. Fanandakis ofers our Board governance, informaton technology, accountng and fnancial reportng experience, including corporate fnance, tax, mergers and acquisitons, banking and risk management. In additon, our Board believes Mr. Fanandakis’s knowledge of our Company, along with his experience as a director of various public companies, qualifes him to serve as a director.</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Other Public Company Directorships and Commitees:</w:t>
      </w:r>
    </w:p>
    <w:p>
      <w:pPr>
        <w:spacing w:after="0" w:line="131" w:lineRule="exact"/>
        <w:rPr>
          <w:sz w:val="20"/>
          <w:szCs w:val="20"/>
          <w:color w:val="auto"/>
        </w:rPr>
      </w:pPr>
    </w:p>
    <w:p>
      <w:pPr>
        <w:ind w:left="340" w:right="840" w:hanging="256"/>
        <w:spacing w:after="0" w:line="233" w:lineRule="auto"/>
        <w:tabs>
          <w:tab w:leader="none" w:pos="340" w:val="left"/>
        </w:tabs>
        <w:numPr>
          <w:ilvl w:val="0"/>
          <w:numId w:val="35"/>
        </w:numPr>
        <w:rPr>
          <w:rFonts w:ascii="Calibri" w:cs="Calibri" w:eastAsia="Calibri" w:hAnsi="Calibri"/>
          <w:sz w:val="17"/>
          <w:szCs w:val="17"/>
          <w:color w:val="333333"/>
        </w:rPr>
      </w:pPr>
      <w:r>
        <w:rPr>
          <w:rFonts w:ascii="Calibri" w:cs="Calibri" w:eastAsia="Calibri" w:hAnsi="Calibri"/>
          <w:sz w:val="17"/>
          <w:szCs w:val="17"/>
          <w:color w:val="333333"/>
        </w:rPr>
        <w:t>Duke Energy Corp. (Member of Audit Commitee and Member of Finance and Risk Management Commitee)</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Past Public Company Directorships and Commitees:</w:t>
      </w:r>
    </w:p>
    <w:p>
      <w:pPr>
        <w:spacing w:after="0" w:line="131" w:lineRule="exact"/>
        <w:rPr>
          <w:sz w:val="20"/>
          <w:szCs w:val="20"/>
          <w:color w:val="auto"/>
        </w:rPr>
      </w:pPr>
    </w:p>
    <w:p>
      <w:pPr>
        <w:ind w:left="340" w:right="740" w:hanging="256"/>
        <w:spacing w:after="0" w:line="233" w:lineRule="auto"/>
        <w:tabs>
          <w:tab w:leader="none" w:pos="340" w:val="left"/>
        </w:tabs>
        <w:numPr>
          <w:ilvl w:val="0"/>
          <w:numId w:val="36"/>
        </w:numPr>
        <w:rPr>
          <w:rFonts w:ascii="Calibri" w:cs="Calibri" w:eastAsia="Calibri" w:hAnsi="Calibri"/>
          <w:sz w:val="17"/>
          <w:szCs w:val="17"/>
          <w:color w:val="333333"/>
        </w:rPr>
      </w:pPr>
      <w:r>
        <w:rPr>
          <w:rFonts w:ascii="Calibri" w:cs="Calibri" w:eastAsia="Calibri" w:hAnsi="Calibri"/>
          <w:sz w:val="17"/>
          <w:szCs w:val="17"/>
          <w:color w:val="333333"/>
        </w:rPr>
        <w:t>ITT Inc. (Member of Audit Commitee and Member of Compensaton and Personnel Commitee)</w:t>
      </w:r>
    </w:p>
    <w:p>
      <w:pPr>
        <w:spacing w:after="0" w:line="141" w:lineRule="exact"/>
        <w:rPr>
          <w:sz w:val="20"/>
          <w:szCs w:val="20"/>
          <w:color w:val="auto"/>
        </w:rPr>
      </w:pPr>
    </w:p>
    <w:p>
      <w:pPr>
        <w:ind w:left="1440"/>
        <w:spacing w:after="0"/>
        <w:rPr>
          <w:sz w:val="20"/>
          <w:szCs w:val="20"/>
          <w:color w:val="auto"/>
        </w:rPr>
      </w:pPr>
      <w:r>
        <w:rPr>
          <w:rFonts w:ascii="Calibri" w:cs="Calibri" w:eastAsia="Calibri" w:hAnsi="Calibri"/>
          <w:sz w:val="17"/>
          <w:szCs w:val="17"/>
          <w:color w:val="333333"/>
        </w:rPr>
        <w:t>17</w:t>
      </w:r>
    </w:p>
    <w:p>
      <w:pPr>
        <w:sectPr>
          <w:pgSz w:w="11900" w:h="16838" w:orient="portrait"/>
          <w:cols w:equalWidth="0" w:num="2">
            <w:col w:w="3380" w:space="720"/>
            <w:col w:w="6960"/>
          </w:cols>
          <w:pgMar w:left="320" w:top="478"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8935" cy="22675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8935"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Steven H. Gunby</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2014</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Steven H. Gunby joined the Company as its President and Chief Executve Ofcer on January 20, 2014. Mr. Gunby has extensive experience in the consultng services industry, having formerly been employed by The Boston Consultng Group, a leading business strategy consultng services frm, for more than 30 years, beginning in 1983. The positons he held with The Boston Consultng Group include Global Leader, Transformaton, from 2011 to 2014, and Chairman, North and South America, from 2003 to 2009. He also held other major managerial roles in his capacity as a Senior Partner and Managing Director since 1993, including serving as a member of The Boston Consultng Group’s Executve Commitee.</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40"/>
        <w:spacing w:after="0" w:line="232" w:lineRule="auto"/>
        <w:rPr>
          <w:sz w:val="20"/>
          <w:szCs w:val="20"/>
          <w:color w:val="auto"/>
        </w:rPr>
      </w:pPr>
      <w:r>
        <w:rPr>
          <w:rFonts w:ascii="Calibri" w:cs="Calibri" w:eastAsia="Calibri" w:hAnsi="Calibri"/>
          <w:sz w:val="17"/>
          <w:szCs w:val="17"/>
          <w:color w:val="333333"/>
        </w:rPr>
        <w:t>The Board believes that Mr. Gunby’s signifcant knowledge of our Company and strong leadership qualites, along with his professional services experience leading global corporatons through operatonal and cultural transformatons and experience as a chairman of a public company board, qualifes him to serve as a director.</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Other Public Company Directorships and Commitees:</w:t>
      </w:r>
    </w:p>
    <w:p>
      <w:pPr>
        <w:spacing w:after="0" w:line="127" w:lineRule="exact"/>
        <w:rPr>
          <w:sz w:val="20"/>
          <w:szCs w:val="20"/>
          <w:color w:val="auto"/>
        </w:rPr>
      </w:pPr>
    </w:p>
    <w:p>
      <w:pPr>
        <w:ind w:left="340" w:hanging="256"/>
        <w:spacing w:after="0"/>
        <w:tabs>
          <w:tab w:leader="none" w:pos="340" w:val="left"/>
        </w:tabs>
        <w:numPr>
          <w:ilvl w:val="0"/>
          <w:numId w:val="37"/>
        </w:numPr>
        <w:rPr>
          <w:rFonts w:ascii="Calibri" w:cs="Calibri" w:eastAsia="Calibri" w:hAnsi="Calibri"/>
          <w:sz w:val="17"/>
          <w:szCs w:val="17"/>
          <w:color w:val="333333"/>
        </w:rPr>
      </w:pPr>
      <w:r>
        <w:rPr>
          <w:rFonts w:ascii="Calibri" w:cs="Calibri" w:eastAsia="Calibri" w:hAnsi="Calibri"/>
          <w:sz w:val="17"/>
          <w:szCs w:val="17"/>
          <w:color w:val="333333"/>
        </w:rPr>
        <w:t>Arrow Electronics, Inc. (Chairman)</w:t>
      </w:r>
    </w:p>
    <w:p>
      <w:pPr>
        <w:spacing w:after="0" w:line="200" w:lineRule="exact"/>
        <w:rPr>
          <w:rFonts w:ascii="Calibri" w:cs="Calibri" w:eastAsia="Calibri" w:hAnsi="Calibri"/>
          <w:sz w:val="17"/>
          <w:szCs w:val="17"/>
          <w:color w:val="333333"/>
        </w:rPr>
      </w:pPr>
    </w:p>
    <w:p>
      <w:pPr>
        <w:spacing w:after="0" w:line="394" w:lineRule="exact"/>
        <w:rPr>
          <w:rFonts w:ascii="Calibri" w:cs="Calibri" w:eastAsia="Calibri" w:hAnsi="Calibri"/>
          <w:sz w:val="17"/>
          <w:szCs w:val="17"/>
          <w:color w:val="333333"/>
        </w:rPr>
      </w:pPr>
    </w:p>
    <w:p>
      <w:pPr>
        <w:ind w:left="1440"/>
        <w:spacing w:after="0"/>
        <w:rPr>
          <w:rFonts w:ascii="Calibri" w:cs="Calibri" w:eastAsia="Calibri" w:hAnsi="Calibri"/>
          <w:sz w:val="17"/>
          <w:szCs w:val="17"/>
          <w:color w:val="333333"/>
        </w:rPr>
      </w:pPr>
      <w:r>
        <w:rPr>
          <w:rFonts w:ascii="Calibri" w:cs="Calibri" w:eastAsia="Calibri" w:hAnsi="Calibri"/>
          <w:sz w:val="17"/>
          <w:szCs w:val="17"/>
          <w:color w:val="333333"/>
        </w:rPr>
        <w:t>18</w:t>
      </w:r>
    </w:p>
    <w:p>
      <w:pPr>
        <w:sectPr>
          <w:pgSz w:w="11900" w:h="16838" w:orient="portrait"/>
          <w:cols w:equalWidth="0" w:num="2">
            <w:col w:w="3380" w:space="720"/>
            <w:col w:w="69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0680" cy="22421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0680"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Stephen C. Robinson</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2022</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ind w:right="40"/>
        <w:spacing w:after="0" w:line="232" w:lineRule="auto"/>
        <w:rPr>
          <w:sz w:val="20"/>
          <w:szCs w:val="20"/>
          <w:color w:val="auto"/>
        </w:rPr>
      </w:pPr>
      <w:r>
        <w:rPr>
          <w:rFonts w:ascii="Calibri" w:cs="Calibri" w:eastAsia="Calibri" w:hAnsi="Calibri"/>
          <w:sz w:val="17"/>
          <w:szCs w:val="17"/>
          <w:color w:val="333333"/>
        </w:rPr>
        <w:t>Stephen C. Robinson is a retred partner of Skadden, Arps, Slate, Meagher &amp; Flom LLP (“Skadden”), a multnatonal law frm. Mr. Robinson joined Skadden in 2010 practcing in its litgaton department, with a focus on government enforcement and white collar crime, untl his retrement in 2021. Mr. Robinson previously served as a U.S. District Judge for the U.S. District Court for the Southern District of New York from 2003 to 2010, for which he was nominated by President George W. Bush. Prior to serving on the Southern District court, Mr. Robinson held several other positons in government. From 1998 to 2001, he served as a U.S. Atorney for the District of Connectcut, for which he was nominated by President William J. Clinton. From 1993 to 1995, he served as Principal Deputy General Counsel for the Federal Bureau of Investgaton. Mr. Robinson has also served in multple leadership and management roles, including as the Chief Executve Ofcer of Empower New Haven, a non-proft agency focused on urban development social services, from 2002 to 2003, and as the Chief Compliance Ofcer of Aetna U.S. Healthcare, a managed health care company, from 1996 to 1998.</w:t>
      </w:r>
    </w:p>
    <w:p>
      <w:pPr>
        <w:spacing w:after="0" w:line="134" w:lineRule="exact"/>
        <w:rPr>
          <w:sz w:val="20"/>
          <w:szCs w:val="20"/>
          <w:color w:val="auto"/>
        </w:rPr>
      </w:pPr>
    </w:p>
    <w:p>
      <w:pPr>
        <w:ind w:right="60"/>
        <w:spacing w:after="0" w:line="233" w:lineRule="auto"/>
        <w:rPr>
          <w:sz w:val="20"/>
          <w:szCs w:val="20"/>
          <w:color w:val="auto"/>
        </w:rPr>
      </w:pPr>
      <w:r>
        <w:rPr>
          <w:rFonts w:ascii="Calibri" w:cs="Calibri" w:eastAsia="Calibri" w:hAnsi="Calibri"/>
          <w:sz w:val="17"/>
          <w:szCs w:val="17"/>
          <w:color w:val="333333"/>
        </w:rPr>
        <w:t>In 2023, Mr. Robinson completed the Certfcate program in Navigatng Emerging Technologies and More in a Complex World from the Cornell Tech Board Insttute.</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jc w:val="both"/>
        <w:spacing w:after="0" w:line="232" w:lineRule="auto"/>
        <w:rPr>
          <w:sz w:val="20"/>
          <w:szCs w:val="20"/>
          <w:color w:val="auto"/>
        </w:rPr>
      </w:pPr>
      <w:r>
        <w:rPr>
          <w:rFonts w:ascii="Calibri" w:cs="Calibri" w:eastAsia="Calibri" w:hAnsi="Calibri"/>
          <w:sz w:val="17"/>
          <w:szCs w:val="17"/>
          <w:color w:val="333333"/>
        </w:rPr>
        <w:t>The Board believes that Mr. Robinson’s substantal legal experience with respect to compliance and risk management, litgaton maters and government regulaton, along with his experience serving on public and private company boards, qualifes him to serve as a director.</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Past Public Company Directorships and Commitees:</w:t>
      </w:r>
    </w:p>
    <w:p>
      <w:pPr>
        <w:spacing w:after="0" w:line="127" w:lineRule="exact"/>
        <w:rPr>
          <w:sz w:val="20"/>
          <w:szCs w:val="20"/>
          <w:color w:val="auto"/>
        </w:rPr>
      </w:pPr>
    </w:p>
    <w:p>
      <w:pPr>
        <w:ind w:left="340" w:hanging="256"/>
        <w:spacing w:after="0"/>
        <w:tabs>
          <w:tab w:leader="none" w:pos="340" w:val="left"/>
        </w:tabs>
        <w:numPr>
          <w:ilvl w:val="0"/>
          <w:numId w:val="38"/>
        </w:numPr>
        <w:rPr>
          <w:rFonts w:ascii="Calibri" w:cs="Calibri" w:eastAsia="Calibri" w:hAnsi="Calibri"/>
          <w:sz w:val="17"/>
          <w:szCs w:val="17"/>
          <w:color w:val="333333"/>
        </w:rPr>
      </w:pPr>
      <w:r>
        <w:rPr>
          <w:rFonts w:ascii="Calibri" w:cs="Calibri" w:eastAsia="Calibri" w:hAnsi="Calibri"/>
          <w:sz w:val="17"/>
          <w:szCs w:val="17"/>
          <w:color w:val="333333"/>
        </w:rPr>
        <w:t>Dycom Industries, Inc. (Member of Audit Commitee and Member of Finance Commitee)</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Select Non-Public Directorships and Commitees:</w:t>
      </w:r>
    </w:p>
    <w:p>
      <w:pPr>
        <w:spacing w:after="0" w:line="127" w:lineRule="exact"/>
        <w:rPr>
          <w:sz w:val="20"/>
          <w:szCs w:val="20"/>
          <w:color w:val="auto"/>
        </w:rPr>
      </w:pPr>
    </w:p>
    <w:p>
      <w:pPr>
        <w:ind w:left="340" w:hanging="256"/>
        <w:spacing w:after="0"/>
        <w:tabs>
          <w:tab w:leader="none" w:pos="340" w:val="left"/>
        </w:tabs>
        <w:numPr>
          <w:ilvl w:val="0"/>
          <w:numId w:val="39"/>
        </w:numPr>
        <w:rPr>
          <w:rFonts w:ascii="Calibri" w:cs="Calibri" w:eastAsia="Calibri" w:hAnsi="Calibri"/>
          <w:sz w:val="17"/>
          <w:szCs w:val="17"/>
          <w:color w:val="333333"/>
        </w:rPr>
      </w:pPr>
      <w:r>
        <w:rPr>
          <w:rFonts w:ascii="Calibri" w:cs="Calibri" w:eastAsia="Calibri" w:hAnsi="Calibri"/>
          <w:sz w:val="17"/>
          <w:szCs w:val="17"/>
          <w:color w:val="333333"/>
        </w:rPr>
        <w:t>Cornell University (Trustee)</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9"/>
        </w:numPr>
        <w:rPr>
          <w:rFonts w:ascii="Calibri" w:cs="Calibri" w:eastAsia="Calibri" w:hAnsi="Calibri"/>
          <w:sz w:val="17"/>
          <w:szCs w:val="17"/>
          <w:color w:val="333333"/>
        </w:rPr>
      </w:pPr>
      <w:r>
        <w:rPr>
          <w:rFonts w:ascii="Calibri" w:cs="Calibri" w:eastAsia="Calibri" w:hAnsi="Calibri"/>
          <w:sz w:val="17"/>
          <w:szCs w:val="17"/>
          <w:color w:val="333333"/>
        </w:rPr>
        <w:t>Lincoln Center for the Performing Arts (Trustee)</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9"/>
        </w:numPr>
        <w:rPr>
          <w:rFonts w:ascii="Calibri" w:cs="Calibri" w:eastAsia="Calibri" w:hAnsi="Calibri"/>
          <w:sz w:val="17"/>
          <w:szCs w:val="17"/>
          <w:color w:val="333333"/>
        </w:rPr>
      </w:pPr>
      <w:r>
        <w:rPr>
          <w:rFonts w:ascii="Calibri" w:cs="Calibri" w:eastAsia="Calibri" w:hAnsi="Calibri"/>
          <w:sz w:val="17"/>
          <w:szCs w:val="17"/>
          <w:color w:val="333333"/>
        </w:rPr>
        <w:t>The New York Community Trust (Trustee)</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39"/>
        </w:numPr>
        <w:rPr>
          <w:rFonts w:ascii="Calibri" w:cs="Calibri" w:eastAsia="Calibri" w:hAnsi="Calibri"/>
          <w:sz w:val="17"/>
          <w:szCs w:val="17"/>
          <w:color w:val="333333"/>
        </w:rPr>
      </w:pPr>
      <w:r>
        <w:rPr>
          <w:rFonts w:ascii="Calibri" w:cs="Calibri" w:eastAsia="Calibri" w:hAnsi="Calibri"/>
          <w:sz w:val="17"/>
          <w:szCs w:val="17"/>
          <w:color w:val="333333"/>
        </w:rPr>
        <w:t>Weill Cornell Medicine (Fellow)</w:t>
      </w:r>
    </w:p>
    <w:p>
      <w:pPr>
        <w:spacing w:after="0" w:line="140" w:lineRule="exact"/>
        <w:rPr>
          <w:sz w:val="20"/>
          <w:szCs w:val="20"/>
          <w:color w:val="auto"/>
        </w:rPr>
      </w:pPr>
    </w:p>
    <w:p>
      <w:pPr>
        <w:ind w:left="1440"/>
        <w:spacing w:after="0"/>
        <w:rPr>
          <w:sz w:val="20"/>
          <w:szCs w:val="20"/>
          <w:color w:val="auto"/>
        </w:rPr>
      </w:pPr>
      <w:r>
        <w:rPr>
          <w:rFonts w:ascii="Calibri" w:cs="Calibri" w:eastAsia="Calibri" w:hAnsi="Calibri"/>
          <w:sz w:val="17"/>
          <w:szCs w:val="17"/>
          <w:color w:val="333333"/>
        </w:rPr>
        <w:t>19</w:t>
      </w:r>
    </w:p>
    <w:p>
      <w:pPr>
        <w:sectPr>
          <w:pgSz w:w="11900" w:h="16838" w:orient="portrait"/>
          <w:cols w:equalWidth="0" w:num="2">
            <w:col w:w="3380" w:space="720"/>
            <w:col w:w="6980"/>
          </w:cols>
          <w:pgMar w:left="320" w:top="478"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0680" cy="2242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0680"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Laureen E. Seeger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2016</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Laureen E. Seeger is Chief Legal Ofcer of the American Express Company, a diversifed fnancial services company, having previously held the ttle of Executve Vice President and General Counsel from 2014 to 2018. From 2006 through 2014, Ms. Seeger served as Executve Vice President, General Counsel and Chief Compliance Ofcer at McKesson Corporaton, a global diversifed healthcare services company, where she led the Law, Public Afairs, Compliance and Corporate Secretary functons while guiding the company through complex legal and regulatory environments and contributng to its fnancial growth. Ms. Seeger joined McKesson in 2000 as General Counsel of its Technology Division. In this role, she provided leadership through complex merger and acquisiton transactons and product evolutons while building the Law Department and enhancing client service.</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40"/>
        <w:spacing w:after="0" w:line="232" w:lineRule="auto"/>
        <w:rPr>
          <w:sz w:val="20"/>
          <w:szCs w:val="20"/>
          <w:color w:val="auto"/>
        </w:rPr>
      </w:pPr>
      <w:r>
        <w:rPr>
          <w:rFonts w:ascii="Calibri" w:cs="Calibri" w:eastAsia="Calibri" w:hAnsi="Calibri"/>
          <w:sz w:val="17"/>
          <w:szCs w:val="17"/>
          <w:color w:val="333333"/>
        </w:rPr>
        <w:t>The Board believes that Ms. Seeger’s experience as Chief Legal Ofcer of a global, public company and knowledge of litgaton, regulatory requirements, government afairs, compliance and risk management, as well as her experience serving on private company boards, qualifes her to serve as a director.</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Select Non-Public Directorships and Commitees:</w:t>
      </w:r>
    </w:p>
    <w:p>
      <w:pPr>
        <w:spacing w:after="0" w:line="131" w:lineRule="exact"/>
        <w:rPr>
          <w:sz w:val="20"/>
          <w:szCs w:val="20"/>
          <w:color w:val="auto"/>
        </w:rPr>
      </w:pPr>
    </w:p>
    <w:p>
      <w:pPr>
        <w:ind w:left="340" w:right="580" w:hanging="256"/>
        <w:spacing w:after="0" w:line="233" w:lineRule="auto"/>
        <w:tabs>
          <w:tab w:leader="none" w:pos="340" w:val="left"/>
        </w:tabs>
        <w:numPr>
          <w:ilvl w:val="0"/>
          <w:numId w:val="40"/>
        </w:numPr>
        <w:rPr>
          <w:rFonts w:ascii="Calibri" w:cs="Calibri" w:eastAsia="Calibri" w:hAnsi="Calibri"/>
          <w:sz w:val="17"/>
          <w:szCs w:val="17"/>
          <w:color w:val="333333"/>
        </w:rPr>
      </w:pPr>
      <w:r>
        <w:rPr>
          <w:rFonts w:ascii="Calibri" w:cs="Calibri" w:eastAsia="Calibri" w:hAnsi="Calibri"/>
          <w:sz w:val="17"/>
          <w:szCs w:val="17"/>
          <w:color w:val="333333"/>
        </w:rPr>
        <w:t>Central Park Conservancy (Trustee, Member of Executve Commitee and Governance Commitee)</w:t>
      </w:r>
    </w:p>
    <w:p>
      <w:pPr>
        <w:spacing w:after="0" w:line="132" w:lineRule="exact"/>
        <w:rPr>
          <w:rFonts w:ascii="Calibri" w:cs="Calibri" w:eastAsia="Calibri" w:hAnsi="Calibri"/>
          <w:sz w:val="17"/>
          <w:szCs w:val="17"/>
          <w:color w:val="333333"/>
        </w:rPr>
      </w:pPr>
    </w:p>
    <w:p>
      <w:pPr>
        <w:ind w:left="1440" w:right="580" w:hanging="1356"/>
        <w:spacing w:after="0" w:line="318" w:lineRule="auto"/>
        <w:tabs>
          <w:tab w:leader="none" w:pos="347" w:val="left"/>
        </w:tabs>
        <w:numPr>
          <w:ilvl w:val="0"/>
          <w:numId w:val="40"/>
        </w:numPr>
        <w:rPr>
          <w:rFonts w:ascii="Calibri" w:cs="Calibri" w:eastAsia="Calibri" w:hAnsi="Calibri"/>
          <w:sz w:val="17"/>
          <w:szCs w:val="17"/>
          <w:color w:val="333333"/>
        </w:rPr>
      </w:pPr>
      <w:r>
        <w:rPr>
          <w:rFonts w:ascii="Calibri" w:cs="Calibri" w:eastAsia="Calibri" w:hAnsi="Calibri"/>
          <w:sz w:val="17"/>
          <w:szCs w:val="17"/>
          <w:color w:val="333333"/>
        </w:rPr>
        <w:t>Associaton of General Counsel (Member and Previous Chair of Executve Commitee) 20</w:t>
      </w:r>
    </w:p>
    <w:p>
      <w:pPr>
        <w:sectPr>
          <w:pgSz w:w="11900" w:h="16838" w:orient="portrait"/>
          <w:cols w:equalWidth="0" w:num="2">
            <w:col w:w="3380" w:space="720"/>
            <w:col w:w="6920"/>
          </w:cols>
          <w:pgMar w:left="320" w:top="478"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8935" cy="22675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8935"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Eric T. Steigerwalt</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2025</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Mr. Steigerwalt currently serves as the President and Chief Executve Ofcer of Brighthouse Financial, Inc. one of the largest providers of annuites and life insurance in the United States. In his role, Mr. Steigerwalt led the successful spin-of of Brighthouse Financial from MetLife in 2017. He also serves as chairman of the Brighthouse Financial Foundaton and chairman of Brighthouse Scholar Connectons, Inc.</w:t>
      </w:r>
    </w:p>
    <w:p>
      <w:pPr>
        <w:spacing w:after="0" w:line="134" w:lineRule="exact"/>
        <w:rPr>
          <w:sz w:val="20"/>
          <w:szCs w:val="20"/>
          <w:color w:val="auto"/>
        </w:rPr>
      </w:pPr>
    </w:p>
    <w:p>
      <w:pPr>
        <w:ind w:right="20"/>
        <w:spacing w:after="0"/>
        <w:rPr>
          <w:sz w:val="20"/>
          <w:szCs w:val="20"/>
          <w:color w:val="auto"/>
        </w:rPr>
      </w:pPr>
      <w:r>
        <w:rPr>
          <w:rFonts w:ascii="Calibri" w:cs="Calibri" w:eastAsia="Calibri" w:hAnsi="Calibri"/>
          <w:sz w:val="17"/>
          <w:szCs w:val="17"/>
          <w:color w:val="333333"/>
        </w:rPr>
        <w:t>Prior to the spin-of of Brighthouse Financial, Mr. Steigerwalt spent 19 years at MetLife, Inc. From 2012 to 2017, Mr. Steigerwalt served as Executve Vice President of U.S. Retail. Earlier, he served as Interim Chief Financial Ofcer from 2011 to 2012, CFO of the U.S. Business from 2010 to 2011, Senior Vice President and Treasurer from 2007 to 2009, CFO of the Individual Business from 2003 to 2007 and Senior Vice President of Investor Relatons and Financial Management from 2000 to 2003.</w:t>
      </w:r>
    </w:p>
    <w:p>
      <w:pPr>
        <w:spacing w:after="0" w:line="2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360"/>
        <w:spacing w:after="0" w:line="232" w:lineRule="auto"/>
        <w:rPr>
          <w:sz w:val="20"/>
          <w:szCs w:val="20"/>
          <w:color w:val="auto"/>
        </w:rPr>
      </w:pPr>
      <w:r>
        <w:rPr>
          <w:rFonts w:ascii="Calibri" w:cs="Calibri" w:eastAsia="Calibri" w:hAnsi="Calibri"/>
          <w:sz w:val="17"/>
          <w:szCs w:val="17"/>
          <w:color w:val="333333"/>
        </w:rPr>
        <w:t>Mr. Steigerwalt brings to our Board experience as a chief executve ofcer and chief fnancial ofcer and knowledge of corporate strategy and fnance, as well as experience leading a corporaton through operatonal and cultural transformaton. In additon, Mr. Steigerwalt possesses experience serving as a director of various public and private companies. Our Board believes that each of these experiences qualifes Mr. Steigerwalt to serve as a director.</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Other Public Company Directorships and Commitees:</w:t>
      </w:r>
    </w:p>
    <w:p>
      <w:pPr>
        <w:spacing w:after="0" w:line="127" w:lineRule="exact"/>
        <w:rPr>
          <w:sz w:val="20"/>
          <w:szCs w:val="20"/>
          <w:color w:val="auto"/>
        </w:rPr>
      </w:pPr>
    </w:p>
    <w:p>
      <w:pPr>
        <w:ind w:left="340" w:hanging="256"/>
        <w:spacing w:after="0"/>
        <w:tabs>
          <w:tab w:leader="none" w:pos="340" w:val="left"/>
        </w:tabs>
        <w:numPr>
          <w:ilvl w:val="0"/>
          <w:numId w:val="41"/>
        </w:numPr>
        <w:rPr>
          <w:rFonts w:ascii="Calibri" w:cs="Calibri" w:eastAsia="Calibri" w:hAnsi="Calibri"/>
          <w:sz w:val="17"/>
          <w:szCs w:val="17"/>
          <w:color w:val="333333"/>
        </w:rPr>
      </w:pPr>
      <w:r>
        <w:rPr>
          <w:rFonts w:ascii="Calibri" w:cs="Calibri" w:eastAsia="Calibri" w:hAnsi="Calibri"/>
          <w:sz w:val="17"/>
          <w:szCs w:val="17"/>
          <w:color w:val="333333"/>
        </w:rPr>
        <w:t>Brighthouse Financial, Inc. (Chair of Executve Commitee)</w:t>
      </w: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Select Non-Public Directorships and Commitees:</w:t>
      </w:r>
    </w:p>
    <w:p>
      <w:pPr>
        <w:spacing w:after="0" w:line="127" w:lineRule="exact"/>
        <w:rPr>
          <w:sz w:val="20"/>
          <w:szCs w:val="20"/>
          <w:color w:val="auto"/>
        </w:rPr>
      </w:pPr>
    </w:p>
    <w:p>
      <w:pPr>
        <w:ind w:left="340" w:hanging="256"/>
        <w:spacing w:after="0"/>
        <w:tabs>
          <w:tab w:leader="none" w:pos="340" w:val="left"/>
        </w:tabs>
        <w:numPr>
          <w:ilvl w:val="0"/>
          <w:numId w:val="42"/>
        </w:numPr>
        <w:rPr>
          <w:rFonts w:ascii="Calibri" w:cs="Calibri" w:eastAsia="Calibri" w:hAnsi="Calibri"/>
          <w:sz w:val="17"/>
          <w:szCs w:val="17"/>
          <w:color w:val="333333"/>
        </w:rPr>
      </w:pPr>
      <w:r>
        <w:rPr>
          <w:rFonts w:ascii="Calibri" w:cs="Calibri" w:eastAsia="Calibri" w:hAnsi="Calibri"/>
          <w:sz w:val="17"/>
          <w:szCs w:val="17"/>
          <w:color w:val="333333"/>
        </w:rPr>
        <w:t>American Council of Life Insurers</w:t>
      </w:r>
    </w:p>
    <w:p>
      <w:pPr>
        <w:spacing w:after="0" w:line="140" w:lineRule="exact"/>
        <w:rPr>
          <w:rFonts w:ascii="Calibri" w:cs="Calibri" w:eastAsia="Calibri" w:hAnsi="Calibri"/>
          <w:sz w:val="17"/>
          <w:szCs w:val="17"/>
          <w:color w:val="333333"/>
        </w:rPr>
      </w:pPr>
    </w:p>
    <w:p>
      <w:pPr>
        <w:ind w:left="1440"/>
        <w:spacing w:after="0"/>
        <w:rPr>
          <w:rFonts w:ascii="Calibri" w:cs="Calibri" w:eastAsia="Calibri" w:hAnsi="Calibri"/>
          <w:sz w:val="17"/>
          <w:szCs w:val="17"/>
          <w:color w:val="333333"/>
        </w:rPr>
      </w:pPr>
      <w:r>
        <w:rPr>
          <w:rFonts w:ascii="Calibri" w:cs="Calibri" w:eastAsia="Calibri" w:hAnsi="Calibri"/>
          <w:sz w:val="17"/>
          <w:szCs w:val="17"/>
          <w:color w:val="333333"/>
        </w:rPr>
        <w:t>21</w:t>
      </w:r>
    </w:p>
    <w:p>
      <w:pPr>
        <w:sectPr>
          <w:pgSz w:w="11900" w:h="16838" w:orient="portrait"/>
          <w:cols w:equalWidth="0" w:num="2">
            <w:col w:w="3380" w:space="720"/>
            <w:col w:w="69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630680" cy="22421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0680"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Janet H. Zelenka</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Independent Director</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Director Since: </w:t>
      </w:r>
      <w:r>
        <w:rPr>
          <w:rFonts w:ascii="Calibri" w:cs="Calibri" w:eastAsia="Calibri" w:hAnsi="Calibri"/>
          <w:sz w:val="17"/>
          <w:szCs w:val="17"/>
          <w:color w:val="333333"/>
        </w:rPr>
        <w:t>2025</w:t>
      </w:r>
    </w:p>
    <w:p>
      <w:pPr>
        <w:spacing w:after="0" w:line="6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Principal Occupaton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-671195</wp:posOffset>
            </wp:positionV>
            <wp:extent cx="717613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1" w:lineRule="exact"/>
        <w:rPr>
          <w:sz w:val="20"/>
          <w:szCs w:val="20"/>
          <w:color w:val="auto"/>
        </w:rPr>
      </w:pPr>
    </w:p>
    <w:p>
      <w:pPr>
        <w:spacing w:after="0" w:line="232" w:lineRule="auto"/>
        <w:rPr>
          <w:sz w:val="20"/>
          <w:szCs w:val="20"/>
          <w:color w:val="auto"/>
        </w:rPr>
      </w:pPr>
      <w:r>
        <w:rPr>
          <w:rFonts w:ascii="Calibri" w:cs="Calibri" w:eastAsia="Calibri" w:hAnsi="Calibri"/>
          <w:sz w:val="17"/>
          <w:szCs w:val="17"/>
          <w:color w:val="333333"/>
        </w:rPr>
        <w:t>Ms. Zelenka is the former Executve Vice President, Chief Financial Ofcer and Chief Informaton Ofcer of Stericycle, Inc., a medical waste disposal company, which she joined in 2019 and retred from in 2024 following its acquisiton. From 2003 to 2019, Ms. Zelenka was employed by Essendant Inc., where she held various positons, including Senior Vice President, Chief Financial Ofcer and Chief Informaton Ofcer from April 2017 to March 2019, overseeing all fnance, technology and business integraton functons, and Senior Vice President and Chief Informaton Ofcer from 2015 to 2017. Earlier, Ms. Zelenka worked at SBC Ameritech (now AT&amp;T), serving in a range of IT, fnancial and operatonal roles, including Chief Financial Ofcer of Ameritech from 1997 to 1999.</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Key Skills and Qualifcatons</w:t>
      </w:r>
    </w:p>
    <w:p>
      <w:pPr>
        <w:spacing w:after="0" w:line="131" w:lineRule="exact"/>
        <w:rPr>
          <w:sz w:val="20"/>
          <w:szCs w:val="20"/>
          <w:color w:val="auto"/>
        </w:rPr>
      </w:pPr>
    </w:p>
    <w:p>
      <w:pPr>
        <w:ind w:right="100"/>
        <w:spacing w:after="0" w:line="232" w:lineRule="auto"/>
        <w:rPr>
          <w:sz w:val="20"/>
          <w:szCs w:val="20"/>
          <w:color w:val="auto"/>
        </w:rPr>
      </w:pPr>
      <w:r>
        <w:rPr>
          <w:rFonts w:ascii="Calibri" w:cs="Calibri" w:eastAsia="Calibri" w:hAnsi="Calibri"/>
          <w:sz w:val="17"/>
          <w:szCs w:val="17"/>
          <w:color w:val="333333"/>
        </w:rPr>
        <w:t>Ms. Zelenka brings to our Board her experience as a chief fnancial ofcer and chief informaton ofcer and knowledge of corporate fnance, accountng, mergers and acquisitons, informaton technology, cybersecurity and artfcial intelligence. In additon, Ms. Zelenka possesses experience serving as audit commitee chair of various private company boards. Our Board believes that each of these experiences qualifes Ms. Zelenka to serve as a director.</w:t>
      </w:r>
    </w:p>
    <w:p>
      <w:pPr>
        <w:spacing w:after="0" w:line="1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0591DB"/>
        </w:rPr>
        <w:t>Select Non-Public Directorships and Commitees:</w:t>
      </w:r>
    </w:p>
    <w:p>
      <w:pPr>
        <w:spacing w:after="0" w:line="127" w:lineRule="exact"/>
        <w:rPr>
          <w:sz w:val="20"/>
          <w:szCs w:val="20"/>
          <w:color w:val="auto"/>
        </w:rPr>
      </w:pPr>
    </w:p>
    <w:p>
      <w:pPr>
        <w:ind w:left="340" w:hanging="256"/>
        <w:spacing w:after="0"/>
        <w:tabs>
          <w:tab w:leader="none" w:pos="340" w:val="left"/>
        </w:tabs>
        <w:numPr>
          <w:ilvl w:val="0"/>
          <w:numId w:val="43"/>
        </w:numPr>
        <w:rPr>
          <w:rFonts w:ascii="Calibri" w:cs="Calibri" w:eastAsia="Calibri" w:hAnsi="Calibri"/>
          <w:sz w:val="17"/>
          <w:szCs w:val="17"/>
          <w:color w:val="333333"/>
        </w:rPr>
      </w:pPr>
      <w:r>
        <w:rPr>
          <w:rFonts w:ascii="Calibri" w:cs="Calibri" w:eastAsia="Calibri" w:hAnsi="Calibri"/>
          <w:sz w:val="17"/>
          <w:szCs w:val="17"/>
          <w:color w:val="333333"/>
        </w:rPr>
        <w:t>IDEAL Industries (Audit Commitee Chair)</w:t>
      </w:r>
    </w:p>
    <w:p>
      <w:pPr>
        <w:spacing w:after="0" w:line="126" w:lineRule="exact"/>
        <w:rPr>
          <w:rFonts w:ascii="Calibri" w:cs="Calibri" w:eastAsia="Calibri" w:hAnsi="Calibri"/>
          <w:sz w:val="17"/>
          <w:szCs w:val="17"/>
          <w:color w:val="333333"/>
        </w:rPr>
      </w:pPr>
    </w:p>
    <w:p>
      <w:pPr>
        <w:ind w:left="340" w:hanging="256"/>
        <w:spacing w:after="0"/>
        <w:tabs>
          <w:tab w:leader="none" w:pos="340" w:val="left"/>
        </w:tabs>
        <w:numPr>
          <w:ilvl w:val="0"/>
          <w:numId w:val="43"/>
        </w:numPr>
        <w:rPr>
          <w:rFonts w:ascii="Calibri" w:cs="Calibri" w:eastAsia="Calibri" w:hAnsi="Calibri"/>
          <w:sz w:val="17"/>
          <w:szCs w:val="17"/>
          <w:color w:val="333333"/>
        </w:rPr>
      </w:pPr>
      <w:r>
        <w:rPr>
          <w:rFonts w:ascii="Calibri" w:cs="Calibri" w:eastAsia="Calibri" w:hAnsi="Calibri"/>
          <w:sz w:val="17"/>
          <w:szCs w:val="17"/>
          <w:color w:val="333333"/>
        </w:rPr>
        <w:t>U.S. Venture (Audit Commitee Chair)</w:t>
      </w:r>
    </w:p>
    <w:p>
      <w:pPr>
        <w:spacing w:after="0" w:line="274" w:lineRule="exact"/>
        <w:rPr>
          <w:sz w:val="20"/>
          <w:szCs w:val="20"/>
          <w:color w:val="auto"/>
        </w:rPr>
      </w:pPr>
    </w:p>
    <w:p>
      <w:pPr>
        <w:ind w:left="1440"/>
        <w:spacing w:after="0"/>
        <w:rPr>
          <w:sz w:val="20"/>
          <w:szCs w:val="20"/>
          <w:color w:val="auto"/>
        </w:rPr>
      </w:pPr>
      <w:r>
        <w:rPr>
          <w:rFonts w:ascii="Calibri" w:cs="Calibri" w:eastAsia="Calibri" w:hAnsi="Calibri"/>
          <w:sz w:val="17"/>
          <w:szCs w:val="17"/>
          <w:color w:val="333333"/>
        </w:rPr>
        <w:t>22</w:t>
      </w:r>
    </w:p>
    <w:p>
      <w:pPr>
        <w:sectPr>
          <w:pgSz w:w="11900" w:h="16838" w:orient="portrait"/>
          <w:cols w:equalWidth="0" w:num="2">
            <w:col w:w="3380" w:space="720"/>
            <w:col w:w="69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DIRECTOR ATTENDANCE AT MEETINGS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Director Atendance at Board and Commitee Meetngs</w:t>
      </w:r>
    </w:p>
    <w:p>
      <w:pPr>
        <w:spacing w:after="0" w:line="212" w:lineRule="exact"/>
        <w:rPr>
          <w:sz w:val="20"/>
          <w:szCs w:val="20"/>
          <w:color w:val="auto"/>
        </w:rPr>
      </w:pPr>
    </w:p>
    <w:p>
      <w:pPr>
        <w:ind w:left="160" w:right="20"/>
        <w:spacing w:after="0"/>
        <w:rPr>
          <w:sz w:val="20"/>
          <w:szCs w:val="20"/>
          <w:color w:val="auto"/>
        </w:rPr>
      </w:pPr>
      <w:r>
        <w:rPr>
          <w:rFonts w:ascii="Calibri" w:cs="Calibri" w:eastAsia="Calibri" w:hAnsi="Calibri"/>
          <w:sz w:val="17"/>
          <w:szCs w:val="17"/>
          <w:color w:val="333333"/>
        </w:rPr>
        <w:t>Our Board and its Commitees meet throughout the year on a set schedule, hold special meetngs as needed and act by writen consent from tme to tme. Each director is expected to atend all meetngs of the Board and of each Commitee of the Board on which he or she serves unless excused for reasons of serious illness or extreme hardship. During each director’s term of ofce in 2025, each director atended 75% or more of the aggregate of the total number of regular and special meetngs held by the Board and each Commitee on which he or she served during the period in which he or she served as a director.</w:t>
      </w:r>
    </w:p>
    <w:p>
      <w:pPr>
        <w:spacing w:after="0" w:line="38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In 2025, the Board and each Commitee held the following number of meetngs: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4180" w:type="dxa"/>
            <w:vAlign w:val="bottom"/>
            <w:tcBorders>
              <w:top w:val="single" w:sz="8" w:color="0591DB"/>
              <w:left w:val="single" w:sz="8" w:color="0591DB"/>
              <w:right w:val="single" w:sz="8" w:color="0591DB"/>
            </w:tcBorders>
          </w:tcPr>
          <w:p>
            <w:pPr>
              <w:spacing w:after="0"/>
              <w:rPr>
                <w:sz w:val="19"/>
                <w:szCs w:val="19"/>
                <w:color w:val="auto"/>
              </w:rPr>
            </w:pPr>
          </w:p>
        </w:tc>
        <w:tc>
          <w:tcPr>
            <w:tcW w:w="1760" w:type="dxa"/>
            <w:vAlign w:val="bottom"/>
            <w:tcBorders>
              <w:top w:val="single" w:sz="8" w:color="0591DB"/>
              <w:right w:val="single" w:sz="8" w:color="0591DB"/>
            </w:tcBorders>
          </w:tcPr>
          <w:p>
            <w:pPr>
              <w:jc w:val="center"/>
              <w:ind w:left="343"/>
              <w:spacing w:after="0" w:line="221" w:lineRule="exact"/>
              <w:rPr>
                <w:sz w:val="20"/>
                <w:szCs w:val="20"/>
                <w:color w:val="auto"/>
              </w:rPr>
            </w:pPr>
            <w:r>
              <w:rPr>
                <w:rFonts w:ascii="Calibri" w:cs="Calibri" w:eastAsia="Calibri" w:hAnsi="Calibri"/>
                <w:sz w:val="21"/>
                <w:szCs w:val="21"/>
                <w:b w:val="1"/>
                <w:bCs w:val="1"/>
                <w:color w:val="0591DB"/>
                <w:w w:val="95"/>
              </w:rPr>
              <w:t>BOARD OF</w:t>
            </w:r>
          </w:p>
        </w:tc>
        <w:tc>
          <w:tcPr>
            <w:tcW w:w="152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3"/>
              </w:rPr>
              <w:t>AUDIT</w:t>
            </w:r>
          </w:p>
        </w:tc>
        <w:tc>
          <w:tcPr>
            <w:tcW w:w="196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4"/>
              </w:rPr>
              <w:t>COMPENSATION</w:t>
            </w:r>
          </w:p>
        </w:tc>
        <w:tc>
          <w:tcPr>
            <w:tcW w:w="152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6"/>
              </w:rPr>
              <w:t>NCGSR</w:t>
            </w:r>
          </w:p>
        </w:tc>
      </w:tr>
      <w:tr>
        <w:trPr>
          <w:trHeight w:val="244"/>
        </w:trPr>
        <w:tc>
          <w:tcPr>
            <w:tcW w:w="4180" w:type="dxa"/>
            <w:vAlign w:val="bottom"/>
            <w:tcBorders>
              <w:left w:val="single" w:sz="8" w:color="0591DB"/>
              <w:right w:val="single" w:sz="8" w:color="0591DB"/>
            </w:tcBorders>
          </w:tcPr>
          <w:p>
            <w:pPr>
              <w:spacing w:after="0"/>
              <w:rPr>
                <w:sz w:val="21"/>
                <w:szCs w:val="21"/>
                <w:color w:val="auto"/>
              </w:rPr>
            </w:pPr>
          </w:p>
        </w:tc>
        <w:tc>
          <w:tcPr>
            <w:tcW w:w="1760" w:type="dxa"/>
            <w:vAlign w:val="bottom"/>
            <w:tcBorders>
              <w:right w:val="single" w:sz="8" w:color="0591DB"/>
            </w:tcBorders>
          </w:tcPr>
          <w:p>
            <w:pPr>
              <w:jc w:val="center"/>
              <w:ind w:left="323"/>
              <w:spacing w:after="0" w:line="244" w:lineRule="exact"/>
              <w:rPr>
                <w:sz w:val="20"/>
                <w:szCs w:val="20"/>
                <w:color w:val="auto"/>
              </w:rPr>
            </w:pPr>
            <w:r>
              <w:rPr>
                <w:rFonts w:ascii="Calibri" w:cs="Calibri" w:eastAsia="Calibri" w:hAnsi="Calibri"/>
                <w:sz w:val="21"/>
                <w:szCs w:val="21"/>
                <w:b w:val="1"/>
                <w:bCs w:val="1"/>
                <w:color w:val="0591DB"/>
                <w:w w:val="95"/>
              </w:rPr>
              <w:t>DIRECTORS</w:t>
            </w:r>
          </w:p>
        </w:tc>
        <w:tc>
          <w:tcPr>
            <w:tcW w:w="152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5"/>
              </w:rPr>
              <w:t>COMMITTEE</w:t>
            </w:r>
          </w:p>
        </w:tc>
        <w:tc>
          <w:tcPr>
            <w:tcW w:w="196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5"/>
              </w:rPr>
              <w:t>COMMITTEE</w:t>
            </w:r>
          </w:p>
        </w:tc>
        <w:tc>
          <w:tcPr>
            <w:tcW w:w="152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5"/>
              </w:rPr>
              <w:t>COMMITTEE</w:t>
            </w:r>
          </w:p>
        </w:tc>
      </w:tr>
      <w:tr>
        <w:trPr>
          <w:trHeight w:val="44"/>
        </w:trPr>
        <w:tc>
          <w:tcPr>
            <w:tcW w:w="4180" w:type="dxa"/>
            <w:vAlign w:val="bottom"/>
            <w:tcBorders>
              <w:left w:val="single" w:sz="8" w:color="0591DB"/>
              <w:bottom w:val="single" w:sz="8" w:color="0591DB"/>
              <w:right w:val="single" w:sz="8" w:color="0591DB"/>
            </w:tcBorders>
          </w:tcPr>
          <w:p>
            <w:pPr>
              <w:spacing w:after="0"/>
              <w:rPr>
                <w:sz w:val="3"/>
                <w:szCs w:val="3"/>
                <w:color w:val="auto"/>
              </w:rPr>
            </w:pPr>
          </w:p>
        </w:tc>
        <w:tc>
          <w:tcPr>
            <w:tcW w:w="1760" w:type="dxa"/>
            <w:vAlign w:val="bottom"/>
            <w:tcBorders>
              <w:bottom w:val="single" w:sz="8" w:color="0591DB"/>
              <w:right w:val="single" w:sz="8" w:color="0591DB"/>
            </w:tcBorders>
          </w:tcPr>
          <w:p>
            <w:pPr>
              <w:spacing w:after="0"/>
              <w:rPr>
                <w:sz w:val="3"/>
                <w:szCs w:val="3"/>
                <w:color w:val="auto"/>
              </w:rPr>
            </w:pPr>
          </w:p>
        </w:tc>
        <w:tc>
          <w:tcPr>
            <w:tcW w:w="1520" w:type="dxa"/>
            <w:vAlign w:val="bottom"/>
            <w:tcBorders>
              <w:bottom w:val="single" w:sz="8" w:color="0591DB"/>
              <w:right w:val="single" w:sz="8" w:color="0591DB"/>
            </w:tcBorders>
          </w:tcPr>
          <w:p>
            <w:pPr>
              <w:spacing w:after="0"/>
              <w:rPr>
                <w:sz w:val="3"/>
                <w:szCs w:val="3"/>
                <w:color w:val="auto"/>
              </w:rPr>
            </w:pPr>
          </w:p>
        </w:tc>
        <w:tc>
          <w:tcPr>
            <w:tcW w:w="1960" w:type="dxa"/>
            <w:vAlign w:val="bottom"/>
            <w:tcBorders>
              <w:bottom w:val="single" w:sz="8" w:color="0591DB"/>
              <w:right w:val="single" w:sz="8" w:color="0591DB"/>
            </w:tcBorders>
          </w:tcPr>
          <w:p>
            <w:pPr>
              <w:spacing w:after="0"/>
              <w:rPr>
                <w:sz w:val="3"/>
                <w:szCs w:val="3"/>
                <w:color w:val="auto"/>
              </w:rPr>
            </w:pPr>
          </w:p>
        </w:tc>
        <w:tc>
          <w:tcPr>
            <w:tcW w:w="1520" w:type="dxa"/>
            <w:vAlign w:val="bottom"/>
            <w:tcBorders>
              <w:bottom w:val="single" w:sz="8" w:color="0591DB"/>
              <w:right w:val="single" w:sz="8" w:color="0591DB"/>
            </w:tcBorders>
          </w:tcPr>
          <w:p>
            <w:pPr>
              <w:spacing w:after="0"/>
              <w:rPr>
                <w:sz w:val="3"/>
                <w:szCs w:val="3"/>
                <w:color w:val="auto"/>
              </w:rPr>
            </w:pPr>
          </w:p>
        </w:tc>
      </w:tr>
      <w:tr>
        <w:trPr>
          <w:trHeight w:val="196"/>
        </w:trPr>
        <w:tc>
          <w:tcPr>
            <w:tcW w:w="4180" w:type="dxa"/>
            <w:vAlign w:val="bottom"/>
          </w:tcPr>
          <w:p>
            <w:pPr>
              <w:ind w:left="340"/>
              <w:spacing w:after="0" w:line="197" w:lineRule="exact"/>
              <w:rPr>
                <w:sz w:val="20"/>
                <w:szCs w:val="20"/>
                <w:color w:val="auto"/>
              </w:rPr>
            </w:pPr>
            <w:r>
              <w:rPr>
                <w:rFonts w:ascii="Calibri" w:cs="Calibri" w:eastAsia="Calibri" w:hAnsi="Calibri"/>
                <w:sz w:val="17"/>
                <w:szCs w:val="17"/>
                <w:b w:val="1"/>
                <w:bCs w:val="1"/>
                <w:color w:val="333333"/>
              </w:rPr>
              <w:t>Total Meetngs Held</w:t>
            </w:r>
          </w:p>
        </w:tc>
        <w:tc>
          <w:tcPr>
            <w:tcW w:w="1760" w:type="dxa"/>
            <w:vAlign w:val="bottom"/>
          </w:tcPr>
          <w:p>
            <w:pPr>
              <w:jc w:val="center"/>
              <w:ind w:left="323"/>
              <w:spacing w:after="0" w:line="197" w:lineRule="exact"/>
              <w:rPr>
                <w:sz w:val="20"/>
                <w:szCs w:val="20"/>
                <w:color w:val="auto"/>
              </w:rPr>
            </w:pPr>
            <w:r>
              <w:rPr>
                <w:rFonts w:ascii="Calibri" w:cs="Calibri" w:eastAsia="Calibri" w:hAnsi="Calibri"/>
                <w:sz w:val="17"/>
                <w:szCs w:val="17"/>
                <w:color w:val="333333"/>
              </w:rPr>
              <w:t>12</w:t>
            </w:r>
          </w:p>
        </w:tc>
        <w:tc>
          <w:tcPr>
            <w:tcW w:w="1520" w:type="dxa"/>
            <w:vAlign w:val="bottom"/>
          </w:tcPr>
          <w:p>
            <w:pPr>
              <w:jc w:val="center"/>
              <w:spacing w:after="0" w:line="197" w:lineRule="exact"/>
              <w:rPr>
                <w:sz w:val="20"/>
                <w:szCs w:val="20"/>
                <w:color w:val="auto"/>
              </w:rPr>
            </w:pPr>
            <w:r>
              <w:rPr>
                <w:rFonts w:ascii="Calibri" w:cs="Calibri" w:eastAsia="Calibri" w:hAnsi="Calibri"/>
                <w:sz w:val="17"/>
                <w:szCs w:val="17"/>
                <w:color w:val="333333"/>
                <w:w w:val="92"/>
              </w:rPr>
              <w:t>5</w:t>
            </w:r>
          </w:p>
        </w:tc>
        <w:tc>
          <w:tcPr>
            <w:tcW w:w="1960" w:type="dxa"/>
            <w:vAlign w:val="bottom"/>
          </w:tcPr>
          <w:p>
            <w:pPr>
              <w:jc w:val="center"/>
              <w:spacing w:after="0" w:line="197" w:lineRule="exact"/>
              <w:rPr>
                <w:sz w:val="20"/>
                <w:szCs w:val="20"/>
                <w:color w:val="auto"/>
              </w:rPr>
            </w:pPr>
            <w:r>
              <w:rPr>
                <w:rFonts w:ascii="Calibri" w:cs="Calibri" w:eastAsia="Calibri" w:hAnsi="Calibri"/>
                <w:sz w:val="17"/>
                <w:szCs w:val="17"/>
                <w:color w:val="333333"/>
              </w:rPr>
              <w:t>8</w:t>
            </w:r>
          </w:p>
        </w:tc>
        <w:tc>
          <w:tcPr>
            <w:tcW w:w="1520" w:type="dxa"/>
            <w:vAlign w:val="bottom"/>
          </w:tcPr>
          <w:p>
            <w:pPr>
              <w:jc w:val="center"/>
              <w:spacing w:after="0" w:line="197" w:lineRule="exact"/>
              <w:rPr>
                <w:sz w:val="20"/>
                <w:szCs w:val="20"/>
                <w:color w:val="auto"/>
              </w:rPr>
            </w:pPr>
            <w:r>
              <w:rPr>
                <w:rFonts w:ascii="Calibri" w:cs="Calibri" w:eastAsia="Calibri" w:hAnsi="Calibri"/>
                <w:sz w:val="17"/>
                <w:szCs w:val="17"/>
                <w:color w:val="333333"/>
              </w:rPr>
              <w:t>5</w:t>
            </w:r>
          </w:p>
        </w:tc>
      </w:tr>
    </w:tbl>
    <w:p>
      <w:pPr>
        <w:spacing w:after="0" w:line="184" w:lineRule="exact"/>
        <w:rPr>
          <w:sz w:val="20"/>
          <w:szCs w:val="20"/>
          <w:color w:val="auto"/>
        </w:rPr>
      </w:pPr>
    </w:p>
    <w:p>
      <w:pPr>
        <w:jc w:val="both"/>
        <w:ind w:left="160" w:right="40"/>
        <w:spacing w:after="0" w:line="232" w:lineRule="auto"/>
        <w:rPr>
          <w:sz w:val="20"/>
          <w:szCs w:val="20"/>
          <w:color w:val="auto"/>
        </w:rPr>
      </w:pPr>
      <w:r>
        <w:rPr>
          <w:rFonts w:ascii="Calibri" w:cs="Calibri" w:eastAsia="Calibri" w:hAnsi="Calibri"/>
          <w:sz w:val="17"/>
          <w:szCs w:val="17"/>
          <w:color w:val="333333"/>
        </w:rPr>
        <w:t>For purposes of presentng this informaton, each joint meetng of the Board and any Commitee has been counted as a separate meetng of the Board and the applicable Commitee. A meetng at which the Board or a Commitee has convened for a limited joint purpose has been counted as the meetng of the primary meetng holder.</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Director Atendance at Other Meetngs</w:t>
      </w:r>
    </w:p>
    <w:p>
      <w:pPr>
        <w:spacing w:after="0" w:line="212" w:lineRule="exact"/>
        <w:rPr>
          <w:sz w:val="20"/>
          <w:szCs w:val="20"/>
          <w:color w:val="auto"/>
        </w:rPr>
      </w:pPr>
    </w:p>
    <w:p>
      <w:pPr>
        <w:ind w:left="160" w:right="740"/>
        <w:spacing w:after="0" w:line="233" w:lineRule="auto"/>
        <w:rPr>
          <w:sz w:val="20"/>
          <w:szCs w:val="20"/>
          <w:color w:val="auto"/>
        </w:rPr>
      </w:pPr>
      <w:r>
        <w:rPr>
          <w:rFonts w:ascii="Calibri" w:cs="Calibri" w:eastAsia="Calibri" w:hAnsi="Calibri"/>
          <w:sz w:val="17"/>
          <w:szCs w:val="17"/>
          <w:color w:val="333333"/>
        </w:rPr>
        <w:t>Our independent directors meet in closed (executve) sessions, without the presence of management, periodically throughout the year. The Lead Independent Director chairs the meetngs of the independent directors, which coincide with regular meetngs of the Board.</w:t>
      </w:r>
    </w:p>
    <w:p>
      <w:pPr>
        <w:spacing w:after="0" w:line="212" w:lineRule="exact"/>
        <w:rPr>
          <w:sz w:val="20"/>
          <w:szCs w:val="20"/>
          <w:color w:val="auto"/>
        </w:rPr>
      </w:pPr>
    </w:p>
    <w:p>
      <w:pPr>
        <w:ind w:left="160" w:right="60"/>
        <w:spacing w:after="0" w:line="233" w:lineRule="auto"/>
        <w:rPr>
          <w:sz w:val="20"/>
          <w:szCs w:val="20"/>
          <w:color w:val="auto"/>
        </w:rPr>
      </w:pPr>
      <w:r>
        <w:rPr>
          <w:rFonts w:ascii="Calibri" w:cs="Calibri" w:eastAsia="Calibri" w:hAnsi="Calibri"/>
          <w:sz w:val="17"/>
          <w:szCs w:val="17"/>
          <w:color w:val="333333"/>
        </w:rPr>
        <w:t>Our policy is that all director nominees atend the annual meetng of shareholders except in cases of serious illness or extreme hardship. All but one of our directors then serving atended our 2025 Annual Meetng.</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COMMITTEES OF THE BOARD OF DIRECTORS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Commitee Membership</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50"/>
        </w:trPr>
        <w:tc>
          <w:tcPr>
            <w:tcW w:w="2880" w:type="dxa"/>
            <w:vAlign w:val="bottom"/>
            <w:tcBorders>
              <w:top w:val="single" w:sz="8" w:color="0591DB"/>
              <w:left w:val="single" w:sz="8" w:color="0591DB"/>
              <w:bottom w:val="single" w:sz="8" w:color="0591DB"/>
              <w:right w:val="single" w:sz="8" w:color="0591DB"/>
            </w:tcBorders>
          </w:tcPr>
          <w:p>
            <w:pPr>
              <w:ind w:left="160"/>
              <w:spacing w:after="0"/>
              <w:rPr>
                <w:sz w:val="20"/>
                <w:szCs w:val="20"/>
                <w:color w:val="auto"/>
              </w:rPr>
            </w:pPr>
            <w:r>
              <w:rPr>
                <w:rFonts w:ascii="Calibri" w:cs="Calibri" w:eastAsia="Calibri" w:hAnsi="Calibri"/>
                <w:sz w:val="20"/>
                <w:szCs w:val="20"/>
                <w:b w:val="1"/>
                <w:bCs w:val="1"/>
                <w:color w:val="0591DB"/>
              </w:rPr>
              <w:t>NAME</w:t>
            </w:r>
          </w:p>
        </w:tc>
        <w:tc>
          <w:tcPr>
            <w:tcW w:w="2740" w:type="dxa"/>
            <w:vAlign w:val="bottom"/>
            <w:tcBorders>
              <w:top w:val="single" w:sz="8" w:color="0591DB"/>
              <w:bottom w:val="single" w:sz="8" w:color="0591DB"/>
              <w:right w:val="single" w:sz="8" w:color="0591DB"/>
            </w:tcBorders>
          </w:tcPr>
          <w:p>
            <w:pPr>
              <w:ind w:left="1200"/>
              <w:spacing w:after="0"/>
              <w:rPr>
                <w:sz w:val="20"/>
                <w:szCs w:val="20"/>
                <w:color w:val="auto"/>
              </w:rPr>
            </w:pPr>
            <w:r>
              <w:rPr>
                <w:rFonts w:ascii="Calibri" w:cs="Calibri" w:eastAsia="Calibri" w:hAnsi="Calibri"/>
                <w:sz w:val="20"/>
                <w:szCs w:val="20"/>
                <w:b w:val="1"/>
                <w:bCs w:val="1"/>
                <w:color w:val="0591DB"/>
              </w:rPr>
              <w:t>AUDIT</w:t>
            </w:r>
          </w:p>
        </w:tc>
        <w:tc>
          <w:tcPr>
            <w:tcW w:w="2720" w:type="dxa"/>
            <w:vAlign w:val="bottom"/>
            <w:tcBorders>
              <w:top w:val="single" w:sz="8" w:color="0591DB"/>
              <w:bottom w:val="single" w:sz="8" w:color="0591DB"/>
              <w:right w:val="single" w:sz="8" w:color="0591DB"/>
            </w:tcBorders>
          </w:tcPr>
          <w:p>
            <w:pPr>
              <w:ind w:left="760"/>
              <w:spacing w:after="0"/>
              <w:rPr>
                <w:sz w:val="20"/>
                <w:szCs w:val="20"/>
                <w:color w:val="auto"/>
              </w:rPr>
            </w:pPr>
            <w:r>
              <w:rPr>
                <w:rFonts w:ascii="Calibri" w:cs="Calibri" w:eastAsia="Calibri" w:hAnsi="Calibri"/>
                <w:sz w:val="20"/>
                <w:szCs w:val="20"/>
                <w:b w:val="1"/>
                <w:bCs w:val="1"/>
                <w:color w:val="0591DB"/>
              </w:rPr>
              <w:t>COMPENSATION</w:t>
            </w:r>
          </w:p>
        </w:tc>
        <w:tc>
          <w:tcPr>
            <w:tcW w:w="2600" w:type="dxa"/>
            <w:vAlign w:val="bottom"/>
            <w:tcBorders>
              <w:top w:val="single" w:sz="8" w:color="0591DB"/>
              <w:bottom w:val="single" w:sz="8" w:color="0591DB"/>
              <w:right w:val="single" w:sz="8" w:color="0591DB"/>
            </w:tcBorders>
          </w:tcPr>
          <w:p>
            <w:pPr>
              <w:ind w:left="1080"/>
              <w:spacing w:after="0"/>
              <w:rPr>
                <w:sz w:val="20"/>
                <w:szCs w:val="20"/>
                <w:color w:val="auto"/>
              </w:rPr>
            </w:pPr>
            <w:r>
              <w:rPr>
                <w:rFonts w:ascii="Calibri" w:cs="Calibri" w:eastAsia="Calibri" w:hAnsi="Calibri"/>
                <w:sz w:val="20"/>
                <w:szCs w:val="20"/>
                <w:b w:val="1"/>
                <w:bCs w:val="1"/>
                <w:color w:val="0591DB"/>
              </w:rPr>
              <w:t>NCGSR</w:t>
            </w: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2860" w:type="dxa"/>
            <w:vAlign w:val="bottom"/>
            <w:vMerge w:val="restart"/>
          </w:tcPr>
          <w:p>
            <w:pPr>
              <w:ind w:left="100"/>
              <w:spacing w:after="0"/>
              <w:rPr>
                <w:sz w:val="20"/>
                <w:szCs w:val="20"/>
                <w:color w:val="auto"/>
              </w:rPr>
            </w:pPr>
            <w:r>
              <w:rPr>
                <w:rFonts w:ascii="Calibri" w:cs="Calibri" w:eastAsia="Calibri" w:hAnsi="Calibri"/>
                <w:sz w:val="17"/>
                <w:szCs w:val="17"/>
                <w:b w:val="1"/>
                <w:bCs w:val="1"/>
                <w:color w:val="0591DB"/>
              </w:rPr>
              <w:t xml:space="preserve">Mark S. Bartlet </w:t>
            </w:r>
            <w:r>
              <w:rPr>
                <w:rFonts w:ascii="Calibri" w:cs="Calibri" w:eastAsia="Calibri" w:hAnsi="Calibri"/>
                <w:sz w:val="12"/>
                <w:szCs w:val="12"/>
                <w:color w:val="0591DB"/>
              </w:rPr>
              <w:t>(1)</w:t>
            </w:r>
          </w:p>
        </w:tc>
        <w:tc>
          <w:tcPr>
            <w:tcW w:w="2100" w:type="dxa"/>
            <w:vAlign w:val="bottom"/>
          </w:tcPr>
          <w:p>
            <w:pPr>
              <w:jc w:val="center"/>
              <w:ind w:left="716"/>
              <w:spacing w:after="0" w:line="268" w:lineRule="exact"/>
              <w:rPr>
                <w:sz w:val="20"/>
                <w:szCs w:val="20"/>
                <w:color w:val="auto"/>
              </w:rPr>
            </w:pPr>
            <w:r>
              <w:rPr>
                <w:rFonts w:ascii="Times New Roman" w:cs="Times New Roman" w:eastAsia="Times New Roman" w:hAnsi="Times New Roman"/>
                <w:sz w:val="31"/>
                <w:szCs w:val="31"/>
                <w:color w:val="0591DB"/>
              </w:rPr>
              <w:t>●</w:t>
            </w:r>
          </w:p>
        </w:tc>
        <w:tc>
          <w:tcPr>
            <w:tcW w:w="34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8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860" w:type="dxa"/>
            <w:vAlign w:val="bottom"/>
            <w:vMerge w:val="restart"/>
            <w:shd w:val="clear" w:color="auto" w:fill="EFF2EF"/>
          </w:tcPr>
          <w:p>
            <w:pPr>
              <w:ind w:left="100"/>
              <w:spacing w:after="0"/>
              <w:rPr>
                <w:sz w:val="20"/>
                <w:szCs w:val="20"/>
                <w:color w:val="auto"/>
              </w:rPr>
            </w:pPr>
            <w:r>
              <w:rPr>
                <w:rFonts w:ascii="Calibri" w:cs="Calibri" w:eastAsia="Calibri" w:hAnsi="Calibri"/>
                <w:sz w:val="17"/>
                <w:szCs w:val="17"/>
                <w:b w:val="1"/>
                <w:bCs w:val="1"/>
                <w:color w:val="0591DB"/>
              </w:rPr>
              <w:t>Elsy Boglioli</w:t>
            </w:r>
          </w:p>
        </w:tc>
        <w:tc>
          <w:tcPr>
            <w:tcW w:w="2100" w:type="dxa"/>
            <w:vAlign w:val="bottom"/>
            <w:shd w:val="clear" w:color="auto" w:fill="EFF2EF"/>
          </w:tcPr>
          <w:p>
            <w:pPr>
              <w:spacing w:after="0"/>
              <w:rPr>
                <w:sz w:val="24"/>
                <w:szCs w:val="24"/>
                <w:color w:val="auto"/>
              </w:rPr>
            </w:pPr>
          </w:p>
        </w:tc>
        <w:tc>
          <w:tcPr>
            <w:tcW w:w="3440" w:type="dxa"/>
            <w:vAlign w:val="bottom"/>
            <w:shd w:val="clear" w:color="auto" w:fill="EFF2EF"/>
          </w:tcPr>
          <w:p>
            <w:pPr>
              <w:jc w:val="center"/>
              <w:ind w:left="630"/>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2520" w:type="dxa"/>
            <w:vAlign w:val="bottom"/>
            <w:shd w:val="clear" w:color="auto" w:fill="EFF2EF"/>
          </w:tcPr>
          <w:p>
            <w:pPr>
              <w:jc w:val="center"/>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0" w:type="dxa"/>
            <w:vAlign w:val="bottom"/>
          </w:tcPr>
          <w:p>
            <w:pPr>
              <w:spacing w:after="0"/>
              <w:rPr>
                <w:sz w:val="1"/>
                <w:szCs w:val="1"/>
                <w:color w:val="auto"/>
              </w:rPr>
            </w:pPr>
          </w:p>
        </w:tc>
      </w:tr>
      <w:tr>
        <w:trPr>
          <w:trHeight w:val="42"/>
        </w:trPr>
        <w:tc>
          <w:tcPr>
            <w:tcW w:w="2860" w:type="dxa"/>
            <w:vAlign w:val="bottom"/>
            <w:vMerge w:val="continue"/>
            <w:shd w:val="clear" w:color="auto" w:fill="EFF2EF"/>
          </w:tcPr>
          <w:p>
            <w:pPr>
              <w:spacing w:after="0"/>
              <w:rPr>
                <w:sz w:val="3"/>
                <w:szCs w:val="3"/>
                <w:color w:val="auto"/>
              </w:rPr>
            </w:pPr>
          </w:p>
        </w:tc>
        <w:tc>
          <w:tcPr>
            <w:tcW w:w="2100" w:type="dxa"/>
            <w:vAlign w:val="bottom"/>
            <w:shd w:val="clear" w:color="auto" w:fill="EFF2EF"/>
          </w:tcPr>
          <w:p>
            <w:pPr>
              <w:spacing w:after="0"/>
              <w:rPr>
                <w:sz w:val="3"/>
                <w:szCs w:val="3"/>
                <w:color w:val="auto"/>
              </w:rPr>
            </w:pPr>
          </w:p>
        </w:tc>
        <w:tc>
          <w:tcPr>
            <w:tcW w:w="3440" w:type="dxa"/>
            <w:vAlign w:val="bottom"/>
            <w:shd w:val="clear" w:color="auto" w:fill="EFF2EF"/>
          </w:tcPr>
          <w:p>
            <w:pPr>
              <w:spacing w:after="0"/>
              <w:rPr>
                <w:sz w:val="3"/>
                <w:szCs w:val="3"/>
                <w:color w:val="auto"/>
              </w:rPr>
            </w:pPr>
          </w:p>
        </w:tc>
        <w:tc>
          <w:tcPr>
            <w:tcW w:w="2520" w:type="dxa"/>
            <w:vAlign w:val="bottom"/>
            <w:shd w:val="clear" w:color="auto" w:fill="EFF2EF"/>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shd w:val="clear" w:color="auto" w:fill="EFF2EF"/>
          </w:tcPr>
          <w:p>
            <w:pPr>
              <w:spacing w:after="0"/>
              <w:rPr>
                <w:sz w:val="17"/>
                <w:szCs w:val="17"/>
                <w:color w:val="auto"/>
              </w:rPr>
            </w:pPr>
          </w:p>
        </w:tc>
        <w:tc>
          <w:tcPr>
            <w:tcW w:w="2100" w:type="dxa"/>
            <w:vAlign w:val="bottom"/>
            <w:shd w:val="clear" w:color="auto" w:fill="EFF2EF"/>
          </w:tcPr>
          <w:p>
            <w:pPr>
              <w:spacing w:after="0"/>
              <w:rPr>
                <w:sz w:val="17"/>
                <w:szCs w:val="17"/>
                <w:color w:val="auto"/>
              </w:rPr>
            </w:pPr>
          </w:p>
        </w:tc>
        <w:tc>
          <w:tcPr>
            <w:tcW w:w="3440" w:type="dxa"/>
            <w:vAlign w:val="bottom"/>
            <w:shd w:val="clear" w:color="auto" w:fill="EFF2EF"/>
          </w:tcPr>
          <w:p>
            <w:pPr>
              <w:spacing w:after="0"/>
              <w:rPr>
                <w:sz w:val="17"/>
                <w:szCs w:val="17"/>
                <w:color w:val="auto"/>
              </w:rPr>
            </w:pPr>
          </w:p>
        </w:tc>
        <w:tc>
          <w:tcPr>
            <w:tcW w:w="2520" w:type="dxa"/>
            <w:vAlign w:val="bottom"/>
            <w:shd w:val="clear" w:color="auto" w:fill="EFF2E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860" w:type="dxa"/>
            <w:vAlign w:val="bottom"/>
            <w:vMerge w:val="restart"/>
          </w:tcPr>
          <w:p>
            <w:pPr>
              <w:ind w:left="100"/>
              <w:spacing w:after="0"/>
              <w:rPr>
                <w:sz w:val="20"/>
                <w:szCs w:val="20"/>
                <w:color w:val="auto"/>
              </w:rPr>
            </w:pPr>
            <w:r>
              <w:rPr>
                <w:rFonts w:ascii="Calibri" w:cs="Calibri" w:eastAsia="Calibri" w:hAnsi="Calibri"/>
                <w:sz w:val="17"/>
                <w:szCs w:val="17"/>
                <w:b w:val="1"/>
                <w:bCs w:val="1"/>
                <w:color w:val="0591DB"/>
              </w:rPr>
              <w:t xml:space="preserve">Claudio Costamagna </w:t>
            </w:r>
            <w:r>
              <w:rPr>
                <w:rFonts w:ascii="Calibri" w:cs="Calibri" w:eastAsia="Calibri" w:hAnsi="Calibri"/>
                <w:sz w:val="12"/>
                <w:szCs w:val="12"/>
                <w:color w:val="0591DB"/>
              </w:rPr>
              <w:t>(2)</w:t>
            </w:r>
          </w:p>
        </w:tc>
        <w:tc>
          <w:tcPr>
            <w:tcW w:w="2100" w:type="dxa"/>
            <w:vAlign w:val="bottom"/>
          </w:tcPr>
          <w:p>
            <w:pPr>
              <w:spacing w:after="0"/>
              <w:rPr>
                <w:sz w:val="24"/>
                <w:szCs w:val="24"/>
                <w:color w:val="auto"/>
              </w:rPr>
            </w:pPr>
          </w:p>
        </w:tc>
        <w:tc>
          <w:tcPr>
            <w:tcW w:w="3440" w:type="dxa"/>
            <w:vAlign w:val="bottom"/>
          </w:tcPr>
          <w:p>
            <w:pPr>
              <w:jc w:val="center"/>
              <w:ind w:left="630"/>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8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EFF2EF"/>
          </w:tcPr>
          <w:p>
            <w:pPr>
              <w:ind w:left="100"/>
              <w:spacing w:after="0"/>
              <w:rPr>
                <w:sz w:val="20"/>
                <w:szCs w:val="20"/>
                <w:color w:val="auto"/>
              </w:rPr>
            </w:pPr>
            <w:r>
              <w:rPr>
                <w:rFonts w:ascii="Calibri" w:cs="Calibri" w:eastAsia="Calibri" w:hAnsi="Calibri"/>
                <w:sz w:val="17"/>
                <w:szCs w:val="17"/>
                <w:b w:val="1"/>
                <w:bCs w:val="1"/>
                <w:color w:val="0591DB"/>
              </w:rPr>
              <w:t>Nicholas C. Fanandakis</w:t>
            </w:r>
          </w:p>
        </w:tc>
        <w:tc>
          <w:tcPr>
            <w:tcW w:w="2100" w:type="dxa"/>
            <w:vAlign w:val="bottom"/>
            <w:shd w:val="clear" w:color="auto" w:fill="EFF2EF"/>
          </w:tcPr>
          <w:p>
            <w:pPr>
              <w:jc w:val="center"/>
              <w:ind w:left="716"/>
              <w:spacing w:after="0"/>
              <w:rPr>
                <w:sz w:val="20"/>
                <w:szCs w:val="20"/>
                <w:color w:val="auto"/>
              </w:rPr>
            </w:pPr>
            <w:r>
              <w:rPr>
                <w:rFonts w:ascii="Calibri" w:cs="Calibri" w:eastAsia="Calibri" w:hAnsi="Calibri"/>
                <w:sz w:val="17"/>
                <w:szCs w:val="17"/>
                <w:b w:val="1"/>
                <w:bCs w:val="1"/>
                <w:color w:val="0591DB"/>
                <w:w w:val="97"/>
              </w:rPr>
              <w:t>Chair</w:t>
            </w:r>
          </w:p>
        </w:tc>
        <w:tc>
          <w:tcPr>
            <w:tcW w:w="3440" w:type="dxa"/>
            <w:vAlign w:val="bottom"/>
            <w:shd w:val="clear" w:color="auto" w:fill="EFF2EF"/>
          </w:tcPr>
          <w:p>
            <w:pPr>
              <w:spacing w:after="0"/>
              <w:rPr>
                <w:sz w:val="21"/>
                <w:szCs w:val="21"/>
                <w:color w:val="auto"/>
              </w:rPr>
            </w:pPr>
          </w:p>
        </w:tc>
        <w:tc>
          <w:tcPr>
            <w:tcW w:w="2520" w:type="dxa"/>
            <w:vAlign w:val="bottom"/>
            <w:shd w:val="clear" w:color="auto" w:fill="EFF2E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60" w:type="dxa"/>
            <w:vAlign w:val="bottom"/>
            <w:shd w:val="clear" w:color="auto" w:fill="EFF2EF"/>
          </w:tcPr>
          <w:p>
            <w:pPr>
              <w:spacing w:after="0"/>
              <w:rPr>
                <w:sz w:val="10"/>
                <w:szCs w:val="10"/>
                <w:color w:val="auto"/>
              </w:rPr>
            </w:pPr>
          </w:p>
        </w:tc>
        <w:tc>
          <w:tcPr>
            <w:tcW w:w="2100" w:type="dxa"/>
            <w:vAlign w:val="bottom"/>
            <w:shd w:val="clear" w:color="auto" w:fill="EFF2EF"/>
          </w:tcPr>
          <w:p>
            <w:pPr>
              <w:spacing w:after="0"/>
              <w:rPr>
                <w:sz w:val="10"/>
                <w:szCs w:val="10"/>
                <w:color w:val="auto"/>
              </w:rPr>
            </w:pPr>
          </w:p>
        </w:tc>
        <w:tc>
          <w:tcPr>
            <w:tcW w:w="3440" w:type="dxa"/>
            <w:vAlign w:val="bottom"/>
            <w:shd w:val="clear" w:color="auto" w:fill="EFF2EF"/>
          </w:tcPr>
          <w:p>
            <w:pPr>
              <w:spacing w:after="0"/>
              <w:rPr>
                <w:sz w:val="10"/>
                <w:szCs w:val="10"/>
                <w:color w:val="auto"/>
              </w:rPr>
            </w:pPr>
          </w:p>
        </w:tc>
        <w:tc>
          <w:tcPr>
            <w:tcW w:w="2520" w:type="dxa"/>
            <w:vAlign w:val="bottom"/>
            <w:shd w:val="clear" w:color="auto" w:fill="EFF2EF"/>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2860" w:type="dxa"/>
            <w:vAlign w:val="bottom"/>
            <w:vMerge w:val="restart"/>
          </w:tcPr>
          <w:p>
            <w:pPr>
              <w:ind w:left="100"/>
              <w:spacing w:after="0"/>
              <w:rPr>
                <w:sz w:val="20"/>
                <w:szCs w:val="20"/>
                <w:color w:val="auto"/>
              </w:rPr>
            </w:pPr>
            <w:r>
              <w:rPr>
                <w:rFonts w:ascii="Calibri" w:cs="Calibri" w:eastAsia="Calibri" w:hAnsi="Calibri"/>
                <w:sz w:val="17"/>
                <w:szCs w:val="17"/>
                <w:b w:val="1"/>
                <w:bCs w:val="1"/>
                <w:color w:val="0591DB"/>
              </w:rPr>
              <w:t>Stephen C. Robinson</w:t>
            </w:r>
          </w:p>
        </w:tc>
        <w:tc>
          <w:tcPr>
            <w:tcW w:w="2100" w:type="dxa"/>
            <w:vAlign w:val="bottom"/>
          </w:tcPr>
          <w:p>
            <w:pPr>
              <w:jc w:val="center"/>
              <w:ind w:left="716"/>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3440" w:type="dxa"/>
            <w:vAlign w:val="bottom"/>
          </w:tcPr>
          <w:p>
            <w:pPr>
              <w:spacing w:after="0"/>
              <w:rPr>
                <w:sz w:val="24"/>
                <w:szCs w:val="24"/>
                <w:color w:val="auto"/>
              </w:rPr>
            </w:pPr>
          </w:p>
        </w:tc>
        <w:tc>
          <w:tcPr>
            <w:tcW w:w="2520" w:type="dxa"/>
            <w:vAlign w:val="bottom"/>
            <w:vMerge w:val="restart"/>
          </w:tcPr>
          <w:p>
            <w:pPr>
              <w:jc w:val="center"/>
              <w:spacing w:after="0"/>
              <w:rPr>
                <w:sz w:val="20"/>
                <w:szCs w:val="20"/>
                <w:color w:val="auto"/>
              </w:rPr>
            </w:pPr>
            <w:r>
              <w:rPr>
                <w:rFonts w:ascii="Calibri" w:cs="Calibri" w:eastAsia="Calibri" w:hAnsi="Calibri"/>
                <w:sz w:val="17"/>
                <w:szCs w:val="17"/>
                <w:b w:val="1"/>
                <w:bCs w:val="1"/>
                <w:color w:val="0591DB"/>
                <w:w w:val="97"/>
              </w:rPr>
              <w:t>Chair</w:t>
            </w:r>
          </w:p>
        </w:tc>
        <w:tc>
          <w:tcPr>
            <w:tcW w:w="0" w:type="dxa"/>
            <w:vAlign w:val="bottom"/>
          </w:tcPr>
          <w:p>
            <w:pPr>
              <w:spacing w:after="0"/>
              <w:rPr>
                <w:sz w:val="1"/>
                <w:szCs w:val="1"/>
                <w:color w:val="auto"/>
              </w:rPr>
            </w:pPr>
          </w:p>
        </w:tc>
      </w:tr>
      <w:tr>
        <w:trPr>
          <w:trHeight w:val="42"/>
        </w:trPr>
        <w:tc>
          <w:tcPr>
            <w:tcW w:w="28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860" w:type="dxa"/>
            <w:vAlign w:val="bottom"/>
            <w:vMerge w:val="restart"/>
            <w:shd w:val="clear" w:color="auto" w:fill="EFF2EF"/>
          </w:tcPr>
          <w:p>
            <w:pPr>
              <w:ind w:left="100"/>
              <w:spacing w:after="0"/>
              <w:rPr>
                <w:sz w:val="20"/>
                <w:szCs w:val="20"/>
                <w:color w:val="auto"/>
              </w:rPr>
            </w:pPr>
            <w:r>
              <w:rPr>
                <w:rFonts w:ascii="Calibri" w:cs="Calibri" w:eastAsia="Calibri" w:hAnsi="Calibri"/>
                <w:sz w:val="17"/>
                <w:szCs w:val="17"/>
                <w:b w:val="1"/>
                <w:bCs w:val="1"/>
                <w:color w:val="0591DB"/>
              </w:rPr>
              <w:t>Laureen E. Seeger</w:t>
            </w:r>
          </w:p>
        </w:tc>
        <w:tc>
          <w:tcPr>
            <w:tcW w:w="2100" w:type="dxa"/>
            <w:vAlign w:val="bottom"/>
            <w:shd w:val="clear" w:color="auto" w:fill="EFF2EF"/>
          </w:tcPr>
          <w:p>
            <w:pPr>
              <w:spacing w:after="0"/>
              <w:rPr>
                <w:sz w:val="24"/>
                <w:szCs w:val="24"/>
                <w:color w:val="auto"/>
              </w:rPr>
            </w:pPr>
          </w:p>
        </w:tc>
        <w:tc>
          <w:tcPr>
            <w:tcW w:w="3440" w:type="dxa"/>
            <w:vAlign w:val="bottom"/>
            <w:vMerge w:val="restart"/>
            <w:shd w:val="clear" w:color="auto" w:fill="EFF2EF"/>
          </w:tcPr>
          <w:p>
            <w:pPr>
              <w:jc w:val="center"/>
              <w:ind w:left="630"/>
              <w:spacing w:after="0"/>
              <w:rPr>
                <w:sz w:val="20"/>
                <w:szCs w:val="20"/>
                <w:color w:val="auto"/>
              </w:rPr>
            </w:pPr>
            <w:r>
              <w:rPr>
                <w:rFonts w:ascii="Calibri" w:cs="Calibri" w:eastAsia="Calibri" w:hAnsi="Calibri"/>
                <w:sz w:val="17"/>
                <w:szCs w:val="17"/>
                <w:b w:val="1"/>
                <w:bCs w:val="1"/>
                <w:color w:val="0591DB"/>
                <w:w w:val="97"/>
              </w:rPr>
              <w:t>Chair</w:t>
            </w:r>
          </w:p>
        </w:tc>
        <w:tc>
          <w:tcPr>
            <w:tcW w:w="2520" w:type="dxa"/>
            <w:vAlign w:val="bottom"/>
            <w:shd w:val="clear" w:color="auto" w:fill="EFF2EF"/>
          </w:tcPr>
          <w:p>
            <w:pPr>
              <w:jc w:val="center"/>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0" w:type="dxa"/>
            <w:vAlign w:val="bottom"/>
          </w:tcPr>
          <w:p>
            <w:pPr>
              <w:spacing w:after="0"/>
              <w:rPr>
                <w:sz w:val="1"/>
                <w:szCs w:val="1"/>
                <w:color w:val="auto"/>
              </w:rPr>
            </w:pPr>
          </w:p>
        </w:tc>
      </w:tr>
      <w:tr>
        <w:trPr>
          <w:trHeight w:val="42"/>
        </w:trPr>
        <w:tc>
          <w:tcPr>
            <w:tcW w:w="2860" w:type="dxa"/>
            <w:vAlign w:val="bottom"/>
            <w:vMerge w:val="continue"/>
            <w:shd w:val="clear" w:color="auto" w:fill="EFF2EF"/>
          </w:tcPr>
          <w:p>
            <w:pPr>
              <w:spacing w:after="0"/>
              <w:rPr>
                <w:sz w:val="3"/>
                <w:szCs w:val="3"/>
                <w:color w:val="auto"/>
              </w:rPr>
            </w:pPr>
          </w:p>
        </w:tc>
        <w:tc>
          <w:tcPr>
            <w:tcW w:w="2100" w:type="dxa"/>
            <w:vAlign w:val="bottom"/>
            <w:shd w:val="clear" w:color="auto" w:fill="EFF2EF"/>
          </w:tcPr>
          <w:p>
            <w:pPr>
              <w:spacing w:after="0"/>
              <w:rPr>
                <w:sz w:val="3"/>
                <w:szCs w:val="3"/>
                <w:color w:val="auto"/>
              </w:rPr>
            </w:pPr>
          </w:p>
        </w:tc>
        <w:tc>
          <w:tcPr>
            <w:tcW w:w="3440" w:type="dxa"/>
            <w:vAlign w:val="bottom"/>
            <w:vMerge w:val="continue"/>
            <w:shd w:val="clear" w:color="auto" w:fill="EFF2EF"/>
          </w:tcPr>
          <w:p>
            <w:pPr>
              <w:spacing w:after="0"/>
              <w:rPr>
                <w:sz w:val="3"/>
                <w:szCs w:val="3"/>
                <w:color w:val="auto"/>
              </w:rPr>
            </w:pPr>
          </w:p>
        </w:tc>
        <w:tc>
          <w:tcPr>
            <w:tcW w:w="2520" w:type="dxa"/>
            <w:vAlign w:val="bottom"/>
            <w:shd w:val="clear" w:color="auto" w:fill="EFF2EF"/>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shd w:val="clear" w:color="auto" w:fill="EFF2EF"/>
          </w:tcPr>
          <w:p>
            <w:pPr>
              <w:spacing w:after="0"/>
              <w:rPr>
                <w:sz w:val="17"/>
                <w:szCs w:val="17"/>
                <w:color w:val="auto"/>
              </w:rPr>
            </w:pPr>
          </w:p>
        </w:tc>
        <w:tc>
          <w:tcPr>
            <w:tcW w:w="2100" w:type="dxa"/>
            <w:vAlign w:val="bottom"/>
            <w:shd w:val="clear" w:color="auto" w:fill="EFF2EF"/>
          </w:tcPr>
          <w:p>
            <w:pPr>
              <w:spacing w:after="0"/>
              <w:rPr>
                <w:sz w:val="17"/>
                <w:szCs w:val="17"/>
                <w:color w:val="auto"/>
              </w:rPr>
            </w:pPr>
          </w:p>
        </w:tc>
        <w:tc>
          <w:tcPr>
            <w:tcW w:w="3440" w:type="dxa"/>
            <w:vAlign w:val="bottom"/>
            <w:shd w:val="clear" w:color="auto" w:fill="EFF2EF"/>
          </w:tcPr>
          <w:p>
            <w:pPr>
              <w:spacing w:after="0"/>
              <w:rPr>
                <w:sz w:val="17"/>
                <w:szCs w:val="17"/>
                <w:color w:val="auto"/>
              </w:rPr>
            </w:pPr>
          </w:p>
        </w:tc>
        <w:tc>
          <w:tcPr>
            <w:tcW w:w="2520" w:type="dxa"/>
            <w:vAlign w:val="bottom"/>
            <w:shd w:val="clear" w:color="auto" w:fill="EFF2E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860" w:type="dxa"/>
            <w:vAlign w:val="bottom"/>
            <w:vMerge w:val="restart"/>
          </w:tcPr>
          <w:p>
            <w:pPr>
              <w:ind w:left="100"/>
              <w:spacing w:after="0"/>
              <w:rPr>
                <w:sz w:val="20"/>
                <w:szCs w:val="20"/>
                <w:color w:val="auto"/>
              </w:rPr>
            </w:pPr>
            <w:r>
              <w:rPr>
                <w:rFonts w:ascii="Calibri" w:cs="Calibri" w:eastAsia="Calibri" w:hAnsi="Calibri"/>
                <w:sz w:val="17"/>
                <w:szCs w:val="17"/>
                <w:b w:val="1"/>
                <w:bCs w:val="1"/>
                <w:color w:val="0591DB"/>
              </w:rPr>
              <w:t>Eric T. Steigerwalt</w:t>
            </w:r>
          </w:p>
        </w:tc>
        <w:tc>
          <w:tcPr>
            <w:tcW w:w="2100" w:type="dxa"/>
            <w:vAlign w:val="bottom"/>
          </w:tcPr>
          <w:p>
            <w:pPr>
              <w:jc w:val="center"/>
              <w:ind w:left="716"/>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3440" w:type="dxa"/>
            <w:vAlign w:val="bottom"/>
          </w:tcPr>
          <w:p>
            <w:pPr>
              <w:jc w:val="center"/>
              <w:ind w:left="630"/>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8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860" w:type="dxa"/>
            <w:vAlign w:val="bottom"/>
            <w:vMerge w:val="restart"/>
            <w:shd w:val="clear" w:color="auto" w:fill="EFF2EF"/>
          </w:tcPr>
          <w:p>
            <w:pPr>
              <w:ind w:left="100"/>
              <w:spacing w:after="0"/>
              <w:rPr>
                <w:sz w:val="20"/>
                <w:szCs w:val="20"/>
                <w:color w:val="auto"/>
              </w:rPr>
            </w:pPr>
            <w:r>
              <w:rPr>
                <w:rFonts w:ascii="Calibri" w:cs="Calibri" w:eastAsia="Calibri" w:hAnsi="Calibri"/>
                <w:sz w:val="17"/>
                <w:szCs w:val="17"/>
                <w:b w:val="1"/>
                <w:bCs w:val="1"/>
                <w:color w:val="0591DB"/>
              </w:rPr>
              <w:t>Janet H. Zelenka</w:t>
            </w:r>
          </w:p>
        </w:tc>
        <w:tc>
          <w:tcPr>
            <w:tcW w:w="2100" w:type="dxa"/>
            <w:vAlign w:val="bottom"/>
            <w:shd w:val="clear" w:color="auto" w:fill="EFF2EF"/>
          </w:tcPr>
          <w:p>
            <w:pPr>
              <w:jc w:val="center"/>
              <w:ind w:left="716"/>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3440" w:type="dxa"/>
            <w:vAlign w:val="bottom"/>
            <w:shd w:val="clear" w:color="auto" w:fill="EFF2EF"/>
          </w:tcPr>
          <w:p>
            <w:pPr>
              <w:spacing w:after="0"/>
              <w:rPr>
                <w:sz w:val="24"/>
                <w:szCs w:val="24"/>
                <w:color w:val="auto"/>
              </w:rPr>
            </w:pPr>
          </w:p>
        </w:tc>
        <w:tc>
          <w:tcPr>
            <w:tcW w:w="2520" w:type="dxa"/>
            <w:vAlign w:val="bottom"/>
            <w:shd w:val="clear" w:color="auto" w:fill="EFF2EF"/>
          </w:tcPr>
          <w:p>
            <w:pPr>
              <w:jc w:val="center"/>
              <w:spacing w:after="0" w:line="281" w:lineRule="exact"/>
              <w:rPr>
                <w:sz w:val="20"/>
                <w:szCs w:val="20"/>
                <w:color w:val="auto"/>
              </w:rPr>
            </w:pPr>
            <w:r>
              <w:rPr>
                <w:rFonts w:ascii="Times New Roman" w:cs="Times New Roman" w:eastAsia="Times New Roman" w:hAnsi="Times New Roman"/>
                <w:sz w:val="32"/>
                <w:szCs w:val="32"/>
                <w:color w:val="0591DB"/>
              </w:rPr>
              <w:t>●</w:t>
            </w:r>
          </w:p>
        </w:tc>
        <w:tc>
          <w:tcPr>
            <w:tcW w:w="0" w:type="dxa"/>
            <w:vAlign w:val="bottom"/>
          </w:tcPr>
          <w:p>
            <w:pPr>
              <w:spacing w:after="0"/>
              <w:rPr>
                <w:sz w:val="1"/>
                <w:szCs w:val="1"/>
                <w:color w:val="auto"/>
              </w:rPr>
            </w:pPr>
          </w:p>
        </w:tc>
      </w:tr>
      <w:tr>
        <w:trPr>
          <w:trHeight w:val="42"/>
        </w:trPr>
        <w:tc>
          <w:tcPr>
            <w:tcW w:w="2860" w:type="dxa"/>
            <w:vAlign w:val="bottom"/>
            <w:vMerge w:val="continue"/>
            <w:shd w:val="clear" w:color="auto" w:fill="EFF2EF"/>
          </w:tcPr>
          <w:p>
            <w:pPr>
              <w:spacing w:after="0"/>
              <w:rPr>
                <w:sz w:val="3"/>
                <w:szCs w:val="3"/>
                <w:color w:val="auto"/>
              </w:rPr>
            </w:pPr>
          </w:p>
        </w:tc>
        <w:tc>
          <w:tcPr>
            <w:tcW w:w="2100" w:type="dxa"/>
            <w:vAlign w:val="bottom"/>
            <w:shd w:val="clear" w:color="auto" w:fill="EFF2EF"/>
          </w:tcPr>
          <w:p>
            <w:pPr>
              <w:spacing w:after="0"/>
              <w:rPr>
                <w:sz w:val="3"/>
                <w:szCs w:val="3"/>
                <w:color w:val="auto"/>
              </w:rPr>
            </w:pPr>
          </w:p>
        </w:tc>
        <w:tc>
          <w:tcPr>
            <w:tcW w:w="3440" w:type="dxa"/>
            <w:vAlign w:val="bottom"/>
            <w:shd w:val="clear" w:color="auto" w:fill="EFF2EF"/>
          </w:tcPr>
          <w:p>
            <w:pPr>
              <w:spacing w:after="0"/>
              <w:rPr>
                <w:sz w:val="3"/>
                <w:szCs w:val="3"/>
                <w:color w:val="auto"/>
              </w:rPr>
            </w:pPr>
          </w:p>
        </w:tc>
        <w:tc>
          <w:tcPr>
            <w:tcW w:w="2520" w:type="dxa"/>
            <w:vAlign w:val="bottom"/>
            <w:shd w:val="clear" w:color="auto" w:fill="EFF2EF"/>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60" w:type="dxa"/>
            <w:vAlign w:val="bottom"/>
            <w:shd w:val="clear" w:color="auto" w:fill="EFF2EF"/>
          </w:tcPr>
          <w:p>
            <w:pPr>
              <w:spacing w:after="0"/>
              <w:rPr>
                <w:sz w:val="17"/>
                <w:szCs w:val="17"/>
                <w:color w:val="auto"/>
              </w:rPr>
            </w:pPr>
          </w:p>
        </w:tc>
        <w:tc>
          <w:tcPr>
            <w:tcW w:w="2100" w:type="dxa"/>
            <w:vAlign w:val="bottom"/>
            <w:shd w:val="clear" w:color="auto" w:fill="EFF2EF"/>
          </w:tcPr>
          <w:p>
            <w:pPr>
              <w:spacing w:after="0"/>
              <w:rPr>
                <w:sz w:val="17"/>
                <w:szCs w:val="17"/>
                <w:color w:val="auto"/>
              </w:rPr>
            </w:pPr>
          </w:p>
        </w:tc>
        <w:tc>
          <w:tcPr>
            <w:tcW w:w="3440" w:type="dxa"/>
            <w:vAlign w:val="bottom"/>
            <w:shd w:val="clear" w:color="auto" w:fill="EFF2EF"/>
          </w:tcPr>
          <w:p>
            <w:pPr>
              <w:spacing w:after="0"/>
              <w:rPr>
                <w:sz w:val="17"/>
                <w:szCs w:val="17"/>
                <w:color w:val="auto"/>
              </w:rPr>
            </w:pPr>
          </w:p>
        </w:tc>
        <w:tc>
          <w:tcPr>
            <w:tcW w:w="2520" w:type="dxa"/>
            <w:vAlign w:val="bottom"/>
            <w:shd w:val="clear" w:color="auto" w:fill="EFF2E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40" w:type="dxa"/>
            <w:vAlign w:val="bottom"/>
          </w:tcPr>
          <w:p>
            <w:pPr>
              <w:jc w:val="right"/>
              <w:ind w:right="2730"/>
              <w:spacing w:after="0"/>
              <w:rPr>
                <w:sz w:val="20"/>
                <w:szCs w:val="20"/>
                <w:color w:val="auto"/>
              </w:rPr>
            </w:pPr>
            <w:r>
              <w:rPr>
                <w:rFonts w:ascii="Calibri" w:cs="Calibri" w:eastAsia="Calibri" w:hAnsi="Calibri"/>
                <w:sz w:val="17"/>
                <w:szCs w:val="17"/>
                <w:color w:val="333333"/>
              </w:rPr>
              <w:t>23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299085</wp:posOffset>
            </wp:positionV>
            <wp:extent cx="14522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0" w:right="60" w:hanging="433"/>
        <w:spacing w:after="0"/>
        <w:tabs>
          <w:tab w:leader="none" w:pos="600" w:val="left"/>
        </w:tabs>
        <w:numPr>
          <w:ilvl w:val="0"/>
          <w:numId w:val="44"/>
        </w:numPr>
        <w:rPr>
          <w:rFonts w:ascii="Calibri" w:cs="Calibri" w:eastAsia="Calibri" w:hAnsi="Calibri"/>
          <w:sz w:val="21"/>
          <w:szCs w:val="21"/>
          <w:color w:val="333333"/>
          <w:vertAlign w:val="superscript"/>
        </w:rPr>
      </w:pPr>
      <w:r>
        <w:rPr>
          <w:rFonts w:ascii="Calibri" w:cs="Calibri" w:eastAsia="Calibri" w:hAnsi="Calibri"/>
          <w:sz w:val="14"/>
          <w:szCs w:val="14"/>
          <w:color w:val="333333"/>
        </w:rPr>
        <w:t>Mr. Bartlet will have reached the retrement age of 75 prior to the Annual Meetng and therefore, pursuant to our Corporate Governance Guidelines, will not be nominated to stand for re-electon to the Board by shareholders of the Company at the Annual Meetng. Mr. Bartlet will contnue to serve as a member of the Audit Commitee untl the Annual Meetng.</w:t>
      </w:r>
    </w:p>
    <w:p>
      <w:pPr>
        <w:spacing w:after="0" w:line="127" w:lineRule="exact"/>
        <w:rPr>
          <w:rFonts w:ascii="Calibri" w:cs="Calibri" w:eastAsia="Calibri" w:hAnsi="Calibri"/>
          <w:sz w:val="21"/>
          <w:szCs w:val="21"/>
          <w:color w:val="333333"/>
          <w:vertAlign w:val="superscript"/>
        </w:rPr>
      </w:pPr>
    </w:p>
    <w:p>
      <w:pPr>
        <w:ind w:left="600" w:hanging="433"/>
        <w:spacing w:after="0"/>
        <w:tabs>
          <w:tab w:leader="none" w:pos="600" w:val="left"/>
        </w:tabs>
        <w:numPr>
          <w:ilvl w:val="0"/>
          <w:numId w:val="44"/>
        </w:numPr>
        <w:rPr>
          <w:rFonts w:ascii="Calibri" w:cs="Calibri" w:eastAsia="Calibri" w:hAnsi="Calibri"/>
          <w:sz w:val="21"/>
          <w:szCs w:val="21"/>
          <w:color w:val="333333"/>
          <w:vertAlign w:val="superscript"/>
        </w:rPr>
      </w:pPr>
      <w:r>
        <w:rPr>
          <w:rFonts w:ascii="Calibri" w:cs="Calibri" w:eastAsia="Calibri" w:hAnsi="Calibri"/>
          <w:sz w:val="14"/>
          <w:szCs w:val="14"/>
          <w:color w:val="333333"/>
        </w:rPr>
        <w:t>As Lead Independent Director, Mr. Costamagna serves in an ex-ofcio capacity on Board Commitees of which he is not a member.</w:t>
      </w:r>
    </w:p>
    <w:p>
      <w:pPr>
        <w:spacing w:after="0" w:line="206"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Audit Commitee, Compensaton Commitee and NCGSR Commitee operate under writen Commitee Charters. The Commitee Charters are reviewed annually and more frequently, as necessary, to address any new rules or best practces relatng to the responsibilites of the applicable Commitee or changes to such rules and best practces. Each Commitee approves its own Commitee Charter amendment and submits it to the Board for approval.</w:t>
      </w:r>
    </w:p>
    <w:p>
      <w:pPr>
        <w:spacing w:after="0" w:line="214" w:lineRule="exact"/>
        <w:rPr>
          <w:sz w:val="20"/>
          <w:szCs w:val="20"/>
          <w:color w:val="auto"/>
        </w:rPr>
      </w:pPr>
    </w:p>
    <w:p>
      <w:pPr>
        <w:ind w:left="160" w:right="700"/>
        <w:spacing w:after="0" w:line="233" w:lineRule="auto"/>
        <w:rPr>
          <w:sz w:val="20"/>
          <w:szCs w:val="20"/>
          <w:color w:val="auto"/>
        </w:rPr>
      </w:pPr>
      <w:r>
        <w:rPr>
          <w:rFonts w:ascii="Calibri" w:cs="Calibri" w:eastAsia="Calibri" w:hAnsi="Calibri"/>
          <w:sz w:val="17"/>
          <w:szCs w:val="17"/>
          <w:color w:val="333333"/>
        </w:rPr>
        <w:t xml:space="preserve">Copies of the Charter of the Audit Commitee, Charter of the Compensaton Commitee and Charter of the NCGSR Commitee are available in the Governance secton of the Company’s website at </w:t>
      </w:r>
      <w:r>
        <w:rPr>
          <w:rFonts w:ascii="Calibri" w:cs="Calibri" w:eastAsia="Calibri" w:hAnsi="Calibri"/>
          <w:sz w:val="17"/>
          <w:szCs w:val="17"/>
          <w:color w:val="0591DB"/>
        </w:rPr>
        <w:t>htps://www.ficonsultng.com/about/governance</w:t>
      </w:r>
      <w:r>
        <w:rPr>
          <w:rFonts w:ascii="Calibri" w:cs="Calibri" w:eastAsia="Calibri" w:hAnsi="Calibri"/>
          <w:sz w:val="17"/>
          <w:szCs w:val="17"/>
          <w:color w:val="333333"/>
        </w:rPr>
        <w:t>.</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Audit Commitee</w:t>
      </w:r>
    </w:p>
    <w:p>
      <w:pPr>
        <w:spacing w:after="0" w:line="212"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The Board has determined that all Audit Commitee members are independent under the Company’s Categorical Standards of Director Independence and satsfy the additonal independence criteria applicable to directors on such commitee pursuant to the NYSE’s listng rules and applicable rules of the Securites and Exchange Commission (the “SEC”). One Audit Commitee member, Mr. Bartlet, who is not standing for re-electon, serves as a member of our Audit Commitee and three other public company audit commitees, and the Board has determined that such simultaneous service does not impair the ability of Mr. Bartlet to efectvely serve on our Audit Commitee. The Board has determined that each of Mr. Fanandakis, Mr. Steigerwalt and</w:t>
      </w:r>
    </w:p>
    <w:p>
      <w:pPr>
        <w:spacing w:after="0" w:line="2"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Ms. Zelenka qualify as an “audit commitee fnancial expert,” and all of the members of the Audit Commitee qualify as “fnancially literate” as those terms are defned in the rules and regulatons established by the SEC and the NYSE.</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Functons of the Audit Commitee</w:t>
      </w:r>
    </w:p>
    <w:p>
      <w:pPr>
        <w:spacing w:after="0" w:line="113" w:lineRule="exact"/>
        <w:rPr>
          <w:sz w:val="20"/>
          <w:szCs w:val="20"/>
          <w:color w:val="auto"/>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selects, oversees and retains our independent registered public accountng frm;</w:t>
      </w:r>
    </w:p>
    <w:p>
      <w:pPr>
        <w:spacing w:after="0" w:line="131" w:lineRule="exact"/>
        <w:rPr>
          <w:rFonts w:ascii="MS PGothic" w:cs="MS PGothic" w:eastAsia="MS PGothic" w:hAnsi="MS PGothic"/>
          <w:sz w:val="17"/>
          <w:szCs w:val="17"/>
          <w:color w:val="0591DB"/>
        </w:rPr>
      </w:pPr>
    </w:p>
    <w:p>
      <w:pPr>
        <w:ind w:left="1020" w:right="100" w:hanging="318"/>
        <w:spacing w:after="0" w:line="233" w:lineRule="auto"/>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reviews and discusses the scope of the annual audit and writen communicatons by our independent registered public accountng frm to the Audit Commitee and management;</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oversees our fnancial reportng actvites, including the annual audit and the accountng standards and principles we follow;</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approves audit and non-audit services by our independent registered public accountng frm and applicable fees;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reviews and discusses our periodic reports fled with the SEC;</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reviews and discusses our earnings press releases and communicatons with fnancial analysts and investors;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oversees our internal audit actvites;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oversees our disclosure controls and procedures;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reviews Secton 404 of the Sarbanes-Oxley Act of 2002, internal control over fnancial reportng;</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5"/>
        </w:numPr>
        <w:rPr>
          <w:rFonts w:ascii="MS PGothic" w:cs="MS PGothic" w:eastAsia="MS PGothic" w:hAnsi="MS PGothic"/>
          <w:sz w:val="17"/>
          <w:szCs w:val="17"/>
          <w:color w:val="0591DB"/>
        </w:rPr>
      </w:pPr>
      <w:r>
        <w:rPr>
          <w:rFonts w:ascii="Calibri" w:cs="Calibri" w:eastAsia="Calibri" w:hAnsi="Calibri"/>
          <w:sz w:val="17"/>
          <w:szCs w:val="17"/>
          <w:color w:val="333333"/>
        </w:rPr>
        <w:t>oversees and monitors our Policy on Reportng Concerns and Non-Retaliaton and related reports;</w:t>
      </w:r>
    </w:p>
    <w:p>
      <w:pPr>
        <w:spacing w:after="0" w:line="154"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24</w:t>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020" w:right="180" w:hanging="318"/>
        <w:spacing w:after="0" w:line="233" w:lineRule="auto"/>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reviews and discusses risk assessment and risk management policies and practces, including risks associated with informaton security, data protecton, cybersecurity, and the use and development of artfcial intelligence and other emerging technologies;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oversees the administraton of the Code of Ethics and Business Conduct and other ethics policies;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reviews, discusses and approves insider and afliated person transactons;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administers the policy with respect to the hiring of former employees of the Company’s independent registered public accountng frm;</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performs an annual self-evaluaton of the Audit Commitee;</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reviews the Charter of the Audit Commitee and recommends changes to the NCGSR Commitee for submission to the Board for approval; and</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6"/>
        </w:numPr>
        <w:rPr>
          <w:rFonts w:ascii="MS PGothic" w:cs="MS PGothic" w:eastAsia="MS PGothic" w:hAnsi="MS PGothic"/>
          <w:sz w:val="17"/>
          <w:szCs w:val="17"/>
          <w:color w:val="0591DB"/>
        </w:rPr>
      </w:pPr>
      <w:r>
        <w:rPr>
          <w:rFonts w:ascii="Calibri" w:cs="Calibri" w:eastAsia="Calibri" w:hAnsi="Calibri"/>
          <w:sz w:val="17"/>
          <w:szCs w:val="17"/>
          <w:color w:val="333333"/>
        </w:rPr>
        <w:t>prepares the Audit Commitee Report required to be included in the annual proxy statement.</w:t>
      </w: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Compensaton Commitee</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Board has determined that all Compensaton Commitee members are non-employee directors and qualify as independent directors under the Company’s Categorical Standards of Director Independence and satsfy the additonal independence criteria applicable to directors on such commitee pursuant to the NYSE’s listng rules and applicable SEC rules. In making its determinatons regarding the independence of each of the Compensaton Commitee members, the Board has considered all factors specifcally relevant to determining whether a director has a relatonship with the Company that would materially impair the director’s ability to make independent judgments about executve ofcer compensaton, including: (i) the source of such director’s compensaton; (ii) any consultng, advisory or other compensatory fees paid by the Company to the director; and (iii) any other afliatons the director has with the Company and its afliates, including engagements by clients that are companies or afliates of companies for which members of the Compensaton Commitee serve as ofcers or directors.</w:t>
      </w:r>
    </w:p>
    <w:p>
      <w:pPr>
        <w:spacing w:after="0" w:line="214" w:lineRule="exact"/>
        <w:rPr>
          <w:sz w:val="20"/>
          <w:szCs w:val="20"/>
          <w:color w:val="auto"/>
        </w:rPr>
      </w:pPr>
    </w:p>
    <w:p>
      <w:pPr>
        <w:ind w:left="160" w:right="600"/>
        <w:spacing w:after="0" w:line="233" w:lineRule="auto"/>
        <w:rPr>
          <w:sz w:val="20"/>
          <w:szCs w:val="20"/>
          <w:color w:val="auto"/>
        </w:rPr>
      </w:pPr>
      <w:r>
        <w:rPr>
          <w:rFonts w:ascii="Calibri" w:cs="Calibri" w:eastAsia="Calibri" w:hAnsi="Calibri"/>
          <w:sz w:val="17"/>
          <w:szCs w:val="17"/>
          <w:color w:val="333333"/>
        </w:rPr>
        <w:t>Each member of the Compensaton Commitee qualifes as a “non-employee” director under Rule 16b-3 of the Securites Exchange Act of 1934, as amended (the “Exchange Act”).</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Role of Management</w:t>
      </w:r>
    </w:p>
    <w:p>
      <w:pPr>
        <w:spacing w:after="0" w:line="212" w:lineRule="exact"/>
        <w:rPr>
          <w:sz w:val="20"/>
          <w:szCs w:val="20"/>
          <w:color w:val="auto"/>
        </w:rPr>
      </w:pPr>
    </w:p>
    <w:p>
      <w:pPr>
        <w:ind w:left="160" w:right="100"/>
        <w:spacing w:after="0" w:line="232" w:lineRule="auto"/>
        <w:rPr>
          <w:sz w:val="20"/>
          <w:szCs w:val="20"/>
          <w:color w:val="auto"/>
        </w:rPr>
      </w:pPr>
      <w:r>
        <w:rPr>
          <w:rFonts w:ascii="Calibri" w:cs="Calibri" w:eastAsia="Calibri" w:hAnsi="Calibri"/>
          <w:sz w:val="17"/>
          <w:szCs w:val="17"/>
          <w:color w:val="333333"/>
        </w:rPr>
        <w:t>The Compensaton Commitee and the Board solicit recommendatons from our CEO and other ofcers regarding compensaton maters, including the compensaton of executve ofcers and key employees other than our CEO. They assist the Compensaton Commitee by providing informaton such as fnancial results, short-term and long-term business and fnancial plans, and strategic objectves, as well as their views on our executve compensaton program and pay levels. Our CEO atended all Compensaton Commitee meetngs held during 2025, other than meetngs and executve sessions to which he was not invited. Our CEO did not partcipate in the Compensaton Commitee discussions regarding his individual performance and fnal annual compensaton outcomes. Only members of the Compensaton Commitee vote on maters before that commitee.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Role of the Compensaton Advisors</w:t>
      </w:r>
    </w:p>
    <w:p>
      <w:pPr>
        <w:spacing w:after="0" w:line="212" w:lineRule="exact"/>
        <w:rPr>
          <w:sz w:val="20"/>
          <w:szCs w:val="20"/>
          <w:color w:val="auto"/>
        </w:rPr>
      </w:pPr>
    </w:p>
    <w:p>
      <w:pPr>
        <w:ind w:left="160" w:right="200"/>
        <w:spacing w:after="0" w:line="233" w:lineRule="auto"/>
        <w:rPr>
          <w:sz w:val="20"/>
          <w:szCs w:val="20"/>
          <w:color w:val="auto"/>
        </w:rPr>
      </w:pPr>
      <w:r>
        <w:rPr>
          <w:rFonts w:ascii="Calibri" w:cs="Calibri" w:eastAsia="Calibri" w:hAnsi="Calibri"/>
          <w:sz w:val="17"/>
          <w:szCs w:val="17"/>
          <w:color w:val="333333"/>
        </w:rPr>
        <w:t>Under the Charter of the Compensaton Commitee, the Compensaton Commitee is authorized to select, retain and direct the actvites, and terminate the services, of compensaton advisors, as well as approve fees and expenses of</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25</w:t>
      </w:r>
    </w:p>
    <w:p>
      <w:pPr>
        <w:sectPr>
          <w:pgSz w:w="11900" w:h="16838" w:orient="portrait"/>
          <w:cols w:equalWidth="0" w:num="1">
            <w:col w:w="11060"/>
          </w:cols>
          <w:pgMar w:left="320" w:top="478"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 xml:space="preserve">such advisors. During 2025, the Compensaton Commitee retained the services of Pearl Meyer &amp; Partners, LLC (“Pearl Meyer”) to provide advice to the Compensaton Commitee on certain executve compensaton maters. For further detail regarding the services provided by Pearl Meyer during 2025 and the Compensaton Commitee’s assessment of the independence of Pearl Meyer, please see the secton ttled “— Compensaton Discussion and Analysis; Role of Compensaton Advisors” on </w:t>
      </w:r>
      <w:r>
        <w:rPr>
          <w:rFonts w:ascii="Calibri" w:cs="Calibri" w:eastAsia="Calibri" w:hAnsi="Calibri"/>
          <w:sz w:val="17"/>
          <w:szCs w:val="17"/>
          <w:color w:val="0591DB"/>
        </w:rPr>
        <w:t>page 62</w:t>
      </w:r>
      <w:r>
        <w:rPr>
          <w:rFonts w:ascii="Calibri" w:cs="Calibri" w:eastAsia="Calibri" w:hAnsi="Calibri"/>
          <w:sz w:val="17"/>
          <w:szCs w:val="17"/>
          <w:color w:val="333333"/>
        </w:rPr>
        <w:t xml:space="preserve"> of this Proxy Statement.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Functons of the Compensaton Commitee</w:t>
      </w:r>
    </w:p>
    <w:p>
      <w:pPr>
        <w:spacing w:after="0" w:line="113" w:lineRule="exact"/>
        <w:rPr>
          <w:sz w:val="20"/>
          <w:szCs w:val="20"/>
          <w:color w:val="auto"/>
        </w:rPr>
      </w:pPr>
    </w:p>
    <w:p>
      <w:pPr>
        <w:ind w:left="1020" w:hanging="318"/>
        <w:spacing w:after="0"/>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approves the compensaton of our CEO;</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administers our equity-based compensaton plans and approves awards under such plans;</w:t>
      </w:r>
    </w:p>
    <w:p>
      <w:pPr>
        <w:spacing w:after="0" w:line="131" w:lineRule="exact"/>
        <w:rPr>
          <w:rFonts w:ascii="MS PGothic" w:cs="MS PGothic" w:eastAsia="MS PGothic" w:hAnsi="MS PGothic"/>
          <w:sz w:val="17"/>
          <w:szCs w:val="17"/>
          <w:color w:val="0591DB"/>
        </w:rPr>
      </w:pPr>
    </w:p>
    <w:p>
      <w:pPr>
        <w:ind w:left="1020" w:right="180" w:hanging="318"/>
        <w:spacing w:after="0" w:line="233"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establishes objectve performance goals, individual award levels and operatve and subjectve performance measures and adjustments, and oversees all aspects of executve ofcer incentve compensaton;</w:t>
      </w:r>
    </w:p>
    <w:p>
      <w:pPr>
        <w:spacing w:after="0" w:line="118" w:lineRule="exact"/>
        <w:rPr>
          <w:rFonts w:ascii="MS PGothic" w:cs="MS PGothic" w:eastAsia="MS PGothic" w:hAnsi="MS PGothic"/>
          <w:sz w:val="17"/>
          <w:szCs w:val="17"/>
          <w:color w:val="0591DB"/>
        </w:rPr>
      </w:pPr>
    </w:p>
    <w:p>
      <w:pPr>
        <w:ind w:left="1020" w:right="20" w:hanging="318"/>
        <w:spacing w:after="0" w:line="233"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reviews and approves or recommends that the Board approve employment, consultng and other contracts or arrangements with present and former executve ofcers;</w:t>
      </w:r>
    </w:p>
    <w:p>
      <w:pPr>
        <w:spacing w:after="0" w:line="118" w:lineRule="exact"/>
        <w:rPr>
          <w:rFonts w:ascii="MS PGothic" w:cs="MS PGothic" w:eastAsia="MS PGothic" w:hAnsi="MS PGothic"/>
          <w:sz w:val="17"/>
          <w:szCs w:val="17"/>
          <w:color w:val="0591DB"/>
        </w:rPr>
      </w:pPr>
    </w:p>
    <w:p>
      <w:pPr>
        <w:ind w:left="1020" w:right="320" w:hanging="318"/>
        <w:spacing w:after="0" w:line="233"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reviews the compensaton disclosures in the annual proxy statement and annual report on Form 10-K fled with the SEC and discusses the disclosures with management;</w:t>
      </w:r>
    </w:p>
    <w:p>
      <w:pPr>
        <w:spacing w:after="0" w:line="118" w:lineRule="exact"/>
        <w:rPr>
          <w:rFonts w:ascii="MS PGothic" w:cs="MS PGothic" w:eastAsia="MS PGothic" w:hAnsi="MS PGothic"/>
          <w:sz w:val="17"/>
          <w:szCs w:val="17"/>
          <w:color w:val="0591DB"/>
        </w:rPr>
      </w:pPr>
    </w:p>
    <w:p>
      <w:pPr>
        <w:ind w:left="1020" w:right="240" w:hanging="318"/>
        <w:spacing w:after="0" w:line="233"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performs annual performance evaluatons of our CEO and reviews the CEO’s annual performance evaluatons of other executve ofcers, in conjuncton with the Lead Independent Director, or other commitees of the Board in its discreton;</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performs an annual self-evaluaton of the Compensaton Commitee;</w:t>
      </w:r>
    </w:p>
    <w:p>
      <w:pPr>
        <w:spacing w:after="0" w:line="131" w:lineRule="exact"/>
        <w:rPr>
          <w:rFonts w:ascii="MS PGothic" w:cs="MS PGothic" w:eastAsia="MS PGothic" w:hAnsi="MS PGothic"/>
          <w:sz w:val="17"/>
          <w:szCs w:val="17"/>
          <w:color w:val="0591DB"/>
        </w:rPr>
      </w:pPr>
    </w:p>
    <w:p>
      <w:pPr>
        <w:ind w:left="1020" w:right="340" w:hanging="318"/>
        <w:spacing w:after="0" w:line="233"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reviews the Charter of the Compensaton Commitee and recommends changes to the NCGSR Commitee for submission to the Board for approval;</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prepares the Compensaton Commitee Report included in the annual proxy statement;</w:t>
      </w:r>
    </w:p>
    <w:p>
      <w:pPr>
        <w:spacing w:after="0" w:line="131"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submits all equity-based compensaton plans, executve ofcer compensaton plans and material revisions to such plans to a vote of the Board and to a vote of shareholders if shareholder approval is required; and</w:t>
      </w:r>
    </w:p>
    <w:p>
      <w:pPr>
        <w:spacing w:after="0" w:line="118" w:lineRule="exact"/>
        <w:rPr>
          <w:rFonts w:ascii="MS PGothic" w:cs="MS PGothic" w:eastAsia="MS PGothic" w:hAnsi="MS PGothic"/>
          <w:sz w:val="17"/>
          <w:szCs w:val="17"/>
          <w:color w:val="0591DB"/>
        </w:rPr>
      </w:pPr>
    </w:p>
    <w:p>
      <w:pPr>
        <w:ind w:left="1020" w:right="100" w:hanging="318"/>
        <w:spacing w:after="0" w:line="232" w:lineRule="auto"/>
        <w:tabs>
          <w:tab w:leader="none" w:pos="1020" w:val="left"/>
        </w:tabs>
        <w:numPr>
          <w:ilvl w:val="0"/>
          <w:numId w:val="47"/>
        </w:numPr>
        <w:rPr>
          <w:rFonts w:ascii="MS PGothic" w:cs="MS PGothic" w:eastAsia="MS PGothic" w:hAnsi="MS PGothic"/>
          <w:sz w:val="17"/>
          <w:szCs w:val="17"/>
          <w:color w:val="0591DB"/>
        </w:rPr>
      </w:pPr>
      <w:r>
        <w:rPr>
          <w:rFonts w:ascii="Calibri" w:cs="Calibri" w:eastAsia="Calibri" w:hAnsi="Calibri"/>
          <w:sz w:val="17"/>
          <w:szCs w:val="17"/>
          <w:color w:val="333333"/>
        </w:rPr>
        <w:t>provides that shareholders have the opportunity to vote on (i) an advisory (non-binding) resoluton to approve the compensaton of the Company’s NEOs in accordance with the frequency selected by shareholders and (ii) the frequency of the shareholder advisory (non-binding) vote to approve the resoluton approving the compensaton of the NEOs at least once every six years.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Compensaton Commitee Interlocks and Insider Partcipaton</w:t>
      </w:r>
    </w:p>
    <w:p>
      <w:pPr>
        <w:spacing w:after="0" w:line="212" w:lineRule="exact"/>
        <w:rPr>
          <w:sz w:val="20"/>
          <w:szCs w:val="20"/>
          <w:color w:val="auto"/>
        </w:rPr>
      </w:pPr>
    </w:p>
    <w:p>
      <w:pPr>
        <w:ind w:left="160" w:right="280"/>
        <w:spacing w:after="0" w:line="232" w:lineRule="auto"/>
        <w:rPr>
          <w:sz w:val="20"/>
          <w:szCs w:val="20"/>
          <w:color w:val="auto"/>
        </w:rPr>
      </w:pPr>
      <w:r>
        <w:rPr>
          <w:rFonts w:ascii="Calibri" w:cs="Calibri" w:eastAsia="Calibri" w:hAnsi="Calibri"/>
          <w:sz w:val="17"/>
          <w:szCs w:val="17"/>
          <w:color w:val="333333"/>
        </w:rPr>
        <w:t>During the year ended December 31, 2025, no director who served as a member of the Compensaton Commitee served as one of our ofcers or employees, and no executve ofcer served as a member of the board or compensaton commitee of any other company that had an executve ofcer who served as a member of our Board or Compensaton Commitee.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Nominatng, Corporate Governance and Social Responsibility Commitee</w:t>
      </w:r>
    </w:p>
    <w:p>
      <w:pPr>
        <w:spacing w:after="0" w:line="212" w:lineRule="exact"/>
        <w:rPr>
          <w:sz w:val="20"/>
          <w:szCs w:val="20"/>
          <w:color w:val="auto"/>
        </w:rPr>
      </w:pPr>
    </w:p>
    <w:p>
      <w:pPr>
        <w:ind w:left="160" w:right="580"/>
        <w:spacing w:after="0" w:line="233" w:lineRule="auto"/>
        <w:rPr>
          <w:sz w:val="20"/>
          <w:szCs w:val="20"/>
          <w:color w:val="auto"/>
        </w:rPr>
      </w:pPr>
      <w:r>
        <w:rPr>
          <w:rFonts w:ascii="Calibri" w:cs="Calibri" w:eastAsia="Calibri" w:hAnsi="Calibri"/>
          <w:sz w:val="17"/>
          <w:szCs w:val="17"/>
          <w:color w:val="333333"/>
        </w:rPr>
        <w:t>The NCGSR Commitee consists of only non-employee directors, who qualify as independent directors under our Categorical Standards of Director Independence and the NYSE’s listng rules.</w:t>
      </w:r>
    </w:p>
    <w:p>
      <w:pPr>
        <w:spacing w:after="0" w:line="141"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26</w:t>
      </w:r>
    </w:p>
    <w:p>
      <w:pPr>
        <w:sectPr>
          <w:pgSz w:w="11900" w:h="16838" w:orient="portrait"/>
          <w:cols w:equalWidth="0" w:num="1">
            <w:col w:w="11020"/>
          </w:cols>
          <w:pgMar w:left="320" w:top="478"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Functons of the Nominatng, Corporate Governance and Social Responsibility Commitee</w:t>
      </w:r>
    </w:p>
    <w:p>
      <w:pPr>
        <w:spacing w:after="0" w:line="113" w:lineRule="exact"/>
        <w:rPr>
          <w:sz w:val="20"/>
          <w:szCs w:val="20"/>
          <w:color w:val="auto"/>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identfes and qualifes the annual slate of directors for nominaton by the Board;</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reviews non-employee director compensaton and recommends changes to the Board for approval;</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assesses the independence of directors for the Board and Commitees;</w:t>
      </w:r>
    </w:p>
    <w:p>
      <w:pPr>
        <w:spacing w:after="0" w:line="131" w:lineRule="exact"/>
        <w:rPr>
          <w:rFonts w:ascii="MS PGothic" w:cs="MS PGothic" w:eastAsia="MS PGothic" w:hAnsi="MS PGothic"/>
          <w:sz w:val="17"/>
          <w:szCs w:val="17"/>
          <w:color w:val="0591DB"/>
        </w:rPr>
      </w:pPr>
    </w:p>
    <w:p>
      <w:pPr>
        <w:ind w:left="1020" w:right="480" w:hanging="318"/>
        <w:spacing w:after="0" w:line="233" w:lineRule="auto"/>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identfes and qualifes the candidates for Chairman of the Board, Lead Independent Director and membership and chairmanship of the Commitees for electon by the Board;</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identfes and qualifes candidates to fll vacancies occurring between annual meetngs of shareholders for electon by the Board;</w:t>
      </w:r>
    </w:p>
    <w:p>
      <w:pPr>
        <w:spacing w:after="0" w:line="131" w:lineRule="exact"/>
        <w:rPr>
          <w:rFonts w:ascii="MS PGothic" w:cs="MS PGothic" w:eastAsia="MS PGothic" w:hAnsi="MS PGothic"/>
          <w:sz w:val="17"/>
          <w:szCs w:val="17"/>
          <w:color w:val="0591DB"/>
        </w:rPr>
      </w:pPr>
    </w:p>
    <w:p>
      <w:pPr>
        <w:ind w:left="1020" w:right="20" w:hanging="318"/>
        <w:spacing w:after="0" w:line="233" w:lineRule="auto"/>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monitors compliance with, and reviews proposed changes to, our Corporate Governance Guidelines, the Charter of the Commitee, and other policies and practces relatng to corporate governance for submission to the Board for approval;</w:t>
      </w:r>
    </w:p>
    <w:p>
      <w:pPr>
        <w:spacing w:after="0" w:line="118"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monitors and reviews responses to shareholder communicatons with non-management directors together with the independent Chairman of the Board or Lead Independent Director, as applicable;</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oversees the process for director educaton;</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oversees the process for Board and Commitee annual self-evaluatons;</w:t>
      </w:r>
    </w:p>
    <w:p>
      <w:pPr>
        <w:spacing w:after="0" w:line="131" w:lineRule="exact"/>
        <w:rPr>
          <w:rFonts w:ascii="MS PGothic" w:cs="MS PGothic" w:eastAsia="MS PGothic" w:hAnsi="MS PGothic"/>
          <w:sz w:val="17"/>
          <w:szCs w:val="17"/>
          <w:color w:val="0591DB"/>
        </w:rPr>
      </w:pPr>
    </w:p>
    <w:p>
      <w:pPr>
        <w:ind w:left="1020" w:right="300" w:hanging="318"/>
        <w:spacing w:after="0" w:line="233" w:lineRule="auto"/>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oversees the process for performance evaluatons of our executve ofcers in conjuncton with our independent Chairman of the Board or Lead Independent Director, as applicable, and the Compensaton Commitee;</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oversees the process relatng to succession planning for our CEO and other executve ofcer positons;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reviews directors’ and ofcers’ liability insurance terms and limits;</w:t>
      </w:r>
    </w:p>
    <w:p>
      <w:pPr>
        <w:spacing w:after="0" w:line="131" w:lineRule="exact"/>
        <w:rPr>
          <w:rFonts w:ascii="MS PGothic" w:cs="MS PGothic" w:eastAsia="MS PGothic" w:hAnsi="MS PGothic"/>
          <w:sz w:val="17"/>
          <w:szCs w:val="17"/>
          <w:color w:val="0591DB"/>
        </w:rPr>
      </w:pPr>
    </w:p>
    <w:p>
      <w:pPr>
        <w:ind w:left="1020" w:right="40" w:hanging="318"/>
        <w:spacing w:after="0" w:line="233" w:lineRule="auto"/>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oversees, and reports to the Board and other interested Commitees, regarding social responsibility, human capital, and environmental, social and governance- (“ESG”), climate change- and other sustainability-related factors;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reviews and discusses with management the Company’s reports that address ESG-, climate change- and sustainability-related topics;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reviews the Charter of the NCGSR Commitee and recommends changes to the Board for approval;</w:t>
      </w:r>
    </w:p>
    <w:p>
      <w:pPr>
        <w:spacing w:after="0" w:line="131" w:lineRule="exact"/>
        <w:rPr>
          <w:rFonts w:ascii="MS PGothic" w:cs="MS PGothic" w:eastAsia="MS PGothic" w:hAnsi="MS PGothic"/>
          <w:sz w:val="17"/>
          <w:szCs w:val="17"/>
          <w:color w:val="0591DB"/>
        </w:rPr>
      </w:pPr>
    </w:p>
    <w:p>
      <w:pPr>
        <w:ind w:left="1020" w:right="480" w:hanging="318"/>
        <w:spacing w:after="0" w:line="233" w:lineRule="auto"/>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reviews the annual proxy statement disclosures, including those pertaining to the nominaton of directors, the electon of directors, the independence of directors, corporate governance, and ESG-, climate change- and sustainability-related topics; and</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48"/>
        </w:numPr>
        <w:rPr>
          <w:rFonts w:ascii="MS PGothic" w:cs="MS PGothic" w:eastAsia="MS PGothic" w:hAnsi="MS PGothic"/>
          <w:sz w:val="17"/>
          <w:szCs w:val="17"/>
          <w:color w:val="0591DB"/>
        </w:rPr>
      </w:pPr>
      <w:r>
        <w:rPr>
          <w:rFonts w:ascii="Calibri" w:cs="Calibri" w:eastAsia="Calibri" w:hAnsi="Calibri"/>
          <w:sz w:val="17"/>
          <w:szCs w:val="17"/>
          <w:color w:val="333333"/>
        </w:rPr>
        <w:t>performs an annual self-evaluaton of the NCGSR Commitee.</w:t>
      </w: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COMPENSATION OF NON-EMPLOYEE DIRECTORS AND POLICY ON NON-EMPLOYEE DIRECTOR EQUITY OWNERSHIP</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General</w:t>
      </w:r>
    </w:p>
    <w:p>
      <w:pPr>
        <w:spacing w:after="0" w:line="21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Non-employee directors receive annual retainer and equity compensaton as described below pursuant to the FTI Consultng, Inc. Non-Employee Director Compensaton Plan, amended and restated efectve as of January 1, 2016 (the “Director Plan”). In 2025, in connecton with Mr. Costamagna’s appointment as Lead Independent Director, the NCGSR Commitee recommended, and the Board approved, an annual Lead Independent Director fee. We reimburse</w:t>
      </w:r>
    </w:p>
    <w:p>
      <w:pPr>
        <w:spacing w:after="0" w:line="322"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27</w:t>
      </w:r>
    </w:p>
    <w:p>
      <w:pPr>
        <w:sectPr>
          <w:pgSz w:w="11900" w:h="16838" w:orient="portrait"/>
          <w:cols w:equalWidth="0" w:num="1">
            <w:col w:w="11020"/>
          </w:cols>
          <w:pgMar w:left="320" w:top="478"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300"/>
        <w:spacing w:after="0" w:line="233" w:lineRule="auto"/>
        <w:rPr>
          <w:sz w:val="20"/>
          <w:szCs w:val="20"/>
          <w:color w:val="auto"/>
        </w:rPr>
      </w:pPr>
      <w:r>
        <w:rPr>
          <w:rFonts w:ascii="Calibri" w:cs="Calibri" w:eastAsia="Calibri" w:hAnsi="Calibri"/>
          <w:sz w:val="17"/>
          <w:szCs w:val="17"/>
          <w:color w:val="333333"/>
        </w:rPr>
        <w:t>our non-employee directors for their out-of-pocket expenses incurred in the performance of their dutes as our directors (including expenses related to spouses when spouses are invited to atend Board events). We do not pay fees for atendance at Board and Commitee meetngs.</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Non-Employee Director Compensaton</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following table describes the components of non-employee director compensaton for 2025:</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3640" w:type="dxa"/>
            <w:vAlign w:val="bottom"/>
            <w:tcBorders>
              <w:top w:val="single" w:sz="8" w:color="0591DB"/>
              <w:left w:val="single" w:sz="8" w:color="0591DB"/>
              <w:right w:val="single" w:sz="8" w:color="0591DB"/>
            </w:tcBorders>
          </w:tcPr>
          <w:p>
            <w:pPr>
              <w:spacing w:after="0"/>
              <w:rPr>
                <w:sz w:val="19"/>
                <w:szCs w:val="19"/>
                <w:color w:val="auto"/>
              </w:rPr>
            </w:pPr>
          </w:p>
        </w:tc>
        <w:tc>
          <w:tcPr>
            <w:tcW w:w="370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5"/>
              </w:rPr>
              <w:t>2025 DIRECTOR</w:t>
            </w:r>
          </w:p>
        </w:tc>
        <w:tc>
          <w:tcPr>
            <w:tcW w:w="3580" w:type="dxa"/>
            <w:vAlign w:val="bottom"/>
            <w:tcBorders>
              <w:top w:val="single" w:sz="8" w:color="0591DB"/>
            </w:tcBorders>
          </w:tcPr>
          <w:p>
            <w:pPr>
              <w:jc w:val="center"/>
              <w:ind w:left="94"/>
              <w:spacing w:after="0" w:line="221" w:lineRule="exact"/>
              <w:rPr>
                <w:sz w:val="20"/>
                <w:szCs w:val="20"/>
                <w:color w:val="auto"/>
              </w:rPr>
            </w:pPr>
            <w:r>
              <w:rPr>
                <w:rFonts w:ascii="Calibri" w:cs="Calibri" w:eastAsia="Calibri" w:hAnsi="Calibri"/>
                <w:sz w:val="21"/>
                <w:szCs w:val="21"/>
                <w:b w:val="1"/>
                <w:bCs w:val="1"/>
                <w:color w:val="0591DB"/>
                <w:w w:val="94"/>
              </w:rPr>
              <w:t>ALTERNATIVE FORMS OF</w:t>
            </w: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40" w:type="dxa"/>
            <w:vAlign w:val="bottom"/>
            <w:tcBorders>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COMPENSATION ELEMENTS</w:t>
            </w:r>
          </w:p>
        </w:tc>
        <w:tc>
          <w:tcPr>
            <w:tcW w:w="3700" w:type="dxa"/>
            <w:vAlign w:val="bottom"/>
            <w:tcBorders>
              <w:right w:val="single" w:sz="8" w:color="0591DB"/>
            </w:tcBorders>
          </w:tcPr>
          <w:p>
            <w:pPr>
              <w:jc w:val="center"/>
              <w:spacing w:after="0"/>
              <w:rPr>
                <w:sz w:val="20"/>
                <w:szCs w:val="20"/>
                <w:color w:val="auto"/>
              </w:rPr>
            </w:pPr>
            <w:r>
              <w:rPr>
                <w:rFonts w:ascii="Calibri" w:cs="Calibri" w:eastAsia="Calibri" w:hAnsi="Calibri"/>
                <w:sz w:val="21"/>
                <w:szCs w:val="21"/>
                <w:b w:val="1"/>
                <w:bCs w:val="1"/>
                <w:color w:val="0591DB"/>
                <w:w w:val="95"/>
              </w:rPr>
              <w:t xml:space="preserve">COMPENSATION VALUES </w:t>
            </w:r>
            <w:r>
              <w:rPr>
                <w:rFonts w:ascii="Calibri" w:cs="Calibri" w:eastAsia="Calibri" w:hAnsi="Calibri"/>
                <w:sz w:val="15"/>
                <w:szCs w:val="15"/>
                <w:b w:val="1"/>
                <w:bCs w:val="1"/>
                <w:color w:val="0591DB"/>
                <w:w w:val="95"/>
              </w:rPr>
              <w:t>(1) (5)</w:t>
            </w:r>
          </w:p>
        </w:tc>
        <w:tc>
          <w:tcPr>
            <w:tcW w:w="3580" w:type="dxa"/>
            <w:vAlign w:val="bottom"/>
          </w:tcPr>
          <w:p>
            <w:pPr>
              <w:jc w:val="center"/>
              <w:ind w:left="74"/>
              <w:spacing w:after="0" w:line="244" w:lineRule="exact"/>
              <w:rPr>
                <w:sz w:val="20"/>
                <w:szCs w:val="20"/>
                <w:color w:val="auto"/>
              </w:rPr>
            </w:pPr>
            <w:r>
              <w:rPr>
                <w:rFonts w:ascii="Calibri" w:cs="Calibri" w:eastAsia="Calibri" w:hAnsi="Calibri"/>
                <w:sz w:val="21"/>
                <w:szCs w:val="21"/>
                <w:b w:val="1"/>
                <w:bCs w:val="1"/>
                <w:color w:val="0591DB"/>
                <w:w w:val="93"/>
              </w:rPr>
              <w:t>PAYMENT</w:t>
            </w:r>
          </w:p>
        </w:tc>
        <w:tc>
          <w:tcPr>
            <w:tcW w:w="20" w:type="dxa"/>
            <w:vAlign w:val="bottom"/>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3640" w:type="dxa"/>
            <w:vAlign w:val="bottom"/>
            <w:tcBorders>
              <w:left w:val="single" w:sz="8" w:color="0591DB"/>
              <w:bottom w:val="single" w:sz="8" w:color="0591DB"/>
              <w:right w:val="single" w:sz="8" w:color="0591DB"/>
            </w:tcBorders>
          </w:tcPr>
          <w:p>
            <w:pPr>
              <w:spacing w:after="0"/>
              <w:rPr>
                <w:sz w:val="2"/>
                <w:szCs w:val="2"/>
                <w:color w:val="auto"/>
              </w:rPr>
            </w:pPr>
          </w:p>
        </w:tc>
        <w:tc>
          <w:tcPr>
            <w:tcW w:w="3700" w:type="dxa"/>
            <w:vAlign w:val="bottom"/>
            <w:tcBorders>
              <w:bottom w:val="single" w:sz="8" w:color="0591DB"/>
              <w:right w:val="single" w:sz="8" w:color="0591DB"/>
            </w:tcBorders>
          </w:tcPr>
          <w:p>
            <w:pPr>
              <w:spacing w:after="0"/>
              <w:rPr>
                <w:sz w:val="2"/>
                <w:szCs w:val="2"/>
                <w:color w:val="auto"/>
              </w:rPr>
            </w:pPr>
          </w:p>
        </w:tc>
        <w:tc>
          <w:tcPr>
            <w:tcW w:w="358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640" w:type="dxa"/>
            <w:vAlign w:val="bottom"/>
          </w:tcPr>
          <w:p>
            <w:pPr>
              <w:jc w:val="center"/>
              <w:spacing w:after="0" w:line="247" w:lineRule="exact"/>
              <w:rPr>
                <w:sz w:val="20"/>
                <w:szCs w:val="20"/>
                <w:color w:val="auto"/>
              </w:rPr>
            </w:pPr>
            <w:r>
              <w:rPr>
                <w:rFonts w:ascii="Calibri" w:cs="Calibri" w:eastAsia="Calibri" w:hAnsi="Calibri"/>
                <w:sz w:val="16"/>
                <w:szCs w:val="16"/>
                <w:b w:val="1"/>
                <w:bCs w:val="1"/>
                <w:color w:val="333333"/>
                <w:w w:val="91"/>
              </w:rPr>
              <w:t xml:space="preserve">Annual Retainer </w:t>
            </w:r>
            <w:r>
              <w:rPr>
                <w:rFonts w:ascii="Calibri" w:cs="Calibri" w:eastAsia="Calibri" w:hAnsi="Calibri"/>
                <w:sz w:val="24"/>
                <w:szCs w:val="24"/>
                <w:color w:val="333333"/>
                <w:w w:val="91"/>
                <w:vertAlign w:val="superscript"/>
              </w:rPr>
              <w:t>(2) (5) (6)</w:t>
            </w:r>
          </w:p>
        </w:tc>
        <w:tc>
          <w:tcPr>
            <w:tcW w:w="3700" w:type="dxa"/>
            <w:vAlign w:val="bottom"/>
          </w:tcPr>
          <w:p>
            <w:pPr>
              <w:jc w:val="center"/>
              <w:spacing w:after="0"/>
              <w:rPr>
                <w:sz w:val="20"/>
                <w:szCs w:val="20"/>
                <w:color w:val="auto"/>
              </w:rPr>
            </w:pPr>
            <w:r>
              <w:rPr>
                <w:rFonts w:ascii="Calibri" w:cs="Calibri" w:eastAsia="Calibri" w:hAnsi="Calibri"/>
                <w:sz w:val="16"/>
                <w:szCs w:val="16"/>
                <w:color w:val="333333"/>
                <w:w w:val="98"/>
              </w:rPr>
              <w:t>$50,000</w:t>
            </w:r>
          </w:p>
        </w:tc>
        <w:tc>
          <w:tcPr>
            <w:tcW w:w="3580" w:type="dxa"/>
            <w:vAlign w:val="bottom"/>
          </w:tcPr>
          <w:p>
            <w:pPr>
              <w:jc w:val="center"/>
              <w:ind w:left="114"/>
              <w:spacing w:after="0"/>
              <w:rPr>
                <w:sz w:val="20"/>
                <w:szCs w:val="20"/>
                <w:color w:val="auto"/>
              </w:rPr>
            </w:pPr>
            <w:r>
              <w:rPr>
                <w:rFonts w:ascii="Calibri" w:cs="Calibri" w:eastAsia="Calibri" w:hAnsi="Calibri"/>
                <w:sz w:val="16"/>
                <w:szCs w:val="16"/>
                <w:color w:val="333333"/>
                <w:w w:val="99"/>
              </w:rPr>
              <w:t>Cash or Deferred Stock Units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640" w:type="dxa"/>
            <w:vAlign w:val="bottom"/>
            <w:tcBorders>
              <w:left w:val="single" w:sz="8" w:color="EFF2EF"/>
              <w:right w:val="single" w:sz="8" w:color="EFF2EF"/>
            </w:tcBorders>
            <w:shd w:val="clear" w:color="auto" w:fill="EFF2EF"/>
          </w:tcPr>
          <w:p>
            <w:pPr>
              <w:spacing w:after="0"/>
              <w:rPr>
                <w:sz w:val="20"/>
                <w:szCs w:val="20"/>
                <w:color w:val="auto"/>
              </w:rPr>
            </w:pPr>
          </w:p>
        </w:tc>
        <w:tc>
          <w:tcPr>
            <w:tcW w:w="3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$10,000 — Chair of Audit Commitee</w:t>
            </w:r>
          </w:p>
        </w:tc>
        <w:tc>
          <w:tcPr>
            <w:tcW w:w="3580" w:type="dxa"/>
            <w:vAlign w:val="bottom"/>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640" w:type="dxa"/>
            <w:vAlign w:val="bottom"/>
            <w:tcBorders>
              <w:left w:val="single" w:sz="8" w:color="EFF2EF"/>
              <w:right w:val="single" w:sz="8" w:color="EFF2EF"/>
            </w:tcBorders>
            <w:vMerge w:val="restart"/>
            <w:shd w:val="clear" w:color="auto" w:fill="EFF2EF"/>
          </w:tcPr>
          <w:p>
            <w:pPr>
              <w:jc w:val="center"/>
              <w:spacing w:after="0"/>
              <w:rPr>
                <w:sz w:val="20"/>
                <w:szCs w:val="20"/>
                <w:color w:val="auto"/>
              </w:rPr>
            </w:pPr>
            <w:r>
              <w:rPr>
                <w:rFonts w:ascii="Calibri" w:cs="Calibri" w:eastAsia="Calibri" w:hAnsi="Calibri"/>
                <w:sz w:val="16"/>
                <w:szCs w:val="16"/>
                <w:b w:val="1"/>
                <w:bCs w:val="1"/>
                <w:color w:val="333333"/>
                <w:w w:val="98"/>
              </w:rPr>
              <w:t xml:space="preserve">Annual Commitee Chair Fees </w:t>
            </w:r>
            <w:r>
              <w:rPr>
                <w:rFonts w:ascii="Calibri" w:cs="Calibri" w:eastAsia="Calibri" w:hAnsi="Calibri"/>
                <w:sz w:val="24"/>
                <w:szCs w:val="24"/>
                <w:color w:val="333333"/>
                <w:w w:val="98"/>
                <w:vertAlign w:val="superscript"/>
              </w:rPr>
              <w:t>(2) (5)</w:t>
            </w:r>
          </w:p>
        </w:tc>
        <w:tc>
          <w:tcPr>
            <w:tcW w:w="3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$7,500 — Chair of Compensaton Commitee</w:t>
            </w:r>
          </w:p>
        </w:tc>
        <w:tc>
          <w:tcPr>
            <w:tcW w:w="3580" w:type="dxa"/>
            <w:vAlign w:val="bottom"/>
            <w:vMerge w:val="restart"/>
            <w:shd w:val="clear" w:color="auto" w:fill="EFF2EF"/>
          </w:tcPr>
          <w:p>
            <w:pPr>
              <w:jc w:val="center"/>
              <w:ind w:left="114"/>
              <w:spacing w:after="0"/>
              <w:rPr>
                <w:sz w:val="20"/>
                <w:szCs w:val="20"/>
                <w:color w:val="auto"/>
              </w:rPr>
            </w:pPr>
            <w:r>
              <w:rPr>
                <w:rFonts w:ascii="Calibri" w:cs="Calibri" w:eastAsia="Calibri" w:hAnsi="Calibri"/>
                <w:sz w:val="16"/>
                <w:szCs w:val="16"/>
                <w:color w:val="333333"/>
                <w:w w:val="99"/>
              </w:rPr>
              <w:t>Cash or Deferred Stock Units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640" w:type="dxa"/>
            <w:vAlign w:val="bottom"/>
            <w:tcBorders>
              <w:left w:val="single" w:sz="8" w:color="EFF2EF"/>
              <w:right w:val="single" w:sz="8" w:color="EFF2EF"/>
            </w:tcBorders>
            <w:vMerge w:val="continue"/>
            <w:shd w:val="clear" w:color="auto" w:fill="EFF2EF"/>
          </w:tcPr>
          <w:p>
            <w:pPr>
              <w:spacing w:after="0"/>
              <w:rPr>
                <w:sz w:val="13"/>
                <w:szCs w:val="13"/>
                <w:color w:val="auto"/>
              </w:rPr>
            </w:pPr>
          </w:p>
        </w:tc>
        <w:tc>
          <w:tcPr>
            <w:tcW w:w="3700" w:type="dxa"/>
            <w:vAlign w:val="bottom"/>
            <w:tcBorders>
              <w:right w:val="single" w:sz="8" w:color="EFF2EF"/>
            </w:tcBorders>
            <w:vMerge w:val="restart"/>
            <w:shd w:val="clear" w:color="auto" w:fill="EFF2EF"/>
          </w:tcPr>
          <w:p>
            <w:pPr>
              <w:jc w:val="center"/>
              <w:spacing w:after="0"/>
              <w:rPr>
                <w:sz w:val="20"/>
                <w:szCs w:val="20"/>
                <w:color w:val="auto"/>
              </w:rPr>
            </w:pPr>
            <w:r>
              <w:rPr>
                <w:rFonts w:ascii="Calibri" w:cs="Calibri" w:eastAsia="Calibri" w:hAnsi="Calibri"/>
                <w:sz w:val="16"/>
                <w:szCs w:val="16"/>
                <w:color w:val="333333"/>
              </w:rPr>
              <w:t>$5,000 — Chair of Nominatng, Corporate</w:t>
            </w:r>
          </w:p>
        </w:tc>
        <w:tc>
          <w:tcPr>
            <w:tcW w:w="3580" w:type="dxa"/>
            <w:vAlign w:val="bottom"/>
            <w:vMerge w:val="continue"/>
            <w:shd w:val="clear" w:color="auto" w:fill="EFF2E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640" w:type="dxa"/>
            <w:vAlign w:val="bottom"/>
            <w:tcBorders>
              <w:left w:val="single" w:sz="8" w:color="EFF2EF"/>
              <w:right w:val="single" w:sz="8" w:color="EFF2EF"/>
            </w:tcBorders>
            <w:shd w:val="clear" w:color="auto" w:fill="EFF2EF"/>
          </w:tcPr>
          <w:p>
            <w:pPr>
              <w:spacing w:after="0"/>
              <w:rPr>
                <w:sz w:val="3"/>
                <w:szCs w:val="3"/>
                <w:color w:val="auto"/>
              </w:rPr>
            </w:pPr>
          </w:p>
        </w:tc>
        <w:tc>
          <w:tcPr>
            <w:tcW w:w="3700" w:type="dxa"/>
            <w:vAlign w:val="bottom"/>
            <w:tcBorders>
              <w:right w:val="single" w:sz="8" w:color="EFF2EF"/>
            </w:tcBorders>
            <w:vMerge w:val="continue"/>
            <w:shd w:val="clear" w:color="auto" w:fill="EFF2EF"/>
          </w:tcPr>
          <w:p>
            <w:pPr>
              <w:spacing w:after="0"/>
              <w:rPr>
                <w:sz w:val="3"/>
                <w:szCs w:val="3"/>
                <w:color w:val="auto"/>
              </w:rPr>
            </w:pPr>
          </w:p>
        </w:tc>
        <w:tc>
          <w:tcPr>
            <w:tcW w:w="3580" w:type="dxa"/>
            <w:vAlign w:val="bottom"/>
            <w:shd w:val="clear" w:color="auto" w:fill="EFF2E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tcBorders>
              <w:left w:val="single" w:sz="8" w:color="EFF2EF"/>
              <w:bottom w:val="single" w:sz="8" w:color="EFF2EF"/>
              <w:right w:val="single" w:sz="8" w:color="EFF2EF"/>
            </w:tcBorders>
            <w:shd w:val="clear" w:color="auto" w:fill="EFF2EF"/>
          </w:tcPr>
          <w:p>
            <w:pPr>
              <w:spacing w:after="0"/>
              <w:rPr>
                <w:sz w:val="19"/>
                <w:szCs w:val="19"/>
                <w:color w:val="auto"/>
              </w:rPr>
            </w:pPr>
          </w:p>
        </w:tc>
        <w:tc>
          <w:tcPr>
            <w:tcW w:w="3700" w:type="dxa"/>
            <w:vAlign w:val="bottom"/>
            <w:tcBorders>
              <w:bottom w:val="single" w:sz="8" w:color="EFF2EF"/>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Governance and Social Responsibility Commitee</w:t>
            </w:r>
          </w:p>
        </w:tc>
        <w:tc>
          <w:tcPr>
            <w:tcW w:w="3580" w:type="dxa"/>
            <w:vAlign w:val="bottom"/>
            <w:tcBorders>
              <w:bottom w:val="single" w:sz="8" w:color="EFF2EF"/>
            </w:tcBorders>
            <w:shd w:val="clear" w:color="auto" w:fill="EFF2E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64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333333"/>
              </w:rPr>
              <w:t>Additonal Annual Lead</w:t>
            </w:r>
          </w:p>
        </w:tc>
        <w:tc>
          <w:tcPr>
            <w:tcW w:w="3700" w:type="dxa"/>
            <w:vAlign w:val="bottom"/>
            <w:vMerge w:val="restart"/>
          </w:tcPr>
          <w:p>
            <w:pPr>
              <w:jc w:val="center"/>
              <w:spacing w:after="0"/>
              <w:rPr>
                <w:sz w:val="20"/>
                <w:szCs w:val="20"/>
                <w:color w:val="auto"/>
              </w:rPr>
            </w:pPr>
            <w:r>
              <w:rPr>
                <w:rFonts w:ascii="Calibri" w:cs="Calibri" w:eastAsia="Calibri" w:hAnsi="Calibri"/>
                <w:sz w:val="16"/>
                <w:szCs w:val="16"/>
                <w:color w:val="333333"/>
                <w:w w:val="98"/>
              </w:rPr>
              <w:t>$30,000</w:t>
            </w:r>
          </w:p>
        </w:tc>
        <w:tc>
          <w:tcPr>
            <w:tcW w:w="3580" w:type="dxa"/>
            <w:vAlign w:val="bottom"/>
            <w:vMerge w:val="restart"/>
          </w:tcPr>
          <w:p>
            <w:pPr>
              <w:jc w:val="center"/>
              <w:ind w:left="114"/>
              <w:spacing w:after="0"/>
              <w:rPr>
                <w:sz w:val="20"/>
                <w:szCs w:val="20"/>
                <w:color w:val="auto"/>
              </w:rPr>
            </w:pPr>
            <w:r>
              <w:rPr>
                <w:rFonts w:ascii="Calibri" w:cs="Calibri" w:eastAsia="Calibri" w:hAnsi="Calibri"/>
                <w:sz w:val="16"/>
                <w:szCs w:val="16"/>
                <w:color w:val="333333"/>
                <w:w w:val="99"/>
              </w:rPr>
              <w:t>Cash or Deferred Stock Units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3640" w:type="dxa"/>
            <w:vAlign w:val="bottom"/>
            <w:vMerge w:val="restart"/>
          </w:tcPr>
          <w:p>
            <w:pPr>
              <w:jc w:val="center"/>
              <w:ind w:left="78"/>
              <w:spacing w:after="0" w:line="200" w:lineRule="exact"/>
              <w:rPr>
                <w:sz w:val="20"/>
                <w:szCs w:val="20"/>
                <w:color w:val="auto"/>
              </w:rPr>
            </w:pPr>
            <w:r>
              <w:rPr>
                <w:rFonts w:ascii="Calibri" w:cs="Calibri" w:eastAsia="Calibri" w:hAnsi="Calibri"/>
                <w:sz w:val="14"/>
                <w:szCs w:val="14"/>
                <w:b w:val="1"/>
                <w:bCs w:val="1"/>
                <w:color w:val="333333"/>
              </w:rPr>
              <w:t xml:space="preserve">Independent Director Fee </w:t>
            </w:r>
            <w:r>
              <w:rPr>
                <w:rFonts w:ascii="Calibri" w:cs="Calibri" w:eastAsia="Calibri" w:hAnsi="Calibri"/>
                <w:sz w:val="21"/>
                <w:szCs w:val="21"/>
                <w:color w:val="333333"/>
                <w:vertAlign w:val="superscript"/>
              </w:rPr>
              <w:t>(2) (5)</w:t>
            </w:r>
          </w:p>
        </w:tc>
        <w:tc>
          <w:tcPr>
            <w:tcW w:w="3700" w:type="dxa"/>
            <w:vAlign w:val="bottom"/>
            <w:vMerge w:val="continue"/>
          </w:tcPr>
          <w:p>
            <w:pPr>
              <w:spacing w:after="0"/>
              <w:rPr>
                <w:sz w:val="7"/>
                <w:szCs w:val="7"/>
                <w:color w:val="auto"/>
              </w:rPr>
            </w:pPr>
          </w:p>
        </w:tc>
        <w:tc>
          <w:tcPr>
            <w:tcW w:w="3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640" w:type="dxa"/>
            <w:vAlign w:val="bottom"/>
            <w:vMerge w:val="continue"/>
          </w:tcPr>
          <w:p>
            <w:pPr>
              <w:spacing w:after="0"/>
              <w:rPr>
                <w:sz w:val="10"/>
                <w:szCs w:val="10"/>
                <w:color w:val="auto"/>
              </w:rPr>
            </w:pPr>
          </w:p>
        </w:tc>
        <w:tc>
          <w:tcPr>
            <w:tcW w:w="37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64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333333"/>
              </w:rPr>
              <w:t>Additonal Annual Non-Employee</w:t>
            </w:r>
          </w:p>
        </w:tc>
        <w:tc>
          <w:tcPr>
            <w:tcW w:w="3700" w:type="dxa"/>
            <w:vAlign w:val="bottom"/>
            <w:vMerge w:val="restart"/>
          </w:tcPr>
          <w:p>
            <w:pPr>
              <w:jc w:val="center"/>
              <w:spacing w:after="0"/>
              <w:rPr>
                <w:sz w:val="20"/>
                <w:szCs w:val="20"/>
                <w:color w:val="auto"/>
              </w:rPr>
            </w:pPr>
            <w:r>
              <w:rPr>
                <w:rFonts w:ascii="Calibri" w:cs="Calibri" w:eastAsia="Calibri" w:hAnsi="Calibri"/>
                <w:sz w:val="16"/>
                <w:szCs w:val="16"/>
                <w:color w:val="333333"/>
                <w:w w:val="98"/>
              </w:rPr>
              <w:t>$200,000</w:t>
            </w:r>
          </w:p>
        </w:tc>
        <w:tc>
          <w:tcPr>
            <w:tcW w:w="3580" w:type="dxa"/>
            <w:vAlign w:val="bottom"/>
            <w:vMerge w:val="restart"/>
          </w:tcPr>
          <w:p>
            <w:pPr>
              <w:jc w:val="center"/>
              <w:ind w:left="114"/>
              <w:spacing w:after="0"/>
              <w:rPr>
                <w:sz w:val="20"/>
                <w:szCs w:val="20"/>
                <w:color w:val="auto"/>
              </w:rPr>
            </w:pPr>
            <w:r>
              <w:rPr>
                <w:rFonts w:ascii="Calibri" w:cs="Calibri" w:eastAsia="Calibri" w:hAnsi="Calibri"/>
                <w:sz w:val="16"/>
                <w:szCs w:val="16"/>
                <w:color w:val="333333"/>
                <w:w w:val="99"/>
              </w:rPr>
              <w:t>Cash or Deferred Stock Units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640" w:type="dxa"/>
            <w:vAlign w:val="bottom"/>
            <w:vMerge w:val="restart"/>
          </w:tcPr>
          <w:p>
            <w:pPr>
              <w:jc w:val="center"/>
              <w:ind w:left="58"/>
              <w:spacing w:after="0" w:line="281" w:lineRule="exact"/>
              <w:rPr>
                <w:sz w:val="20"/>
                <w:szCs w:val="20"/>
                <w:color w:val="auto"/>
              </w:rPr>
            </w:pPr>
            <w:r>
              <w:rPr>
                <w:rFonts w:ascii="Calibri" w:cs="Calibri" w:eastAsia="Calibri" w:hAnsi="Calibri"/>
                <w:sz w:val="16"/>
                <w:szCs w:val="16"/>
                <w:b w:val="1"/>
                <w:bCs w:val="1"/>
                <w:color w:val="333333"/>
                <w:w w:val="95"/>
              </w:rPr>
              <w:t xml:space="preserve">Chairman of the Board Fee </w:t>
            </w:r>
            <w:r>
              <w:rPr>
                <w:rFonts w:ascii="Calibri" w:cs="Calibri" w:eastAsia="Calibri" w:hAnsi="Calibri"/>
                <w:sz w:val="24"/>
                <w:szCs w:val="24"/>
                <w:color w:val="333333"/>
                <w:w w:val="95"/>
                <w:vertAlign w:val="superscript"/>
              </w:rPr>
              <w:t>(2) (5)</w:t>
            </w:r>
          </w:p>
        </w:tc>
        <w:tc>
          <w:tcPr>
            <w:tcW w:w="3700" w:type="dxa"/>
            <w:vAlign w:val="bottom"/>
            <w:vMerge w:val="continue"/>
          </w:tcPr>
          <w:p>
            <w:pPr>
              <w:spacing w:after="0"/>
              <w:rPr>
                <w:sz w:val="8"/>
                <w:szCs w:val="8"/>
                <w:color w:val="auto"/>
              </w:rPr>
            </w:pPr>
          </w:p>
        </w:tc>
        <w:tc>
          <w:tcPr>
            <w:tcW w:w="3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640" w:type="dxa"/>
            <w:vAlign w:val="bottom"/>
            <w:vMerge w:val="continue"/>
          </w:tcPr>
          <w:p>
            <w:pPr>
              <w:spacing w:after="0"/>
              <w:rPr>
                <w:sz w:val="16"/>
                <w:szCs w:val="16"/>
                <w:color w:val="auto"/>
              </w:rPr>
            </w:pPr>
          </w:p>
        </w:tc>
        <w:tc>
          <w:tcPr>
            <w:tcW w:w="3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40" w:type="dxa"/>
            <w:vAlign w:val="bottom"/>
            <w:tcBorders>
              <w:left w:val="single" w:sz="8" w:color="EFF2EF"/>
              <w:right w:val="single" w:sz="8" w:color="EFF2EF"/>
            </w:tcBorders>
            <w:vMerge w:val="restart"/>
            <w:shd w:val="clear" w:color="auto" w:fill="EFF2EF"/>
          </w:tcPr>
          <w:p>
            <w:pPr>
              <w:jc w:val="center"/>
              <w:spacing w:after="0"/>
              <w:rPr>
                <w:sz w:val="20"/>
                <w:szCs w:val="20"/>
                <w:color w:val="auto"/>
              </w:rPr>
            </w:pPr>
            <w:r>
              <w:rPr>
                <w:rFonts w:ascii="Calibri" w:cs="Calibri" w:eastAsia="Calibri" w:hAnsi="Calibri"/>
                <w:sz w:val="16"/>
                <w:szCs w:val="16"/>
                <w:b w:val="1"/>
                <w:bCs w:val="1"/>
                <w:color w:val="333333"/>
                <w:w w:val="89"/>
              </w:rPr>
              <w:t xml:space="preserve">Annual Equity Award </w:t>
            </w:r>
            <w:r>
              <w:rPr>
                <w:rFonts w:ascii="Calibri" w:cs="Calibri" w:eastAsia="Calibri" w:hAnsi="Calibri"/>
                <w:sz w:val="24"/>
                <w:szCs w:val="24"/>
                <w:color w:val="333333"/>
                <w:w w:val="89"/>
                <w:vertAlign w:val="superscript"/>
              </w:rPr>
              <w:t>(2) (3) (4) (5) (6)</w:t>
            </w:r>
          </w:p>
        </w:tc>
        <w:tc>
          <w:tcPr>
            <w:tcW w:w="3700" w:type="dxa"/>
            <w:vAlign w:val="bottom"/>
            <w:tcBorders>
              <w:right w:val="single" w:sz="8" w:color="EFF2EF"/>
            </w:tcBorders>
            <w:vMerge w:val="restart"/>
            <w:shd w:val="clear" w:color="auto" w:fill="EFF2EF"/>
          </w:tcPr>
          <w:p>
            <w:pPr>
              <w:jc w:val="center"/>
              <w:spacing w:after="0"/>
              <w:rPr>
                <w:sz w:val="20"/>
                <w:szCs w:val="20"/>
                <w:color w:val="auto"/>
              </w:rPr>
            </w:pPr>
            <w:r>
              <w:rPr>
                <w:rFonts w:ascii="Calibri" w:cs="Calibri" w:eastAsia="Calibri" w:hAnsi="Calibri"/>
                <w:sz w:val="16"/>
                <w:szCs w:val="16"/>
                <w:color w:val="333333"/>
                <w:w w:val="98"/>
              </w:rPr>
              <w:t>$250,000</w:t>
            </w:r>
          </w:p>
        </w:tc>
        <w:tc>
          <w:tcPr>
            <w:tcW w:w="3580" w:type="dxa"/>
            <w:vAlign w:val="bottom"/>
            <w:shd w:val="clear" w:color="auto" w:fill="EFF2EF"/>
          </w:tcPr>
          <w:p>
            <w:pPr>
              <w:jc w:val="center"/>
              <w:ind w:left="114"/>
              <w:spacing w:after="0"/>
              <w:rPr>
                <w:sz w:val="20"/>
                <w:szCs w:val="20"/>
                <w:color w:val="auto"/>
              </w:rPr>
            </w:pPr>
            <w:r>
              <w:rPr>
                <w:rFonts w:ascii="Calibri" w:cs="Calibri" w:eastAsia="Calibri" w:hAnsi="Calibri"/>
                <w:sz w:val="16"/>
                <w:szCs w:val="16"/>
                <w:color w:val="333333"/>
                <w:w w:val="99"/>
              </w:rPr>
              <w:t>Restricted Stock, Restricted Stock Units,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640" w:type="dxa"/>
            <w:vAlign w:val="bottom"/>
            <w:tcBorders>
              <w:left w:val="single" w:sz="8" w:color="EFF2EF"/>
              <w:right w:val="single" w:sz="8" w:color="EFF2EF"/>
            </w:tcBorders>
            <w:vMerge w:val="continue"/>
            <w:shd w:val="clear" w:color="auto" w:fill="EFF2EF"/>
          </w:tcPr>
          <w:p>
            <w:pPr>
              <w:spacing w:after="0"/>
              <w:rPr>
                <w:sz w:val="13"/>
                <w:szCs w:val="13"/>
                <w:color w:val="auto"/>
              </w:rPr>
            </w:pPr>
          </w:p>
        </w:tc>
        <w:tc>
          <w:tcPr>
            <w:tcW w:w="3700" w:type="dxa"/>
            <w:vAlign w:val="bottom"/>
            <w:tcBorders>
              <w:right w:val="single" w:sz="8" w:color="EFF2EF"/>
            </w:tcBorders>
            <w:vMerge w:val="continue"/>
            <w:shd w:val="clear" w:color="auto" w:fill="EFF2EF"/>
          </w:tcPr>
          <w:p>
            <w:pPr>
              <w:spacing w:after="0"/>
              <w:rPr>
                <w:sz w:val="13"/>
                <w:szCs w:val="13"/>
                <w:color w:val="auto"/>
              </w:rPr>
            </w:pPr>
          </w:p>
        </w:tc>
        <w:tc>
          <w:tcPr>
            <w:tcW w:w="3580" w:type="dxa"/>
            <w:vAlign w:val="bottom"/>
            <w:vMerge w:val="restart"/>
            <w:shd w:val="clear" w:color="auto" w:fill="EFF2EF"/>
          </w:tcPr>
          <w:p>
            <w:pPr>
              <w:jc w:val="center"/>
              <w:ind w:left="114"/>
              <w:spacing w:after="0"/>
              <w:rPr>
                <w:sz w:val="20"/>
                <w:szCs w:val="20"/>
                <w:color w:val="auto"/>
              </w:rPr>
            </w:pPr>
            <w:r>
              <w:rPr>
                <w:rFonts w:ascii="Calibri" w:cs="Calibri" w:eastAsia="Calibri" w:hAnsi="Calibri"/>
                <w:sz w:val="16"/>
                <w:szCs w:val="16"/>
                <w:color w:val="333333"/>
                <w:w w:val="99"/>
              </w:rPr>
              <w:t>Deferred Restricted Stock Units or Cash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640" w:type="dxa"/>
            <w:vAlign w:val="bottom"/>
            <w:tcBorders>
              <w:left w:val="single" w:sz="8" w:color="EFF2EF"/>
              <w:right w:val="single" w:sz="8" w:color="EFF2EF"/>
            </w:tcBorders>
            <w:shd w:val="clear" w:color="auto" w:fill="EFF2EF"/>
          </w:tcPr>
          <w:p>
            <w:pPr>
              <w:spacing w:after="0"/>
              <w:rPr>
                <w:sz w:val="3"/>
                <w:szCs w:val="3"/>
                <w:color w:val="auto"/>
              </w:rPr>
            </w:pPr>
          </w:p>
        </w:tc>
        <w:tc>
          <w:tcPr>
            <w:tcW w:w="3700" w:type="dxa"/>
            <w:vAlign w:val="bottom"/>
            <w:tcBorders>
              <w:right w:val="single" w:sz="8" w:color="EFF2EF"/>
            </w:tcBorders>
            <w:shd w:val="clear" w:color="auto" w:fill="EFF2EF"/>
          </w:tcPr>
          <w:p>
            <w:pPr>
              <w:spacing w:after="0"/>
              <w:rPr>
                <w:sz w:val="3"/>
                <w:szCs w:val="3"/>
                <w:color w:val="auto"/>
              </w:rPr>
            </w:pPr>
          </w:p>
        </w:tc>
        <w:tc>
          <w:tcPr>
            <w:tcW w:w="3580" w:type="dxa"/>
            <w:vAlign w:val="bottom"/>
            <w:vMerge w:val="continue"/>
            <w:shd w:val="clear" w:color="auto" w:fill="EFF2E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3640" w:type="dxa"/>
            <w:vAlign w:val="bottom"/>
            <w:tcBorders>
              <w:left w:val="single" w:sz="8" w:color="EFF2EF"/>
              <w:right w:val="single" w:sz="8" w:color="EFF2EF"/>
            </w:tcBorders>
            <w:shd w:val="clear" w:color="auto" w:fill="EFF2EF"/>
          </w:tcPr>
          <w:p>
            <w:pPr>
              <w:spacing w:after="0"/>
              <w:rPr>
                <w:sz w:val="2"/>
                <w:szCs w:val="2"/>
                <w:color w:val="auto"/>
              </w:rPr>
            </w:pPr>
          </w:p>
        </w:tc>
        <w:tc>
          <w:tcPr>
            <w:tcW w:w="3700" w:type="dxa"/>
            <w:vAlign w:val="bottom"/>
            <w:tcBorders>
              <w:right w:val="single" w:sz="8" w:color="EFF2EF"/>
            </w:tcBorders>
            <w:shd w:val="clear" w:color="auto" w:fill="EFF2EF"/>
          </w:tcPr>
          <w:p>
            <w:pPr>
              <w:spacing w:after="0"/>
              <w:rPr>
                <w:sz w:val="2"/>
                <w:szCs w:val="2"/>
                <w:color w:val="auto"/>
              </w:rPr>
            </w:pPr>
          </w:p>
        </w:tc>
        <w:tc>
          <w:tcPr>
            <w:tcW w:w="3580" w:type="dxa"/>
            <w:vAlign w:val="bottom"/>
            <w:shd w:val="clear" w:color="auto" w:fill="EFF2E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1452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53" w:lineRule="exact"/>
        <w:rPr>
          <w:sz w:val="20"/>
          <w:szCs w:val="20"/>
          <w:color w:val="auto"/>
        </w:rPr>
      </w:pPr>
    </w:p>
    <w:p>
      <w:pPr>
        <w:ind w:left="600" w:right="120" w:hanging="433"/>
        <w:spacing w:after="0" w:line="215" w:lineRule="auto"/>
        <w:tabs>
          <w:tab w:leader="none" w:pos="600" w:val="left"/>
        </w:tabs>
        <w:numPr>
          <w:ilvl w:val="0"/>
          <w:numId w:val="49"/>
        </w:numPr>
        <w:rPr>
          <w:rFonts w:ascii="Calibri" w:cs="Calibri" w:eastAsia="Calibri" w:hAnsi="Calibri"/>
          <w:sz w:val="21"/>
          <w:szCs w:val="21"/>
          <w:color w:val="333333"/>
          <w:vertAlign w:val="superscript"/>
        </w:rPr>
      </w:pPr>
      <w:r>
        <w:rPr>
          <w:rFonts w:ascii="Calibri" w:cs="Calibri" w:eastAsia="Calibri" w:hAnsi="Calibri"/>
          <w:sz w:val="14"/>
          <w:szCs w:val="14"/>
          <w:color w:val="333333"/>
        </w:rPr>
        <w:t>Contnuing non-employee directors receive payment of the annual retainer and annual equity award, and Lead Independent Director, or non-employee Chairman of the Board or Commitee Chair fee, if applicable, as of the date of each annual meetng of shareholders. A new non-employee director receives a prorated annual retainer and equity award upon frst being elected to the Board other than at an annual meetng. A non-employee director, who is appointed as Lead Independent Director or a chair other than following an annual meetng, receives a prorated fee upon being appointed to such role.</w:t>
      </w:r>
    </w:p>
    <w:p>
      <w:pPr>
        <w:spacing w:after="0" w:line="126" w:lineRule="exact"/>
        <w:rPr>
          <w:rFonts w:ascii="Calibri" w:cs="Calibri" w:eastAsia="Calibri" w:hAnsi="Calibri"/>
          <w:sz w:val="21"/>
          <w:szCs w:val="21"/>
          <w:color w:val="333333"/>
          <w:vertAlign w:val="superscript"/>
        </w:rPr>
      </w:pPr>
    </w:p>
    <w:p>
      <w:pPr>
        <w:ind w:left="600" w:right="80" w:hanging="433"/>
        <w:spacing w:after="0" w:line="226" w:lineRule="auto"/>
        <w:tabs>
          <w:tab w:leader="none" w:pos="600" w:val="left"/>
        </w:tabs>
        <w:numPr>
          <w:ilvl w:val="0"/>
          <w:numId w:val="49"/>
        </w:numPr>
        <w:rPr>
          <w:rFonts w:ascii="Calibri" w:cs="Calibri" w:eastAsia="Calibri" w:hAnsi="Calibri"/>
          <w:sz w:val="21"/>
          <w:szCs w:val="21"/>
          <w:color w:val="333333"/>
          <w:vertAlign w:val="superscript"/>
        </w:rPr>
      </w:pPr>
      <w:r>
        <w:rPr>
          <w:rFonts w:ascii="Calibri" w:cs="Calibri" w:eastAsia="Calibri" w:hAnsi="Calibri"/>
          <w:sz w:val="14"/>
          <w:szCs w:val="14"/>
          <w:color w:val="333333"/>
        </w:rPr>
        <w:t>U.S. non-employee directors are permited to voluntarily defer annual retainer payments (including any annual fee to the Lead Independent Director, non-employee Chairman of the Board or a Commitee Chair) and/or annual equity compensaton awards in the form of deferred stock units or deferred restricted stock units, respectvely. Deferred stock units awarded on account of deferred annual retainer and Lead Independent Director, non-employee Chairman of the Board and/or Commitee Chair fees are vested in full on the grant date. Deferred restricted stock units granted on account of deferred annual equity compensaton awards vest in full on the frst anniversary of the grant date unless vestng is accelerated as described in footnote (4) below. Each deferred stock unit and deferred restricted stock unit represents the right to receive one share of Common Stock upon the earliest of (i) a separaton from service event, (ii) an elected payment date and (iii) certain other permissible payment events, in each case, in accordance with Secton 409A (“Code Secton 409A”) of the U.S. Internal Revenue Code of 1986, as amended.</w:t>
      </w:r>
    </w:p>
    <w:p>
      <w:pPr>
        <w:spacing w:after="0" w:line="130" w:lineRule="exact"/>
        <w:rPr>
          <w:rFonts w:ascii="Calibri" w:cs="Calibri" w:eastAsia="Calibri" w:hAnsi="Calibri"/>
          <w:sz w:val="21"/>
          <w:szCs w:val="21"/>
          <w:color w:val="333333"/>
          <w:vertAlign w:val="superscript"/>
        </w:rPr>
      </w:pPr>
    </w:p>
    <w:p>
      <w:pPr>
        <w:ind w:left="600" w:right="200" w:hanging="433"/>
        <w:spacing w:after="0" w:line="207" w:lineRule="auto"/>
        <w:tabs>
          <w:tab w:leader="none" w:pos="600" w:val="left"/>
        </w:tabs>
        <w:numPr>
          <w:ilvl w:val="0"/>
          <w:numId w:val="49"/>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annual equity award, unless deferred, is in the form of shares of restricted stock in the case of U.S. non-employee directors and restricted stock units in the case of non-U.S. non-employee directors. Each restricted stock unit represents the right to receive one share of Common Stock upon vestng. Annual equity awards are non-transferable and vest in full on the frst anniversary of the grant date unless vestng is accelerated as described in footnote (4) below.</w:t>
      </w:r>
    </w:p>
    <w:p>
      <w:pPr>
        <w:spacing w:after="0" w:line="126" w:lineRule="exact"/>
        <w:rPr>
          <w:rFonts w:ascii="Calibri" w:cs="Calibri" w:eastAsia="Calibri" w:hAnsi="Calibri"/>
          <w:sz w:val="21"/>
          <w:szCs w:val="21"/>
          <w:color w:val="333333"/>
          <w:vertAlign w:val="superscript"/>
        </w:rPr>
      </w:pPr>
    </w:p>
    <w:p>
      <w:pPr>
        <w:ind w:left="600" w:right="240" w:hanging="433"/>
        <w:spacing w:after="0" w:line="220" w:lineRule="auto"/>
        <w:tabs>
          <w:tab w:leader="none" w:pos="600" w:val="left"/>
        </w:tabs>
        <w:numPr>
          <w:ilvl w:val="0"/>
          <w:numId w:val="49"/>
        </w:numPr>
        <w:rPr>
          <w:rFonts w:ascii="Calibri" w:cs="Calibri" w:eastAsia="Calibri" w:hAnsi="Calibri"/>
          <w:sz w:val="21"/>
          <w:szCs w:val="21"/>
          <w:color w:val="333333"/>
          <w:vertAlign w:val="superscript"/>
        </w:rPr>
      </w:pPr>
      <w:r>
        <w:rPr>
          <w:rFonts w:ascii="Calibri" w:cs="Calibri" w:eastAsia="Calibri" w:hAnsi="Calibri"/>
          <w:sz w:val="14"/>
          <w:szCs w:val="14"/>
          <w:color w:val="333333"/>
        </w:rPr>
        <w:t>All unvested shares of restricted stock and restricted stock units will immediately vest in full upon a non-employee director’s (i) death, (ii) “Disability” (as defned in the Director Plan), (iii) cessaton of service within one year following a Change in Control (as defned in the Director Plan) unless other accommodatons are made with respect to such awards, (iv) cessaton of service at the expiraton of a director’s term due to the Company’s failure to renominate such director for service on the Board (other than for “Cause” (as determined by the Board, in its good-faith discreton), due to the request of such director or as a result of a voluntary resignaton) or (v) cessaton of service due to failure of the Company’s shareholders to elect such director for service on the Board (other than for “Cause” (as determined by the Board, in its good-faith discreton)).</w:t>
      </w:r>
    </w:p>
    <w:p>
      <w:pPr>
        <w:spacing w:after="0" w:line="128" w:lineRule="exact"/>
        <w:rPr>
          <w:rFonts w:ascii="Calibri" w:cs="Calibri" w:eastAsia="Calibri" w:hAnsi="Calibri"/>
          <w:sz w:val="21"/>
          <w:szCs w:val="21"/>
          <w:color w:val="333333"/>
          <w:vertAlign w:val="superscript"/>
        </w:rPr>
      </w:pPr>
    </w:p>
    <w:p>
      <w:pPr>
        <w:ind w:left="600" w:right="140" w:hanging="433"/>
        <w:spacing w:after="0" w:line="215" w:lineRule="auto"/>
        <w:tabs>
          <w:tab w:leader="none" w:pos="600" w:val="left"/>
        </w:tabs>
        <w:numPr>
          <w:ilvl w:val="0"/>
          <w:numId w:val="49"/>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number of (i) deferred stock units awarded to a non-employee director as annual retainer compensaton (including any annual fee to the Lead Independent Director, non-employee Chairman of the Board or a Commitee Chair) and (ii) shares of restricted stock, restricted stock units and deferred restricted stock units awarded to a non-employee director as annual equity compensaton, in each case will be determined by dividing (a) the U.S. dollar value of such award by (b) the closing price per share of Common Stock reported</w:t>
      </w:r>
    </w:p>
    <w:p>
      <w:pPr>
        <w:spacing w:after="0" w:line="13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28</w:t>
      </w:r>
    </w:p>
    <w:p>
      <w:pPr>
        <w:sectPr>
          <w:pgSz w:w="11900" w:h="16838" w:orient="portrait"/>
          <w:cols w:equalWidth="0" w:num="1">
            <w:col w:w="11100"/>
          </w:cols>
          <w:pgMar w:left="320" w:top="478"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2" w:lineRule="exact"/>
        <w:rPr>
          <w:sz w:val="20"/>
          <w:szCs w:val="20"/>
          <w:color w:val="auto"/>
        </w:rPr>
      </w:pPr>
    </w:p>
    <w:p>
      <w:pPr>
        <w:ind w:left="600" w:right="260"/>
        <w:spacing w:after="0" w:line="241" w:lineRule="auto"/>
        <w:rPr>
          <w:sz w:val="20"/>
          <w:szCs w:val="20"/>
          <w:color w:val="auto"/>
        </w:rPr>
      </w:pPr>
      <w:r>
        <w:rPr>
          <w:rFonts w:ascii="Calibri" w:cs="Calibri" w:eastAsia="Calibri" w:hAnsi="Calibri"/>
          <w:sz w:val="14"/>
          <w:szCs w:val="14"/>
          <w:color w:val="333333"/>
        </w:rPr>
        <w:t>on the NYSE for the grant date. Fractonal restricted shares, restricted stock units, deferred stock units and deferred restricted share units are rounded down to the nearest whole share.</w:t>
      </w:r>
    </w:p>
    <w:p>
      <w:pPr>
        <w:spacing w:after="0" w:line="125" w:lineRule="exact"/>
        <w:rPr>
          <w:sz w:val="20"/>
          <w:szCs w:val="20"/>
          <w:color w:val="auto"/>
        </w:rPr>
      </w:pPr>
    </w:p>
    <w:p>
      <w:pPr>
        <w:ind w:left="600" w:right="40" w:hanging="433"/>
        <w:spacing w:after="0" w:line="207" w:lineRule="auto"/>
        <w:tabs>
          <w:tab w:leader="none" w:pos="600" w:val="left"/>
        </w:tabs>
        <w:numPr>
          <w:ilvl w:val="0"/>
          <w:numId w:val="50"/>
        </w:numPr>
        <w:rPr>
          <w:rFonts w:ascii="Calibri" w:cs="Calibri" w:eastAsia="Calibri" w:hAnsi="Calibri"/>
          <w:sz w:val="21"/>
          <w:szCs w:val="21"/>
          <w:color w:val="333333"/>
          <w:vertAlign w:val="superscript"/>
        </w:rPr>
      </w:pPr>
      <w:r>
        <w:rPr>
          <w:rFonts w:ascii="Calibri" w:cs="Calibri" w:eastAsia="Calibri" w:hAnsi="Calibri"/>
          <w:sz w:val="14"/>
          <w:szCs w:val="14"/>
          <w:color w:val="333333"/>
        </w:rPr>
        <w:t>If we do not have sufcient shares of Common Stock authorized under our shareholder-approved equity compensaton plan to fund annual retainer and equity awards in stock-based awards, such awards will be funded in cash. The payout of such cash amounts will be subject to the terms of the applicable deferred compensaton payment and vestng and accelerated vestng conditons, including the requirements of Code Secton 409A. Such cash amounts generally will accrue interest at the rate of 6% per annum.</w:t>
      </w:r>
    </w:p>
    <w:p>
      <w:pPr>
        <w:spacing w:after="0" w:line="202"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Director Summary Compensaton Table</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table below summarizes the compensaton paid by the Company to non-employee directors for the year ended December 31, 2025.</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2300" w:type="dxa"/>
            <w:vAlign w:val="bottom"/>
            <w:tcBorders>
              <w:top w:val="single" w:sz="8" w:color="0591DB"/>
              <w:left w:val="single" w:sz="8" w:color="0591DB"/>
            </w:tcBorders>
          </w:tcPr>
          <w:p>
            <w:pPr>
              <w:spacing w:after="0"/>
              <w:rPr>
                <w:sz w:val="19"/>
                <w:szCs w:val="19"/>
                <w:color w:val="auto"/>
              </w:rPr>
            </w:pPr>
          </w:p>
        </w:tc>
        <w:tc>
          <w:tcPr>
            <w:tcW w:w="140" w:type="dxa"/>
            <w:vAlign w:val="bottom"/>
            <w:tcBorders>
              <w:top w:val="single" w:sz="8" w:color="0591DB"/>
              <w:right w:val="single" w:sz="8" w:color="0591DB"/>
            </w:tcBorders>
          </w:tcPr>
          <w:p>
            <w:pPr>
              <w:spacing w:after="0"/>
              <w:rPr>
                <w:sz w:val="19"/>
                <w:szCs w:val="19"/>
                <w:color w:val="auto"/>
              </w:rPr>
            </w:pPr>
          </w:p>
        </w:tc>
        <w:tc>
          <w:tcPr>
            <w:tcW w:w="1860" w:type="dxa"/>
            <w:vAlign w:val="bottom"/>
            <w:tcBorders>
              <w:top w:val="single" w:sz="8" w:color="0591DB"/>
              <w:right w:val="single" w:sz="8" w:color="0591DB"/>
            </w:tcBorders>
          </w:tcPr>
          <w:p>
            <w:pPr>
              <w:jc w:val="center"/>
              <w:ind w:left="48"/>
              <w:spacing w:after="0" w:line="221" w:lineRule="exact"/>
              <w:rPr>
                <w:sz w:val="20"/>
                <w:szCs w:val="20"/>
                <w:color w:val="auto"/>
              </w:rPr>
            </w:pPr>
            <w:r>
              <w:rPr>
                <w:rFonts w:ascii="Calibri" w:cs="Calibri" w:eastAsia="Calibri" w:hAnsi="Calibri"/>
                <w:sz w:val="21"/>
                <w:szCs w:val="21"/>
                <w:b w:val="1"/>
                <w:bCs w:val="1"/>
                <w:color w:val="0591DB"/>
                <w:w w:val="95"/>
              </w:rPr>
              <w:t>ANNUAL</w:t>
            </w:r>
          </w:p>
        </w:tc>
        <w:tc>
          <w:tcPr>
            <w:tcW w:w="1580" w:type="dxa"/>
            <w:vAlign w:val="bottom"/>
            <w:tcBorders>
              <w:top w:val="single" w:sz="8" w:color="0591DB"/>
              <w:right w:val="single" w:sz="8" w:color="0591DB"/>
            </w:tcBorders>
          </w:tcPr>
          <w:p>
            <w:pPr>
              <w:spacing w:after="0"/>
              <w:rPr>
                <w:sz w:val="19"/>
                <w:szCs w:val="19"/>
                <w:color w:val="auto"/>
              </w:rPr>
            </w:pPr>
          </w:p>
        </w:tc>
        <w:tc>
          <w:tcPr>
            <w:tcW w:w="1600" w:type="dxa"/>
            <w:vAlign w:val="bottom"/>
            <w:tcBorders>
              <w:top w:val="single" w:sz="8" w:color="0591DB"/>
              <w:right w:val="single" w:sz="8" w:color="0591DB"/>
            </w:tcBorders>
          </w:tcPr>
          <w:p>
            <w:pPr>
              <w:spacing w:after="0"/>
              <w:rPr>
                <w:sz w:val="19"/>
                <w:szCs w:val="19"/>
                <w:color w:val="auto"/>
              </w:rPr>
            </w:pPr>
          </w:p>
        </w:tc>
        <w:tc>
          <w:tcPr>
            <w:tcW w:w="2220" w:type="dxa"/>
            <w:vAlign w:val="bottom"/>
            <w:tcBorders>
              <w:top w:val="single" w:sz="8" w:color="0591DB"/>
              <w:right w:val="single" w:sz="8" w:color="0591DB"/>
            </w:tcBorders>
          </w:tcPr>
          <w:p>
            <w:pPr>
              <w:spacing w:after="0"/>
              <w:rPr>
                <w:sz w:val="19"/>
                <w:szCs w:val="19"/>
                <w:color w:val="auto"/>
              </w:rPr>
            </w:pPr>
          </w:p>
        </w:tc>
        <w:tc>
          <w:tcPr>
            <w:tcW w:w="122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shd w:val="clear" w:color="auto" w:fill="0591DB"/>
          </w:tcPr>
          <w:p>
            <w:pPr>
              <w:spacing w:after="0"/>
              <w:rPr>
                <w:sz w:val="19"/>
                <w:szCs w:val="19"/>
                <w:color w:val="auto"/>
              </w:rPr>
            </w:pPr>
          </w:p>
        </w:tc>
      </w:tr>
      <w:tr>
        <w:trPr>
          <w:trHeight w:val="241"/>
        </w:trPr>
        <w:tc>
          <w:tcPr>
            <w:tcW w:w="2300" w:type="dxa"/>
            <w:vAlign w:val="bottom"/>
            <w:tcBorders>
              <w:left w:val="single" w:sz="8" w:color="0591DB"/>
            </w:tcBorders>
          </w:tcPr>
          <w:p>
            <w:pPr>
              <w:spacing w:after="0"/>
              <w:rPr>
                <w:sz w:val="20"/>
                <w:szCs w:val="20"/>
                <w:color w:val="auto"/>
              </w:rPr>
            </w:pPr>
          </w:p>
        </w:tc>
        <w:tc>
          <w:tcPr>
            <w:tcW w:w="140" w:type="dxa"/>
            <w:vAlign w:val="bottom"/>
            <w:tcBorders>
              <w:right w:val="single" w:sz="8" w:color="0591DB"/>
            </w:tcBorders>
          </w:tcPr>
          <w:p>
            <w:pPr>
              <w:spacing w:after="0"/>
              <w:rPr>
                <w:sz w:val="20"/>
                <w:szCs w:val="20"/>
                <w:color w:val="auto"/>
              </w:rPr>
            </w:pPr>
          </w:p>
        </w:tc>
        <w:tc>
          <w:tcPr>
            <w:tcW w:w="1860" w:type="dxa"/>
            <w:vAlign w:val="bottom"/>
            <w:tcBorders>
              <w:right w:val="single" w:sz="8" w:color="0591DB"/>
            </w:tcBorders>
          </w:tcPr>
          <w:p>
            <w:pPr>
              <w:jc w:val="center"/>
              <w:ind w:left="48"/>
              <w:spacing w:after="0" w:line="241" w:lineRule="exact"/>
              <w:rPr>
                <w:sz w:val="20"/>
                <w:szCs w:val="20"/>
                <w:color w:val="auto"/>
              </w:rPr>
            </w:pPr>
            <w:r>
              <w:rPr>
                <w:rFonts w:ascii="Calibri" w:cs="Calibri" w:eastAsia="Calibri" w:hAnsi="Calibri"/>
                <w:sz w:val="21"/>
                <w:szCs w:val="21"/>
                <w:b w:val="1"/>
                <w:bCs w:val="1"/>
                <w:color w:val="0591DB"/>
                <w:w w:val="94"/>
              </w:rPr>
              <w:t>RETAINER AND</w:t>
            </w:r>
          </w:p>
        </w:tc>
        <w:tc>
          <w:tcPr>
            <w:tcW w:w="1580" w:type="dxa"/>
            <w:vAlign w:val="bottom"/>
            <w:tcBorders>
              <w:right w:val="single" w:sz="8" w:color="0591DB"/>
            </w:tcBorders>
          </w:tcPr>
          <w:p>
            <w:pPr>
              <w:spacing w:after="0"/>
              <w:rPr>
                <w:sz w:val="20"/>
                <w:szCs w:val="20"/>
                <w:color w:val="auto"/>
              </w:rPr>
            </w:pPr>
          </w:p>
        </w:tc>
        <w:tc>
          <w:tcPr>
            <w:tcW w:w="1600" w:type="dxa"/>
            <w:vAlign w:val="bottom"/>
            <w:tcBorders>
              <w:right w:val="single" w:sz="8" w:color="0591DB"/>
            </w:tcBorders>
          </w:tcPr>
          <w:p>
            <w:pPr>
              <w:spacing w:after="0"/>
              <w:rPr>
                <w:sz w:val="20"/>
                <w:szCs w:val="20"/>
                <w:color w:val="auto"/>
              </w:rPr>
            </w:pPr>
          </w:p>
        </w:tc>
        <w:tc>
          <w:tcPr>
            <w:tcW w:w="2220" w:type="dxa"/>
            <w:vAlign w:val="bottom"/>
            <w:tcBorders>
              <w:right w:val="single" w:sz="8" w:color="0591DB"/>
            </w:tcBorders>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r>
      <w:tr>
        <w:trPr>
          <w:trHeight w:val="241"/>
        </w:trPr>
        <w:tc>
          <w:tcPr>
            <w:tcW w:w="2300" w:type="dxa"/>
            <w:vAlign w:val="bottom"/>
            <w:tcBorders>
              <w:left w:val="single" w:sz="8" w:color="0591DB"/>
            </w:tcBorders>
          </w:tcPr>
          <w:p>
            <w:pPr>
              <w:spacing w:after="0"/>
              <w:rPr>
                <w:sz w:val="20"/>
                <w:szCs w:val="20"/>
                <w:color w:val="auto"/>
              </w:rPr>
            </w:pPr>
          </w:p>
        </w:tc>
        <w:tc>
          <w:tcPr>
            <w:tcW w:w="140" w:type="dxa"/>
            <w:vAlign w:val="bottom"/>
            <w:tcBorders>
              <w:right w:val="single" w:sz="8" w:color="0591DB"/>
            </w:tcBorders>
          </w:tcPr>
          <w:p>
            <w:pPr>
              <w:spacing w:after="0"/>
              <w:rPr>
                <w:sz w:val="20"/>
                <w:szCs w:val="20"/>
                <w:color w:val="auto"/>
              </w:rPr>
            </w:pPr>
          </w:p>
        </w:tc>
        <w:tc>
          <w:tcPr>
            <w:tcW w:w="1860" w:type="dxa"/>
            <w:vAlign w:val="bottom"/>
            <w:tcBorders>
              <w:right w:val="single" w:sz="8" w:color="0591DB"/>
            </w:tcBorders>
          </w:tcPr>
          <w:p>
            <w:pPr>
              <w:jc w:val="center"/>
              <w:ind w:left="48"/>
              <w:spacing w:after="0" w:line="241" w:lineRule="exact"/>
              <w:rPr>
                <w:sz w:val="20"/>
                <w:szCs w:val="20"/>
                <w:color w:val="auto"/>
              </w:rPr>
            </w:pPr>
            <w:r>
              <w:rPr>
                <w:rFonts w:ascii="Calibri" w:cs="Calibri" w:eastAsia="Calibri" w:hAnsi="Calibri"/>
                <w:sz w:val="21"/>
                <w:szCs w:val="21"/>
                <w:b w:val="1"/>
                <w:bCs w:val="1"/>
                <w:color w:val="0591DB"/>
                <w:w w:val="93"/>
              </w:rPr>
              <w:t>CHAIR FEE</w:t>
            </w:r>
          </w:p>
        </w:tc>
        <w:tc>
          <w:tcPr>
            <w:tcW w:w="1580" w:type="dxa"/>
            <w:vAlign w:val="bottom"/>
            <w:tcBorders>
              <w:right w:val="single" w:sz="8" w:color="0591DB"/>
            </w:tcBorders>
          </w:tcPr>
          <w:p>
            <w:pPr>
              <w:spacing w:after="0"/>
              <w:rPr>
                <w:sz w:val="20"/>
                <w:szCs w:val="20"/>
                <w:color w:val="auto"/>
              </w:rPr>
            </w:pPr>
          </w:p>
        </w:tc>
        <w:tc>
          <w:tcPr>
            <w:tcW w:w="1600" w:type="dxa"/>
            <w:vAlign w:val="bottom"/>
            <w:tcBorders>
              <w:right w:val="single" w:sz="8" w:color="0591DB"/>
            </w:tcBorders>
          </w:tcPr>
          <w:p>
            <w:pPr>
              <w:spacing w:after="0"/>
              <w:rPr>
                <w:sz w:val="20"/>
                <w:szCs w:val="20"/>
                <w:color w:val="auto"/>
              </w:rPr>
            </w:pPr>
          </w:p>
        </w:tc>
        <w:tc>
          <w:tcPr>
            <w:tcW w:w="2220" w:type="dxa"/>
            <w:vAlign w:val="bottom"/>
            <w:tcBorders>
              <w:right w:val="single" w:sz="8" w:color="0591DB"/>
            </w:tcBorders>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r>
      <w:tr>
        <w:trPr>
          <w:trHeight w:val="241"/>
        </w:trPr>
        <w:tc>
          <w:tcPr>
            <w:tcW w:w="2300" w:type="dxa"/>
            <w:vAlign w:val="bottom"/>
            <w:tcBorders>
              <w:left w:val="single" w:sz="8" w:color="0591DB"/>
            </w:tcBorders>
          </w:tcPr>
          <w:p>
            <w:pPr>
              <w:spacing w:after="0"/>
              <w:rPr>
                <w:sz w:val="20"/>
                <w:szCs w:val="20"/>
                <w:color w:val="auto"/>
              </w:rPr>
            </w:pPr>
          </w:p>
        </w:tc>
        <w:tc>
          <w:tcPr>
            <w:tcW w:w="140" w:type="dxa"/>
            <w:vAlign w:val="bottom"/>
            <w:tcBorders>
              <w:right w:val="single" w:sz="8" w:color="0591DB"/>
            </w:tcBorders>
          </w:tcPr>
          <w:p>
            <w:pPr>
              <w:spacing w:after="0"/>
              <w:rPr>
                <w:sz w:val="20"/>
                <w:szCs w:val="20"/>
                <w:color w:val="auto"/>
              </w:rPr>
            </w:pPr>
          </w:p>
        </w:tc>
        <w:tc>
          <w:tcPr>
            <w:tcW w:w="1860" w:type="dxa"/>
            <w:vAlign w:val="bottom"/>
            <w:tcBorders>
              <w:right w:val="single" w:sz="8" w:color="0591DB"/>
            </w:tcBorders>
          </w:tcPr>
          <w:p>
            <w:pPr>
              <w:jc w:val="center"/>
              <w:ind w:left="48"/>
              <w:spacing w:after="0" w:line="241" w:lineRule="exact"/>
              <w:rPr>
                <w:sz w:val="20"/>
                <w:szCs w:val="20"/>
                <w:color w:val="auto"/>
              </w:rPr>
            </w:pPr>
            <w:r>
              <w:rPr>
                <w:rFonts w:ascii="Calibri" w:cs="Calibri" w:eastAsia="Calibri" w:hAnsi="Calibri"/>
                <w:sz w:val="21"/>
                <w:szCs w:val="21"/>
                <w:b w:val="1"/>
                <w:bCs w:val="1"/>
                <w:color w:val="0591DB"/>
                <w:w w:val="97"/>
              </w:rPr>
              <w:t>EARNED OR</w:t>
            </w:r>
          </w:p>
        </w:tc>
        <w:tc>
          <w:tcPr>
            <w:tcW w:w="1580" w:type="dxa"/>
            <w:vAlign w:val="bottom"/>
            <w:tcBorders>
              <w:right w:val="single" w:sz="8" w:color="0591DB"/>
            </w:tcBorders>
          </w:tcPr>
          <w:p>
            <w:pPr>
              <w:jc w:val="center"/>
              <w:ind w:left="70"/>
              <w:spacing w:after="0" w:line="241" w:lineRule="exact"/>
              <w:rPr>
                <w:sz w:val="20"/>
                <w:szCs w:val="20"/>
                <w:color w:val="auto"/>
              </w:rPr>
            </w:pPr>
            <w:r>
              <w:rPr>
                <w:rFonts w:ascii="Calibri" w:cs="Calibri" w:eastAsia="Calibri" w:hAnsi="Calibri"/>
                <w:sz w:val="21"/>
                <w:szCs w:val="21"/>
                <w:b w:val="1"/>
                <w:bCs w:val="1"/>
                <w:color w:val="0591DB"/>
                <w:w w:val="94"/>
              </w:rPr>
              <w:t>STOCK</w:t>
            </w:r>
          </w:p>
        </w:tc>
        <w:tc>
          <w:tcPr>
            <w:tcW w:w="160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w w:val="95"/>
              </w:rPr>
              <w:t>OPTION</w:t>
            </w:r>
          </w:p>
        </w:tc>
        <w:tc>
          <w:tcPr>
            <w:tcW w:w="222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w w:val="96"/>
              </w:rPr>
              <w:t>ALL OTHER</w:t>
            </w:r>
          </w:p>
        </w:tc>
        <w:tc>
          <w:tcPr>
            <w:tcW w:w="122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r>
      <w:tr>
        <w:trPr>
          <w:trHeight w:val="241"/>
        </w:trPr>
        <w:tc>
          <w:tcPr>
            <w:tcW w:w="2300" w:type="dxa"/>
            <w:vAlign w:val="bottom"/>
            <w:tcBorders>
              <w:left w:val="single" w:sz="8" w:color="0591DB"/>
            </w:tcBorders>
          </w:tcPr>
          <w:p>
            <w:pPr>
              <w:spacing w:after="0"/>
              <w:rPr>
                <w:sz w:val="20"/>
                <w:szCs w:val="20"/>
                <w:color w:val="auto"/>
              </w:rPr>
            </w:pPr>
          </w:p>
        </w:tc>
        <w:tc>
          <w:tcPr>
            <w:tcW w:w="140" w:type="dxa"/>
            <w:vAlign w:val="bottom"/>
            <w:tcBorders>
              <w:right w:val="single" w:sz="8" w:color="0591DB"/>
            </w:tcBorders>
          </w:tcPr>
          <w:p>
            <w:pPr>
              <w:spacing w:after="0"/>
              <w:rPr>
                <w:sz w:val="20"/>
                <w:szCs w:val="20"/>
                <w:color w:val="auto"/>
              </w:rPr>
            </w:pPr>
          </w:p>
        </w:tc>
        <w:tc>
          <w:tcPr>
            <w:tcW w:w="1860" w:type="dxa"/>
            <w:vAlign w:val="bottom"/>
            <w:tcBorders>
              <w:right w:val="single" w:sz="8" w:color="0591DB"/>
            </w:tcBorders>
          </w:tcPr>
          <w:p>
            <w:pPr>
              <w:jc w:val="center"/>
              <w:ind w:left="48"/>
              <w:spacing w:after="0" w:line="241" w:lineRule="exact"/>
              <w:rPr>
                <w:sz w:val="20"/>
                <w:szCs w:val="20"/>
                <w:color w:val="auto"/>
              </w:rPr>
            </w:pPr>
            <w:r>
              <w:rPr>
                <w:rFonts w:ascii="Calibri" w:cs="Calibri" w:eastAsia="Calibri" w:hAnsi="Calibri"/>
                <w:sz w:val="21"/>
                <w:szCs w:val="21"/>
                <w:b w:val="1"/>
                <w:bCs w:val="1"/>
                <w:color w:val="0591DB"/>
                <w:w w:val="94"/>
              </w:rPr>
              <w:t>PAID IN CASH</w:t>
            </w:r>
          </w:p>
        </w:tc>
        <w:tc>
          <w:tcPr>
            <w:tcW w:w="158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w w:val="94"/>
              </w:rPr>
              <w:t xml:space="preserve">AWARDS </w:t>
            </w:r>
            <w:r>
              <w:rPr>
                <w:rFonts w:ascii="Calibri" w:cs="Calibri" w:eastAsia="Calibri" w:hAnsi="Calibri"/>
                <w:sz w:val="15"/>
                <w:szCs w:val="15"/>
                <w:b w:val="1"/>
                <w:bCs w:val="1"/>
                <w:color w:val="0591DB"/>
                <w:w w:val="94"/>
              </w:rPr>
              <w:t>(1)</w:t>
            </w:r>
          </w:p>
        </w:tc>
        <w:tc>
          <w:tcPr>
            <w:tcW w:w="1600" w:type="dxa"/>
            <w:vAlign w:val="bottom"/>
            <w:tcBorders>
              <w:right w:val="single" w:sz="8" w:color="0591DB"/>
            </w:tcBorders>
          </w:tcPr>
          <w:p>
            <w:pPr>
              <w:jc w:val="center"/>
              <w:ind w:left="70"/>
              <w:spacing w:after="0" w:line="241" w:lineRule="exact"/>
              <w:rPr>
                <w:sz w:val="20"/>
                <w:szCs w:val="20"/>
                <w:color w:val="auto"/>
              </w:rPr>
            </w:pPr>
            <w:r>
              <w:rPr>
                <w:rFonts w:ascii="Calibri" w:cs="Calibri" w:eastAsia="Calibri" w:hAnsi="Calibri"/>
                <w:sz w:val="21"/>
                <w:szCs w:val="21"/>
                <w:b w:val="1"/>
                <w:bCs w:val="1"/>
                <w:color w:val="0591DB"/>
                <w:w w:val="94"/>
              </w:rPr>
              <w:t xml:space="preserve">AWARDS </w:t>
            </w:r>
            <w:r>
              <w:rPr>
                <w:rFonts w:ascii="Calibri" w:cs="Calibri" w:eastAsia="Calibri" w:hAnsi="Calibri"/>
                <w:sz w:val="15"/>
                <w:szCs w:val="15"/>
                <w:b w:val="1"/>
                <w:bCs w:val="1"/>
                <w:color w:val="0591DB"/>
                <w:w w:val="94"/>
              </w:rPr>
              <w:t>(1)</w:t>
            </w:r>
          </w:p>
        </w:tc>
        <w:tc>
          <w:tcPr>
            <w:tcW w:w="222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w w:val="95"/>
              </w:rPr>
              <w:t xml:space="preserve">COMPENSATION </w:t>
            </w:r>
            <w:r>
              <w:rPr>
                <w:rFonts w:ascii="Calibri" w:cs="Calibri" w:eastAsia="Calibri" w:hAnsi="Calibri"/>
                <w:sz w:val="15"/>
                <w:szCs w:val="15"/>
                <w:b w:val="1"/>
                <w:bCs w:val="1"/>
                <w:color w:val="0591DB"/>
                <w:w w:val="95"/>
              </w:rPr>
              <w:t>(2)</w:t>
            </w:r>
          </w:p>
        </w:tc>
        <w:tc>
          <w:tcPr>
            <w:tcW w:w="1220" w:type="dxa"/>
            <w:vAlign w:val="bottom"/>
          </w:tcPr>
          <w:p>
            <w:pPr>
              <w:jc w:val="center"/>
              <w:ind w:left="51"/>
              <w:spacing w:after="0" w:line="241" w:lineRule="exact"/>
              <w:rPr>
                <w:sz w:val="20"/>
                <w:szCs w:val="20"/>
                <w:color w:val="auto"/>
              </w:rPr>
            </w:pPr>
            <w:r>
              <w:rPr>
                <w:rFonts w:ascii="Calibri" w:cs="Calibri" w:eastAsia="Calibri" w:hAnsi="Calibri"/>
                <w:sz w:val="21"/>
                <w:szCs w:val="21"/>
                <w:b w:val="1"/>
                <w:bCs w:val="1"/>
                <w:color w:val="0591DB"/>
                <w:w w:val="91"/>
              </w:rPr>
              <w:t>TOTAL</w:t>
            </w:r>
          </w:p>
        </w:tc>
        <w:tc>
          <w:tcPr>
            <w:tcW w:w="20" w:type="dxa"/>
            <w:vAlign w:val="bottom"/>
            <w:shd w:val="clear" w:color="auto" w:fill="0591DB"/>
          </w:tcPr>
          <w:p>
            <w:pPr>
              <w:spacing w:after="0"/>
              <w:rPr>
                <w:sz w:val="20"/>
                <w:szCs w:val="20"/>
                <w:color w:val="auto"/>
              </w:rPr>
            </w:pPr>
          </w:p>
        </w:tc>
      </w:tr>
      <w:tr>
        <w:trPr>
          <w:trHeight w:val="241"/>
        </w:trPr>
        <w:tc>
          <w:tcPr>
            <w:tcW w:w="2300" w:type="dxa"/>
            <w:vAlign w:val="bottom"/>
            <w:tcBorders>
              <w:left w:val="single" w:sz="8" w:color="0591DB"/>
            </w:tcBorders>
          </w:tcPr>
          <w:p>
            <w:pPr>
              <w:spacing w:after="0"/>
              <w:rPr>
                <w:sz w:val="20"/>
                <w:szCs w:val="20"/>
                <w:color w:val="auto"/>
              </w:rPr>
            </w:pPr>
          </w:p>
        </w:tc>
        <w:tc>
          <w:tcPr>
            <w:tcW w:w="140" w:type="dxa"/>
            <w:vAlign w:val="bottom"/>
            <w:tcBorders>
              <w:right w:val="single" w:sz="8" w:color="0591DB"/>
            </w:tcBorders>
          </w:tcPr>
          <w:p>
            <w:pPr>
              <w:spacing w:after="0"/>
              <w:rPr>
                <w:sz w:val="20"/>
                <w:szCs w:val="20"/>
                <w:color w:val="auto"/>
              </w:rPr>
            </w:pPr>
          </w:p>
        </w:tc>
        <w:tc>
          <w:tcPr>
            <w:tcW w:w="1860" w:type="dxa"/>
            <w:vAlign w:val="bottom"/>
            <w:tcBorders>
              <w:right w:val="single" w:sz="8" w:color="0591DB"/>
            </w:tcBorders>
          </w:tcPr>
          <w:p>
            <w:pPr>
              <w:jc w:val="center"/>
              <w:ind w:left="48"/>
              <w:spacing w:after="0" w:line="241" w:lineRule="exact"/>
              <w:rPr>
                <w:sz w:val="20"/>
                <w:szCs w:val="20"/>
                <w:color w:val="auto"/>
              </w:rPr>
            </w:pPr>
            <w:r>
              <w:rPr>
                <w:rFonts w:ascii="Calibri" w:cs="Calibri" w:eastAsia="Calibri" w:hAnsi="Calibri"/>
                <w:sz w:val="21"/>
                <w:szCs w:val="21"/>
                <w:b w:val="1"/>
                <w:bCs w:val="1"/>
                <w:color w:val="0591DB"/>
              </w:rPr>
              <w:t>($)</w:t>
            </w:r>
          </w:p>
        </w:tc>
        <w:tc>
          <w:tcPr>
            <w:tcW w:w="158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rPr>
              <w:t>($)</w:t>
            </w:r>
          </w:p>
        </w:tc>
        <w:tc>
          <w:tcPr>
            <w:tcW w:w="160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w w:val="92"/>
              </w:rPr>
              <w:t>($)</w:t>
            </w:r>
          </w:p>
        </w:tc>
        <w:tc>
          <w:tcPr>
            <w:tcW w:w="2220" w:type="dxa"/>
            <w:vAlign w:val="bottom"/>
            <w:tcBorders>
              <w:right w:val="single" w:sz="8" w:color="0591DB"/>
            </w:tcBorders>
          </w:tcPr>
          <w:p>
            <w:pPr>
              <w:jc w:val="center"/>
              <w:ind w:left="50"/>
              <w:spacing w:after="0" w:line="241" w:lineRule="exact"/>
              <w:rPr>
                <w:sz w:val="20"/>
                <w:szCs w:val="20"/>
                <w:color w:val="auto"/>
              </w:rPr>
            </w:pPr>
            <w:r>
              <w:rPr>
                <w:rFonts w:ascii="Calibri" w:cs="Calibri" w:eastAsia="Calibri" w:hAnsi="Calibri"/>
                <w:sz w:val="21"/>
                <w:szCs w:val="21"/>
                <w:b w:val="1"/>
                <w:bCs w:val="1"/>
                <w:color w:val="0591DB"/>
              </w:rPr>
              <w:t>($)</w:t>
            </w:r>
          </w:p>
        </w:tc>
        <w:tc>
          <w:tcPr>
            <w:tcW w:w="1220" w:type="dxa"/>
            <w:vAlign w:val="bottom"/>
          </w:tcPr>
          <w:p>
            <w:pPr>
              <w:jc w:val="center"/>
              <w:ind w:left="71"/>
              <w:spacing w:after="0" w:line="241" w:lineRule="exact"/>
              <w:rPr>
                <w:sz w:val="20"/>
                <w:szCs w:val="20"/>
                <w:color w:val="auto"/>
              </w:rPr>
            </w:pPr>
            <w:r>
              <w:rPr>
                <w:rFonts w:ascii="Calibri" w:cs="Calibri" w:eastAsia="Calibri" w:hAnsi="Calibri"/>
                <w:sz w:val="21"/>
                <w:szCs w:val="21"/>
                <w:b w:val="1"/>
                <w:bCs w:val="1"/>
                <w:color w:val="0591DB"/>
                <w:w w:val="92"/>
              </w:rPr>
              <w:t>($)</w:t>
            </w:r>
          </w:p>
        </w:tc>
        <w:tc>
          <w:tcPr>
            <w:tcW w:w="20" w:type="dxa"/>
            <w:vAlign w:val="bottom"/>
            <w:shd w:val="clear" w:color="auto" w:fill="0591DB"/>
          </w:tcPr>
          <w:p>
            <w:pPr>
              <w:spacing w:after="0"/>
              <w:rPr>
                <w:sz w:val="20"/>
                <w:szCs w:val="20"/>
                <w:color w:val="auto"/>
              </w:rPr>
            </w:pPr>
          </w:p>
        </w:tc>
      </w:tr>
      <w:tr>
        <w:trPr>
          <w:trHeight w:val="257"/>
        </w:trPr>
        <w:tc>
          <w:tcPr>
            <w:tcW w:w="2440" w:type="dxa"/>
            <w:vAlign w:val="bottom"/>
            <w:tcBorders>
              <w:left w:val="single" w:sz="8" w:color="0591DB"/>
              <w:right w:val="single" w:sz="8" w:color="0591DB"/>
            </w:tcBorders>
            <w:gridSpan w:val="2"/>
          </w:tcPr>
          <w:p>
            <w:pPr>
              <w:ind w:left="160"/>
              <w:spacing w:after="0"/>
              <w:rPr>
                <w:sz w:val="20"/>
                <w:szCs w:val="20"/>
                <w:color w:val="auto"/>
              </w:rPr>
            </w:pPr>
            <w:r>
              <w:rPr>
                <w:rFonts w:ascii="Calibri" w:cs="Calibri" w:eastAsia="Calibri" w:hAnsi="Calibri"/>
                <w:sz w:val="21"/>
                <w:szCs w:val="21"/>
                <w:b w:val="1"/>
                <w:bCs w:val="1"/>
                <w:color w:val="0591DB"/>
              </w:rPr>
              <w:t>NAME</w:t>
            </w:r>
          </w:p>
        </w:tc>
        <w:tc>
          <w:tcPr>
            <w:tcW w:w="1860" w:type="dxa"/>
            <w:vAlign w:val="bottom"/>
            <w:tcBorders>
              <w:right w:val="single" w:sz="8" w:color="0591DB"/>
            </w:tcBorders>
          </w:tcPr>
          <w:p>
            <w:pPr>
              <w:jc w:val="center"/>
              <w:ind w:left="48"/>
              <w:spacing w:after="0" w:line="244" w:lineRule="exact"/>
              <w:rPr>
                <w:sz w:val="20"/>
                <w:szCs w:val="20"/>
                <w:color w:val="auto"/>
              </w:rPr>
            </w:pPr>
            <w:r>
              <w:rPr>
                <w:rFonts w:ascii="Calibri" w:cs="Calibri" w:eastAsia="Calibri" w:hAnsi="Calibri"/>
                <w:sz w:val="21"/>
                <w:szCs w:val="21"/>
                <w:b w:val="1"/>
                <w:bCs w:val="1"/>
                <w:color w:val="0591DB"/>
              </w:rPr>
              <w:t>(a)</w:t>
            </w:r>
          </w:p>
        </w:tc>
        <w:tc>
          <w:tcPr>
            <w:tcW w:w="1580" w:type="dxa"/>
            <w:vAlign w:val="bottom"/>
            <w:tcBorders>
              <w:right w:val="single" w:sz="8" w:color="0591DB"/>
            </w:tcBorders>
          </w:tcPr>
          <w:p>
            <w:pPr>
              <w:jc w:val="center"/>
              <w:ind w:left="50"/>
              <w:spacing w:after="0" w:line="244" w:lineRule="exact"/>
              <w:rPr>
                <w:sz w:val="20"/>
                <w:szCs w:val="20"/>
                <w:color w:val="auto"/>
              </w:rPr>
            </w:pPr>
            <w:r>
              <w:rPr>
                <w:rFonts w:ascii="Calibri" w:cs="Calibri" w:eastAsia="Calibri" w:hAnsi="Calibri"/>
                <w:sz w:val="21"/>
                <w:szCs w:val="21"/>
                <w:b w:val="1"/>
                <w:bCs w:val="1"/>
                <w:color w:val="0591DB"/>
                <w:w w:val="98"/>
              </w:rPr>
              <w:t>(b)</w:t>
            </w:r>
          </w:p>
        </w:tc>
        <w:tc>
          <w:tcPr>
            <w:tcW w:w="1600" w:type="dxa"/>
            <w:vAlign w:val="bottom"/>
            <w:tcBorders>
              <w:right w:val="single" w:sz="8" w:color="0591DB"/>
            </w:tcBorders>
          </w:tcPr>
          <w:p>
            <w:pPr>
              <w:jc w:val="center"/>
              <w:ind w:left="70"/>
              <w:spacing w:after="0" w:line="244" w:lineRule="exact"/>
              <w:rPr>
                <w:sz w:val="20"/>
                <w:szCs w:val="20"/>
                <w:color w:val="auto"/>
              </w:rPr>
            </w:pPr>
            <w:r>
              <w:rPr>
                <w:rFonts w:ascii="Calibri" w:cs="Calibri" w:eastAsia="Calibri" w:hAnsi="Calibri"/>
                <w:sz w:val="21"/>
                <w:szCs w:val="21"/>
                <w:b w:val="1"/>
                <w:bCs w:val="1"/>
                <w:color w:val="0591DB"/>
                <w:w w:val="91"/>
              </w:rPr>
              <w:t>(c)</w:t>
            </w:r>
          </w:p>
        </w:tc>
        <w:tc>
          <w:tcPr>
            <w:tcW w:w="2220" w:type="dxa"/>
            <w:vAlign w:val="bottom"/>
            <w:tcBorders>
              <w:right w:val="single" w:sz="8" w:color="0591DB"/>
            </w:tcBorders>
          </w:tcPr>
          <w:p>
            <w:pPr>
              <w:jc w:val="center"/>
              <w:ind w:left="50"/>
              <w:spacing w:after="0" w:line="244" w:lineRule="exact"/>
              <w:rPr>
                <w:sz w:val="20"/>
                <w:szCs w:val="20"/>
                <w:color w:val="auto"/>
              </w:rPr>
            </w:pPr>
            <w:r>
              <w:rPr>
                <w:rFonts w:ascii="Calibri" w:cs="Calibri" w:eastAsia="Calibri" w:hAnsi="Calibri"/>
                <w:sz w:val="21"/>
                <w:szCs w:val="21"/>
                <w:b w:val="1"/>
                <w:bCs w:val="1"/>
                <w:color w:val="0591DB"/>
                <w:w w:val="98"/>
              </w:rPr>
              <w:t>(d)</w:t>
            </w:r>
          </w:p>
        </w:tc>
        <w:tc>
          <w:tcPr>
            <w:tcW w:w="1220" w:type="dxa"/>
            <w:vAlign w:val="bottom"/>
          </w:tcPr>
          <w:p>
            <w:pPr>
              <w:jc w:val="center"/>
              <w:ind w:left="71"/>
              <w:spacing w:after="0" w:line="244" w:lineRule="exact"/>
              <w:rPr>
                <w:sz w:val="20"/>
                <w:szCs w:val="20"/>
                <w:color w:val="auto"/>
              </w:rPr>
            </w:pPr>
            <w:r>
              <w:rPr>
                <w:rFonts w:ascii="Calibri" w:cs="Calibri" w:eastAsia="Calibri" w:hAnsi="Calibri"/>
                <w:sz w:val="21"/>
                <w:szCs w:val="21"/>
                <w:b w:val="1"/>
                <w:bCs w:val="1"/>
                <w:color w:val="0591DB"/>
                <w:w w:val="92"/>
              </w:rPr>
              <w:t>(e)</w:t>
            </w:r>
          </w:p>
        </w:tc>
        <w:tc>
          <w:tcPr>
            <w:tcW w:w="20" w:type="dxa"/>
            <w:vAlign w:val="bottom"/>
            <w:shd w:val="clear" w:color="auto" w:fill="0591DB"/>
          </w:tcPr>
          <w:p>
            <w:pPr>
              <w:spacing w:after="0"/>
              <w:rPr>
                <w:sz w:val="22"/>
                <w:szCs w:val="22"/>
                <w:color w:val="auto"/>
              </w:rPr>
            </w:pPr>
          </w:p>
        </w:tc>
      </w:tr>
      <w:tr>
        <w:trPr>
          <w:trHeight w:val="30"/>
        </w:trPr>
        <w:tc>
          <w:tcPr>
            <w:tcW w:w="2300" w:type="dxa"/>
            <w:vAlign w:val="bottom"/>
            <w:tcBorders>
              <w:left w:val="single" w:sz="8" w:color="0591DB"/>
              <w:bottom w:val="single" w:sz="8" w:color="0591DB"/>
            </w:tcBorders>
          </w:tcPr>
          <w:p>
            <w:pPr>
              <w:spacing w:after="0"/>
              <w:rPr>
                <w:sz w:val="2"/>
                <w:szCs w:val="2"/>
                <w:color w:val="auto"/>
              </w:rPr>
            </w:pPr>
          </w:p>
        </w:tc>
        <w:tc>
          <w:tcPr>
            <w:tcW w:w="140" w:type="dxa"/>
            <w:vAlign w:val="bottom"/>
            <w:tcBorders>
              <w:bottom w:val="single" w:sz="8" w:color="0591DB"/>
              <w:right w:val="single" w:sz="8" w:color="0591DB"/>
            </w:tcBorders>
          </w:tcPr>
          <w:p>
            <w:pPr>
              <w:spacing w:after="0"/>
              <w:rPr>
                <w:sz w:val="2"/>
                <w:szCs w:val="2"/>
                <w:color w:val="auto"/>
              </w:rPr>
            </w:pPr>
          </w:p>
        </w:tc>
        <w:tc>
          <w:tcPr>
            <w:tcW w:w="1860" w:type="dxa"/>
            <w:vAlign w:val="bottom"/>
            <w:tcBorders>
              <w:bottom w:val="single" w:sz="8" w:color="0591DB"/>
              <w:right w:val="single" w:sz="8" w:color="0591DB"/>
            </w:tcBorders>
          </w:tcPr>
          <w:p>
            <w:pPr>
              <w:spacing w:after="0"/>
              <w:rPr>
                <w:sz w:val="2"/>
                <w:szCs w:val="2"/>
                <w:color w:val="auto"/>
              </w:rPr>
            </w:pPr>
          </w:p>
        </w:tc>
        <w:tc>
          <w:tcPr>
            <w:tcW w:w="1580" w:type="dxa"/>
            <w:vAlign w:val="bottom"/>
            <w:tcBorders>
              <w:bottom w:val="single" w:sz="8" w:color="0591DB"/>
              <w:right w:val="single" w:sz="8" w:color="0591DB"/>
            </w:tcBorders>
          </w:tcPr>
          <w:p>
            <w:pPr>
              <w:spacing w:after="0"/>
              <w:rPr>
                <w:sz w:val="2"/>
                <w:szCs w:val="2"/>
                <w:color w:val="auto"/>
              </w:rPr>
            </w:pPr>
          </w:p>
        </w:tc>
        <w:tc>
          <w:tcPr>
            <w:tcW w:w="1600" w:type="dxa"/>
            <w:vAlign w:val="bottom"/>
            <w:tcBorders>
              <w:bottom w:val="single" w:sz="8" w:color="0591DB"/>
              <w:right w:val="single" w:sz="8" w:color="0591DB"/>
            </w:tcBorders>
          </w:tcPr>
          <w:p>
            <w:pPr>
              <w:spacing w:after="0"/>
              <w:rPr>
                <w:sz w:val="2"/>
                <w:szCs w:val="2"/>
                <w:color w:val="auto"/>
              </w:rPr>
            </w:pPr>
          </w:p>
        </w:tc>
        <w:tc>
          <w:tcPr>
            <w:tcW w:w="2220" w:type="dxa"/>
            <w:vAlign w:val="bottom"/>
            <w:tcBorders>
              <w:bottom w:val="single" w:sz="8" w:color="0591DB"/>
              <w:right w:val="single" w:sz="8" w:color="0591DB"/>
            </w:tcBorders>
          </w:tcPr>
          <w:p>
            <w:pPr>
              <w:spacing w:after="0"/>
              <w:rPr>
                <w:sz w:val="2"/>
                <w:szCs w:val="2"/>
                <w:color w:val="auto"/>
              </w:rPr>
            </w:pPr>
          </w:p>
        </w:tc>
        <w:tc>
          <w:tcPr>
            <w:tcW w:w="122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r>
      <w:tr>
        <w:trPr>
          <w:trHeight w:val="196"/>
        </w:trPr>
        <w:tc>
          <w:tcPr>
            <w:tcW w:w="2440" w:type="dxa"/>
            <w:vAlign w:val="bottom"/>
            <w:gridSpan w:val="2"/>
          </w:tcPr>
          <w:p>
            <w:pPr>
              <w:ind w:left="100"/>
              <w:spacing w:after="0" w:line="197" w:lineRule="exact"/>
              <w:rPr>
                <w:sz w:val="20"/>
                <w:szCs w:val="20"/>
                <w:color w:val="auto"/>
              </w:rPr>
            </w:pPr>
            <w:r>
              <w:rPr>
                <w:rFonts w:ascii="Calibri" w:cs="Calibri" w:eastAsia="Calibri" w:hAnsi="Calibri"/>
                <w:sz w:val="17"/>
                <w:szCs w:val="17"/>
                <w:b w:val="1"/>
                <w:bCs w:val="1"/>
                <w:color w:val="0591DB"/>
              </w:rPr>
              <w:t>2025 Non-Employee Directors:</w:t>
            </w:r>
          </w:p>
        </w:tc>
        <w:tc>
          <w:tcPr>
            <w:tcW w:w="1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1"/>
        </w:trPr>
        <w:tc>
          <w:tcPr>
            <w:tcW w:w="2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440" w:type="dxa"/>
            <w:vAlign w:val="bottom"/>
            <w:tcBorders>
              <w:left w:val="single" w:sz="8" w:color="EFF2EF"/>
              <w:right w:val="single" w:sz="8" w:color="EFF2EF"/>
            </w:tcBorders>
            <w:gridSpan w:val="2"/>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Mark S. Bartlet</w:t>
            </w:r>
          </w:p>
        </w:tc>
        <w:tc>
          <w:tcPr>
            <w:tcW w:w="1860" w:type="dxa"/>
            <w:vAlign w:val="bottom"/>
            <w:tcBorders>
              <w:right w:val="single" w:sz="8" w:color="EFF2EF"/>
            </w:tcBorders>
            <w:shd w:val="clear" w:color="auto" w:fill="EFF2EF"/>
          </w:tcPr>
          <w:p>
            <w:pPr>
              <w:jc w:val="center"/>
              <w:ind w:left="128"/>
              <w:spacing w:after="0" w:line="203" w:lineRule="exact"/>
              <w:rPr>
                <w:sz w:val="20"/>
                <w:szCs w:val="20"/>
                <w:color w:val="auto"/>
              </w:rPr>
            </w:pPr>
            <w:r>
              <w:rPr>
                <w:rFonts w:ascii="Calibri" w:cs="Calibri" w:eastAsia="Calibri" w:hAnsi="Calibri"/>
                <w:sz w:val="17"/>
                <w:szCs w:val="17"/>
                <w:color w:val="333333"/>
              </w:rPr>
              <w:t>50,000</w:t>
            </w:r>
          </w:p>
        </w:tc>
        <w:tc>
          <w:tcPr>
            <w:tcW w:w="1580" w:type="dxa"/>
            <w:vAlign w:val="bottom"/>
            <w:tcBorders>
              <w:right w:val="single" w:sz="8" w:color="EFF2EF"/>
            </w:tcBorders>
            <w:shd w:val="clear" w:color="auto" w:fill="EFF2EF"/>
          </w:tcPr>
          <w:p>
            <w:pPr>
              <w:jc w:val="center"/>
              <w:ind w:left="110"/>
              <w:spacing w:after="0" w:line="203" w:lineRule="exact"/>
              <w:rPr>
                <w:sz w:val="20"/>
                <w:szCs w:val="20"/>
                <w:color w:val="auto"/>
              </w:rPr>
            </w:pPr>
            <w:r>
              <w:rPr>
                <w:rFonts w:ascii="Calibri" w:cs="Calibri" w:eastAsia="Calibri" w:hAnsi="Calibri"/>
                <w:sz w:val="17"/>
                <w:szCs w:val="17"/>
                <w:color w:val="333333"/>
              </w:rPr>
              <w:t>249,854</w:t>
            </w:r>
          </w:p>
        </w:tc>
        <w:tc>
          <w:tcPr>
            <w:tcW w:w="1600" w:type="dxa"/>
            <w:vAlign w:val="bottom"/>
            <w:tcBorders>
              <w:right w:val="single" w:sz="8" w:color="EFF2EF"/>
            </w:tcBorders>
            <w:shd w:val="clear" w:color="auto" w:fill="EFF2EF"/>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Borders>
              <w:right w:val="single" w:sz="8" w:color="EFF2EF"/>
            </w:tcBorders>
            <w:shd w:val="clear" w:color="auto" w:fill="EFF2EF"/>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shd w:val="clear" w:color="auto" w:fill="EFF2EF"/>
          </w:tcPr>
          <w:p>
            <w:pPr>
              <w:jc w:val="center"/>
              <w:ind w:left="91"/>
              <w:spacing w:after="0" w:line="203" w:lineRule="exact"/>
              <w:rPr>
                <w:sz w:val="20"/>
                <w:szCs w:val="20"/>
                <w:color w:val="auto"/>
              </w:rPr>
            </w:pPr>
            <w:r>
              <w:rPr>
                <w:rFonts w:ascii="Calibri" w:cs="Calibri" w:eastAsia="Calibri" w:hAnsi="Calibri"/>
                <w:sz w:val="17"/>
                <w:szCs w:val="17"/>
                <w:color w:val="333333"/>
                <w:w w:val="99"/>
              </w:rPr>
              <w:t>299,854</w:t>
            </w:r>
          </w:p>
        </w:tc>
        <w:tc>
          <w:tcPr>
            <w:tcW w:w="20" w:type="dxa"/>
            <w:vAlign w:val="bottom"/>
          </w:tcPr>
          <w:p>
            <w:pPr>
              <w:spacing w:after="0"/>
              <w:rPr>
                <w:sz w:val="17"/>
                <w:szCs w:val="17"/>
                <w:color w:val="auto"/>
              </w:rPr>
            </w:pPr>
          </w:p>
        </w:tc>
      </w:tr>
      <w:tr>
        <w:trPr>
          <w:trHeight w:val="64"/>
        </w:trPr>
        <w:tc>
          <w:tcPr>
            <w:tcW w:w="2300" w:type="dxa"/>
            <w:vAlign w:val="bottom"/>
            <w:tcBorders>
              <w:left w:val="single" w:sz="8" w:color="EFF2EF"/>
            </w:tcBorders>
            <w:shd w:val="clear" w:color="auto" w:fill="EFF2EF"/>
          </w:tcPr>
          <w:p>
            <w:pPr>
              <w:spacing w:after="0"/>
              <w:rPr>
                <w:sz w:val="5"/>
                <w:szCs w:val="5"/>
                <w:color w:val="auto"/>
              </w:rPr>
            </w:pPr>
          </w:p>
        </w:tc>
        <w:tc>
          <w:tcPr>
            <w:tcW w:w="140" w:type="dxa"/>
            <w:vAlign w:val="bottom"/>
            <w:tcBorders>
              <w:right w:val="single" w:sz="8" w:color="EFF2EF"/>
            </w:tcBorders>
            <w:shd w:val="clear" w:color="auto" w:fill="EFF2EF"/>
          </w:tcPr>
          <w:p>
            <w:pPr>
              <w:spacing w:after="0"/>
              <w:rPr>
                <w:sz w:val="5"/>
                <w:szCs w:val="5"/>
                <w:color w:val="auto"/>
              </w:rPr>
            </w:pPr>
          </w:p>
        </w:tc>
        <w:tc>
          <w:tcPr>
            <w:tcW w:w="1860" w:type="dxa"/>
            <w:vAlign w:val="bottom"/>
            <w:tcBorders>
              <w:right w:val="single" w:sz="8" w:color="EFF2EF"/>
            </w:tcBorders>
            <w:shd w:val="clear" w:color="auto" w:fill="EFF2EF"/>
          </w:tcPr>
          <w:p>
            <w:pPr>
              <w:spacing w:after="0"/>
              <w:rPr>
                <w:sz w:val="5"/>
                <w:szCs w:val="5"/>
                <w:color w:val="auto"/>
              </w:rPr>
            </w:pPr>
          </w:p>
        </w:tc>
        <w:tc>
          <w:tcPr>
            <w:tcW w:w="1580" w:type="dxa"/>
            <w:vAlign w:val="bottom"/>
            <w:tcBorders>
              <w:right w:val="single" w:sz="8" w:color="EFF2EF"/>
            </w:tcBorders>
            <w:shd w:val="clear" w:color="auto" w:fill="EFF2EF"/>
          </w:tcPr>
          <w:p>
            <w:pPr>
              <w:spacing w:after="0"/>
              <w:rPr>
                <w:sz w:val="5"/>
                <w:szCs w:val="5"/>
                <w:color w:val="auto"/>
              </w:rPr>
            </w:pPr>
          </w:p>
        </w:tc>
        <w:tc>
          <w:tcPr>
            <w:tcW w:w="1600" w:type="dxa"/>
            <w:vAlign w:val="bottom"/>
            <w:tcBorders>
              <w:right w:val="single" w:sz="8" w:color="EFF2EF"/>
            </w:tcBorders>
            <w:shd w:val="clear" w:color="auto" w:fill="EFF2EF"/>
          </w:tcPr>
          <w:p>
            <w:pPr>
              <w:spacing w:after="0"/>
              <w:rPr>
                <w:sz w:val="5"/>
                <w:szCs w:val="5"/>
                <w:color w:val="auto"/>
              </w:rPr>
            </w:pPr>
          </w:p>
        </w:tc>
        <w:tc>
          <w:tcPr>
            <w:tcW w:w="2220" w:type="dxa"/>
            <w:vAlign w:val="bottom"/>
            <w:tcBorders>
              <w:right w:val="single" w:sz="8" w:color="EFF2EF"/>
            </w:tcBorders>
            <w:shd w:val="clear" w:color="auto" w:fill="EFF2EF"/>
          </w:tcPr>
          <w:p>
            <w:pPr>
              <w:spacing w:after="0"/>
              <w:rPr>
                <w:sz w:val="5"/>
                <w:szCs w:val="5"/>
                <w:color w:val="auto"/>
              </w:rPr>
            </w:pPr>
          </w:p>
        </w:tc>
        <w:tc>
          <w:tcPr>
            <w:tcW w:w="12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gridSpan w:val="2"/>
          </w:tcPr>
          <w:p>
            <w:pPr>
              <w:ind w:left="100"/>
              <w:spacing w:after="0" w:line="203" w:lineRule="exact"/>
              <w:rPr>
                <w:sz w:val="20"/>
                <w:szCs w:val="20"/>
                <w:color w:val="auto"/>
              </w:rPr>
            </w:pPr>
            <w:r>
              <w:rPr>
                <w:rFonts w:ascii="Calibri" w:cs="Calibri" w:eastAsia="Calibri" w:hAnsi="Calibri"/>
                <w:sz w:val="17"/>
                <w:szCs w:val="17"/>
                <w:b w:val="1"/>
                <w:bCs w:val="1"/>
                <w:color w:val="0591DB"/>
              </w:rPr>
              <w:t>Elsy Boglioli</w:t>
            </w:r>
          </w:p>
        </w:tc>
        <w:tc>
          <w:tcPr>
            <w:tcW w:w="1860" w:type="dxa"/>
            <w:vAlign w:val="bottom"/>
          </w:tcPr>
          <w:p>
            <w:pPr>
              <w:jc w:val="center"/>
              <w:ind w:left="128"/>
              <w:spacing w:after="0" w:line="203" w:lineRule="exact"/>
              <w:rPr>
                <w:sz w:val="20"/>
                <w:szCs w:val="20"/>
                <w:color w:val="auto"/>
              </w:rPr>
            </w:pPr>
            <w:r>
              <w:rPr>
                <w:rFonts w:ascii="Calibri" w:cs="Calibri" w:eastAsia="Calibri" w:hAnsi="Calibri"/>
                <w:sz w:val="17"/>
                <w:szCs w:val="17"/>
                <w:color w:val="333333"/>
              </w:rPr>
              <w:t>50,000</w:t>
            </w:r>
          </w:p>
        </w:tc>
        <w:tc>
          <w:tcPr>
            <w:tcW w:w="1580" w:type="dxa"/>
            <w:vAlign w:val="bottom"/>
          </w:tcPr>
          <w:p>
            <w:pPr>
              <w:jc w:val="center"/>
              <w:ind w:left="110"/>
              <w:spacing w:after="0" w:line="203" w:lineRule="exact"/>
              <w:rPr>
                <w:sz w:val="20"/>
                <w:szCs w:val="20"/>
                <w:color w:val="auto"/>
              </w:rPr>
            </w:pPr>
            <w:r>
              <w:rPr>
                <w:rFonts w:ascii="Calibri" w:cs="Calibri" w:eastAsia="Calibri" w:hAnsi="Calibri"/>
                <w:sz w:val="17"/>
                <w:szCs w:val="17"/>
                <w:color w:val="333333"/>
              </w:rPr>
              <w:t>249,854</w:t>
            </w:r>
          </w:p>
        </w:tc>
        <w:tc>
          <w:tcPr>
            <w:tcW w:w="1600" w:type="dxa"/>
            <w:vAlign w:val="bottom"/>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tcPr>
          <w:p>
            <w:pPr>
              <w:jc w:val="center"/>
              <w:ind w:left="91"/>
              <w:spacing w:after="0" w:line="203" w:lineRule="exact"/>
              <w:rPr>
                <w:sz w:val="20"/>
                <w:szCs w:val="20"/>
                <w:color w:val="auto"/>
              </w:rPr>
            </w:pPr>
            <w:r>
              <w:rPr>
                <w:rFonts w:ascii="Calibri" w:cs="Calibri" w:eastAsia="Calibri" w:hAnsi="Calibri"/>
                <w:sz w:val="17"/>
                <w:szCs w:val="17"/>
                <w:color w:val="333333"/>
                <w:w w:val="99"/>
              </w:rPr>
              <w:t>299,854</w:t>
            </w:r>
          </w:p>
        </w:tc>
        <w:tc>
          <w:tcPr>
            <w:tcW w:w="20" w:type="dxa"/>
            <w:vAlign w:val="bottom"/>
          </w:tcPr>
          <w:p>
            <w:pPr>
              <w:spacing w:after="0"/>
              <w:rPr>
                <w:sz w:val="17"/>
                <w:szCs w:val="17"/>
                <w:color w:val="auto"/>
              </w:rPr>
            </w:pPr>
          </w:p>
        </w:tc>
      </w:tr>
      <w:tr>
        <w:trPr>
          <w:trHeight w:val="64"/>
        </w:trPr>
        <w:tc>
          <w:tcPr>
            <w:tcW w:w="2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tcBorders>
              <w:left w:val="single" w:sz="8" w:color="EFF2EF"/>
              <w:right w:val="single" w:sz="8" w:color="EFF2EF"/>
            </w:tcBorders>
            <w:gridSpan w:val="2"/>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Claudio Costamagna</w:t>
            </w:r>
          </w:p>
        </w:tc>
        <w:tc>
          <w:tcPr>
            <w:tcW w:w="1860" w:type="dxa"/>
            <w:vAlign w:val="bottom"/>
            <w:tcBorders>
              <w:right w:val="single" w:sz="8" w:color="EFF2EF"/>
            </w:tcBorders>
            <w:shd w:val="clear" w:color="auto" w:fill="EFF2EF"/>
          </w:tcPr>
          <w:p>
            <w:pPr>
              <w:jc w:val="center"/>
              <w:ind w:left="128"/>
              <w:spacing w:after="0" w:line="203" w:lineRule="exact"/>
              <w:rPr>
                <w:sz w:val="20"/>
                <w:szCs w:val="20"/>
                <w:color w:val="auto"/>
              </w:rPr>
            </w:pPr>
            <w:r>
              <w:rPr>
                <w:rFonts w:ascii="Calibri" w:cs="Calibri" w:eastAsia="Calibri" w:hAnsi="Calibri"/>
                <w:sz w:val="17"/>
                <w:szCs w:val="17"/>
                <w:color w:val="333333"/>
              </w:rPr>
              <w:t>80,000</w:t>
            </w:r>
          </w:p>
        </w:tc>
        <w:tc>
          <w:tcPr>
            <w:tcW w:w="1580" w:type="dxa"/>
            <w:vAlign w:val="bottom"/>
            <w:tcBorders>
              <w:right w:val="single" w:sz="8" w:color="EFF2EF"/>
            </w:tcBorders>
            <w:shd w:val="clear" w:color="auto" w:fill="EFF2EF"/>
          </w:tcPr>
          <w:p>
            <w:pPr>
              <w:jc w:val="center"/>
              <w:ind w:left="110"/>
              <w:spacing w:after="0" w:line="203" w:lineRule="exact"/>
              <w:rPr>
                <w:sz w:val="20"/>
                <w:szCs w:val="20"/>
                <w:color w:val="auto"/>
              </w:rPr>
            </w:pPr>
            <w:r>
              <w:rPr>
                <w:rFonts w:ascii="Calibri" w:cs="Calibri" w:eastAsia="Calibri" w:hAnsi="Calibri"/>
                <w:sz w:val="17"/>
                <w:szCs w:val="17"/>
                <w:color w:val="333333"/>
              </w:rPr>
              <w:t>249,854</w:t>
            </w:r>
          </w:p>
        </w:tc>
        <w:tc>
          <w:tcPr>
            <w:tcW w:w="1600" w:type="dxa"/>
            <w:vAlign w:val="bottom"/>
            <w:tcBorders>
              <w:right w:val="single" w:sz="8" w:color="EFF2EF"/>
            </w:tcBorders>
            <w:shd w:val="clear" w:color="auto" w:fill="EFF2EF"/>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Borders>
              <w:right w:val="single" w:sz="8" w:color="EFF2EF"/>
            </w:tcBorders>
            <w:shd w:val="clear" w:color="auto" w:fill="EFF2EF"/>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shd w:val="clear" w:color="auto" w:fill="EFF2EF"/>
          </w:tcPr>
          <w:p>
            <w:pPr>
              <w:jc w:val="center"/>
              <w:ind w:left="91"/>
              <w:spacing w:after="0" w:line="203" w:lineRule="exact"/>
              <w:rPr>
                <w:sz w:val="20"/>
                <w:szCs w:val="20"/>
                <w:color w:val="auto"/>
              </w:rPr>
            </w:pPr>
            <w:r>
              <w:rPr>
                <w:rFonts w:ascii="Calibri" w:cs="Calibri" w:eastAsia="Calibri" w:hAnsi="Calibri"/>
                <w:sz w:val="17"/>
                <w:szCs w:val="17"/>
                <w:color w:val="333333"/>
                <w:w w:val="99"/>
              </w:rPr>
              <w:t>329,854</w:t>
            </w:r>
          </w:p>
        </w:tc>
        <w:tc>
          <w:tcPr>
            <w:tcW w:w="20" w:type="dxa"/>
            <w:vAlign w:val="bottom"/>
          </w:tcPr>
          <w:p>
            <w:pPr>
              <w:spacing w:after="0"/>
              <w:rPr>
                <w:sz w:val="17"/>
                <w:szCs w:val="17"/>
                <w:color w:val="auto"/>
              </w:rPr>
            </w:pPr>
          </w:p>
        </w:tc>
      </w:tr>
      <w:tr>
        <w:trPr>
          <w:trHeight w:val="64"/>
        </w:trPr>
        <w:tc>
          <w:tcPr>
            <w:tcW w:w="2300" w:type="dxa"/>
            <w:vAlign w:val="bottom"/>
            <w:tcBorders>
              <w:left w:val="single" w:sz="8" w:color="EFF2EF"/>
            </w:tcBorders>
            <w:shd w:val="clear" w:color="auto" w:fill="EFF2EF"/>
          </w:tcPr>
          <w:p>
            <w:pPr>
              <w:spacing w:after="0"/>
              <w:rPr>
                <w:sz w:val="5"/>
                <w:szCs w:val="5"/>
                <w:color w:val="auto"/>
              </w:rPr>
            </w:pPr>
          </w:p>
        </w:tc>
        <w:tc>
          <w:tcPr>
            <w:tcW w:w="140" w:type="dxa"/>
            <w:vAlign w:val="bottom"/>
            <w:tcBorders>
              <w:right w:val="single" w:sz="8" w:color="EFF2EF"/>
            </w:tcBorders>
            <w:shd w:val="clear" w:color="auto" w:fill="EFF2EF"/>
          </w:tcPr>
          <w:p>
            <w:pPr>
              <w:spacing w:after="0"/>
              <w:rPr>
                <w:sz w:val="5"/>
                <w:szCs w:val="5"/>
                <w:color w:val="auto"/>
              </w:rPr>
            </w:pPr>
          </w:p>
        </w:tc>
        <w:tc>
          <w:tcPr>
            <w:tcW w:w="1860" w:type="dxa"/>
            <w:vAlign w:val="bottom"/>
            <w:tcBorders>
              <w:right w:val="single" w:sz="8" w:color="EFF2EF"/>
            </w:tcBorders>
            <w:shd w:val="clear" w:color="auto" w:fill="EFF2EF"/>
          </w:tcPr>
          <w:p>
            <w:pPr>
              <w:spacing w:after="0"/>
              <w:rPr>
                <w:sz w:val="5"/>
                <w:szCs w:val="5"/>
                <w:color w:val="auto"/>
              </w:rPr>
            </w:pPr>
          </w:p>
        </w:tc>
        <w:tc>
          <w:tcPr>
            <w:tcW w:w="1580" w:type="dxa"/>
            <w:vAlign w:val="bottom"/>
            <w:tcBorders>
              <w:right w:val="single" w:sz="8" w:color="EFF2EF"/>
            </w:tcBorders>
            <w:shd w:val="clear" w:color="auto" w:fill="EFF2EF"/>
          </w:tcPr>
          <w:p>
            <w:pPr>
              <w:spacing w:after="0"/>
              <w:rPr>
                <w:sz w:val="5"/>
                <w:szCs w:val="5"/>
                <w:color w:val="auto"/>
              </w:rPr>
            </w:pPr>
          </w:p>
        </w:tc>
        <w:tc>
          <w:tcPr>
            <w:tcW w:w="1600" w:type="dxa"/>
            <w:vAlign w:val="bottom"/>
            <w:tcBorders>
              <w:right w:val="single" w:sz="8" w:color="EFF2EF"/>
            </w:tcBorders>
            <w:shd w:val="clear" w:color="auto" w:fill="EFF2EF"/>
          </w:tcPr>
          <w:p>
            <w:pPr>
              <w:spacing w:after="0"/>
              <w:rPr>
                <w:sz w:val="5"/>
                <w:szCs w:val="5"/>
                <w:color w:val="auto"/>
              </w:rPr>
            </w:pPr>
          </w:p>
        </w:tc>
        <w:tc>
          <w:tcPr>
            <w:tcW w:w="2220" w:type="dxa"/>
            <w:vAlign w:val="bottom"/>
            <w:tcBorders>
              <w:right w:val="single" w:sz="8" w:color="EFF2EF"/>
            </w:tcBorders>
            <w:shd w:val="clear" w:color="auto" w:fill="EFF2EF"/>
          </w:tcPr>
          <w:p>
            <w:pPr>
              <w:spacing w:after="0"/>
              <w:rPr>
                <w:sz w:val="5"/>
                <w:szCs w:val="5"/>
                <w:color w:val="auto"/>
              </w:rPr>
            </w:pPr>
          </w:p>
        </w:tc>
        <w:tc>
          <w:tcPr>
            <w:tcW w:w="12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gridSpan w:val="2"/>
          </w:tcPr>
          <w:p>
            <w:pPr>
              <w:ind w:left="100"/>
              <w:spacing w:after="0" w:line="203" w:lineRule="exact"/>
              <w:rPr>
                <w:sz w:val="20"/>
                <w:szCs w:val="20"/>
                <w:color w:val="auto"/>
              </w:rPr>
            </w:pPr>
            <w:r>
              <w:rPr>
                <w:rFonts w:ascii="Calibri" w:cs="Calibri" w:eastAsia="Calibri" w:hAnsi="Calibri"/>
                <w:sz w:val="17"/>
                <w:szCs w:val="17"/>
                <w:b w:val="1"/>
                <w:bCs w:val="1"/>
                <w:color w:val="0591DB"/>
              </w:rPr>
              <w:t>Nicholas C. Fanandakis</w:t>
            </w:r>
          </w:p>
        </w:tc>
        <w:tc>
          <w:tcPr>
            <w:tcW w:w="1860" w:type="dxa"/>
            <w:vAlign w:val="bottom"/>
          </w:tcPr>
          <w:p>
            <w:pPr>
              <w:jc w:val="center"/>
              <w:ind w:left="128"/>
              <w:spacing w:after="0" w:line="203" w:lineRule="exact"/>
              <w:rPr>
                <w:sz w:val="20"/>
                <w:szCs w:val="20"/>
                <w:color w:val="auto"/>
              </w:rPr>
            </w:pPr>
            <w:r>
              <w:rPr>
                <w:rFonts w:ascii="Calibri" w:cs="Calibri" w:eastAsia="Calibri" w:hAnsi="Calibri"/>
                <w:sz w:val="17"/>
                <w:szCs w:val="17"/>
                <w:color w:val="333333"/>
              </w:rPr>
              <w:t>60,000</w:t>
            </w:r>
          </w:p>
        </w:tc>
        <w:tc>
          <w:tcPr>
            <w:tcW w:w="1580" w:type="dxa"/>
            <w:vAlign w:val="bottom"/>
          </w:tcPr>
          <w:p>
            <w:pPr>
              <w:jc w:val="center"/>
              <w:ind w:left="110"/>
              <w:spacing w:after="0" w:line="203" w:lineRule="exact"/>
              <w:rPr>
                <w:sz w:val="20"/>
                <w:szCs w:val="20"/>
                <w:color w:val="auto"/>
              </w:rPr>
            </w:pPr>
            <w:r>
              <w:rPr>
                <w:rFonts w:ascii="Calibri" w:cs="Calibri" w:eastAsia="Calibri" w:hAnsi="Calibri"/>
                <w:sz w:val="17"/>
                <w:szCs w:val="17"/>
                <w:color w:val="333333"/>
              </w:rPr>
              <w:t>249,854</w:t>
            </w:r>
          </w:p>
        </w:tc>
        <w:tc>
          <w:tcPr>
            <w:tcW w:w="1600" w:type="dxa"/>
            <w:vAlign w:val="bottom"/>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tcPr>
          <w:p>
            <w:pPr>
              <w:jc w:val="center"/>
              <w:ind w:left="91"/>
              <w:spacing w:after="0" w:line="203" w:lineRule="exact"/>
              <w:rPr>
                <w:sz w:val="20"/>
                <w:szCs w:val="20"/>
                <w:color w:val="auto"/>
              </w:rPr>
            </w:pPr>
            <w:r>
              <w:rPr>
                <w:rFonts w:ascii="Calibri" w:cs="Calibri" w:eastAsia="Calibri" w:hAnsi="Calibri"/>
                <w:sz w:val="17"/>
                <w:szCs w:val="17"/>
                <w:color w:val="333333"/>
                <w:w w:val="99"/>
              </w:rPr>
              <w:t>309,854</w:t>
            </w:r>
          </w:p>
        </w:tc>
        <w:tc>
          <w:tcPr>
            <w:tcW w:w="20" w:type="dxa"/>
            <w:vAlign w:val="bottom"/>
          </w:tcPr>
          <w:p>
            <w:pPr>
              <w:spacing w:after="0"/>
              <w:rPr>
                <w:sz w:val="17"/>
                <w:szCs w:val="17"/>
                <w:color w:val="auto"/>
              </w:rPr>
            </w:pPr>
          </w:p>
        </w:tc>
      </w:tr>
      <w:tr>
        <w:trPr>
          <w:trHeight w:val="64"/>
        </w:trPr>
        <w:tc>
          <w:tcPr>
            <w:tcW w:w="2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tcBorders>
              <w:left w:val="single" w:sz="8" w:color="EFF2EF"/>
              <w:right w:val="single" w:sz="8" w:color="EFF2EF"/>
            </w:tcBorders>
            <w:gridSpan w:val="2"/>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Stephen C. Robinson</w:t>
            </w:r>
          </w:p>
        </w:tc>
        <w:tc>
          <w:tcPr>
            <w:tcW w:w="1860" w:type="dxa"/>
            <w:vAlign w:val="bottom"/>
            <w:tcBorders>
              <w:right w:val="single" w:sz="8" w:color="EFF2EF"/>
            </w:tcBorders>
            <w:shd w:val="clear" w:color="auto" w:fill="EFF2EF"/>
          </w:tcPr>
          <w:p>
            <w:pPr>
              <w:jc w:val="center"/>
              <w:ind w:left="128"/>
              <w:spacing w:after="0" w:line="203" w:lineRule="exact"/>
              <w:rPr>
                <w:sz w:val="20"/>
                <w:szCs w:val="20"/>
                <w:color w:val="auto"/>
              </w:rPr>
            </w:pPr>
            <w:r>
              <w:rPr>
                <w:rFonts w:ascii="Calibri" w:cs="Calibri" w:eastAsia="Calibri" w:hAnsi="Calibri"/>
                <w:sz w:val="17"/>
                <w:szCs w:val="17"/>
                <w:color w:val="333333"/>
              </w:rPr>
              <w:t>55,000</w:t>
            </w:r>
          </w:p>
        </w:tc>
        <w:tc>
          <w:tcPr>
            <w:tcW w:w="1580" w:type="dxa"/>
            <w:vAlign w:val="bottom"/>
            <w:tcBorders>
              <w:right w:val="single" w:sz="8" w:color="EFF2EF"/>
            </w:tcBorders>
            <w:shd w:val="clear" w:color="auto" w:fill="EFF2EF"/>
          </w:tcPr>
          <w:p>
            <w:pPr>
              <w:jc w:val="center"/>
              <w:ind w:left="110"/>
              <w:spacing w:after="0" w:line="203" w:lineRule="exact"/>
              <w:rPr>
                <w:sz w:val="20"/>
                <w:szCs w:val="20"/>
                <w:color w:val="auto"/>
              </w:rPr>
            </w:pPr>
            <w:r>
              <w:rPr>
                <w:rFonts w:ascii="Calibri" w:cs="Calibri" w:eastAsia="Calibri" w:hAnsi="Calibri"/>
                <w:sz w:val="17"/>
                <w:szCs w:val="17"/>
                <w:color w:val="333333"/>
              </w:rPr>
              <w:t>249,854</w:t>
            </w:r>
          </w:p>
        </w:tc>
        <w:tc>
          <w:tcPr>
            <w:tcW w:w="1600" w:type="dxa"/>
            <w:vAlign w:val="bottom"/>
            <w:tcBorders>
              <w:right w:val="single" w:sz="8" w:color="EFF2EF"/>
            </w:tcBorders>
            <w:shd w:val="clear" w:color="auto" w:fill="EFF2EF"/>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Borders>
              <w:right w:val="single" w:sz="8" w:color="EFF2EF"/>
            </w:tcBorders>
            <w:shd w:val="clear" w:color="auto" w:fill="EFF2EF"/>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shd w:val="clear" w:color="auto" w:fill="EFF2EF"/>
          </w:tcPr>
          <w:p>
            <w:pPr>
              <w:jc w:val="center"/>
              <w:ind w:left="91"/>
              <w:spacing w:after="0" w:line="203" w:lineRule="exact"/>
              <w:rPr>
                <w:sz w:val="20"/>
                <w:szCs w:val="20"/>
                <w:color w:val="auto"/>
              </w:rPr>
            </w:pPr>
            <w:r>
              <w:rPr>
                <w:rFonts w:ascii="Calibri" w:cs="Calibri" w:eastAsia="Calibri" w:hAnsi="Calibri"/>
                <w:sz w:val="17"/>
                <w:szCs w:val="17"/>
                <w:color w:val="333333"/>
                <w:w w:val="99"/>
              </w:rPr>
              <w:t>304,854</w:t>
            </w:r>
          </w:p>
        </w:tc>
        <w:tc>
          <w:tcPr>
            <w:tcW w:w="20" w:type="dxa"/>
            <w:vAlign w:val="bottom"/>
          </w:tcPr>
          <w:p>
            <w:pPr>
              <w:spacing w:after="0"/>
              <w:rPr>
                <w:sz w:val="17"/>
                <w:szCs w:val="17"/>
                <w:color w:val="auto"/>
              </w:rPr>
            </w:pPr>
          </w:p>
        </w:tc>
      </w:tr>
      <w:tr>
        <w:trPr>
          <w:trHeight w:val="64"/>
        </w:trPr>
        <w:tc>
          <w:tcPr>
            <w:tcW w:w="2300" w:type="dxa"/>
            <w:vAlign w:val="bottom"/>
            <w:tcBorders>
              <w:left w:val="single" w:sz="8" w:color="EFF2EF"/>
            </w:tcBorders>
            <w:shd w:val="clear" w:color="auto" w:fill="EFF2EF"/>
          </w:tcPr>
          <w:p>
            <w:pPr>
              <w:spacing w:after="0"/>
              <w:rPr>
                <w:sz w:val="5"/>
                <w:szCs w:val="5"/>
                <w:color w:val="auto"/>
              </w:rPr>
            </w:pPr>
          </w:p>
        </w:tc>
        <w:tc>
          <w:tcPr>
            <w:tcW w:w="140" w:type="dxa"/>
            <w:vAlign w:val="bottom"/>
            <w:tcBorders>
              <w:right w:val="single" w:sz="8" w:color="EFF2EF"/>
            </w:tcBorders>
            <w:shd w:val="clear" w:color="auto" w:fill="EFF2EF"/>
          </w:tcPr>
          <w:p>
            <w:pPr>
              <w:spacing w:after="0"/>
              <w:rPr>
                <w:sz w:val="5"/>
                <w:szCs w:val="5"/>
                <w:color w:val="auto"/>
              </w:rPr>
            </w:pPr>
          </w:p>
        </w:tc>
        <w:tc>
          <w:tcPr>
            <w:tcW w:w="1860" w:type="dxa"/>
            <w:vAlign w:val="bottom"/>
            <w:tcBorders>
              <w:right w:val="single" w:sz="8" w:color="EFF2EF"/>
            </w:tcBorders>
            <w:shd w:val="clear" w:color="auto" w:fill="EFF2EF"/>
          </w:tcPr>
          <w:p>
            <w:pPr>
              <w:spacing w:after="0"/>
              <w:rPr>
                <w:sz w:val="5"/>
                <w:szCs w:val="5"/>
                <w:color w:val="auto"/>
              </w:rPr>
            </w:pPr>
          </w:p>
        </w:tc>
        <w:tc>
          <w:tcPr>
            <w:tcW w:w="1580" w:type="dxa"/>
            <w:vAlign w:val="bottom"/>
            <w:tcBorders>
              <w:right w:val="single" w:sz="8" w:color="EFF2EF"/>
            </w:tcBorders>
            <w:shd w:val="clear" w:color="auto" w:fill="EFF2EF"/>
          </w:tcPr>
          <w:p>
            <w:pPr>
              <w:spacing w:after="0"/>
              <w:rPr>
                <w:sz w:val="5"/>
                <w:szCs w:val="5"/>
                <w:color w:val="auto"/>
              </w:rPr>
            </w:pPr>
          </w:p>
        </w:tc>
        <w:tc>
          <w:tcPr>
            <w:tcW w:w="1600" w:type="dxa"/>
            <w:vAlign w:val="bottom"/>
            <w:tcBorders>
              <w:right w:val="single" w:sz="8" w:color="EFF2EF"/>
            </w:tcBorders>
            <w:shd w:val="clear" w:color="auto" w:fill="EFF2EF"/>
          </w:tcPr>
          <w:p>
            <w:pPr>
              <w:spacing w:after="0"/>
              <w:rPr>
                <w:sz w:val="5"/>
                <w:szCs w:val="5"/>
                <w:color w:val="auto"/>
              </w:rPr>
            </w:pPr>
          </w:p>
        </w:tc>
        <w:tc>
          <w:tcPr>
            <w:tcW w:w="2220" w:type="dxa"/>
            <w:vAlign w:val="bottom"/>
            <w:tcBorders>
              <w:right w:val="single" w:sz="8" w:color="EFF2EF"/>
            </w:tcBorders>
            <w:shd w:val="clear" w:color="auto" w:fill="EFF2EF"/>
          </w:tcPr>
          <w:p>
            <w:pPr>
              <w:spacing w:after="0"/>
              <w:rPr>
                <w:sz w:val="5"/>
                <w:szCs w:val="5"/>
                <w:color w:val="auto"/>
              </w:rPr>
            </w:pPr>
          </w:p>
        </w:tc>
        <w:tc>
          <w:tcPr>
            <w:tcW w:w="12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gridSpan w:val="2"/>
          </w:tcPr>
          <w:p>
            <w:pPr>
              <w:ind w:left="100"/>
              <w:spacing w:after="0" w:line="203" w:lineRule="exact"/>
              <w:rPr>
                <w:sz w:val="20"/>
                <w:szCs w:val="20"/>
                <w:color w:val="auto"/>
              </w:rPr>
            </w:pPr>
            <w:r>
              <w:rPr>
                <w:rFonts w:ascii="Calibri" w:cs="Calibri" w:eastAsia="Calibri" w:hAnsi="Calibri"/>
                <w:sz w:val="17"/>
                <w:szCs w:val="17"/>
                <w:b w:val="1"/>
                <w:bCs w:val="1"/>
                <w:color w:val="0591DB"/>
              </w:rPr>
              <w:t>Lauren E. Seeger</w:t>
            </w:r>
          </w:p>
        </w:tc>
        <w:tc>
          <w:tcPr>
            <w:tcW w:w="1860" w:type="dxa"/>
            <w:vAlign w:val="bottom"/>
          </w:tcPr>
          <w:p>
            <w:pPr>
              <w:jc w:val="center"/>
              <w:ind w:left="128"/>
              <w:spacing w:after="0" w:line="203" w:lineRule="exact"/>
              <w:rPr>
                <w:sz w:val="20"/>
                <w:szCs w:val="20"/>
                <w:color w:val="auto"/>
              </w:rPr>
            </w:pPr>
            <w:r>
              <w:rPr>
                <w:rFonts w:ascii="Calibri" w:cs="Calibri" w:eastAsia="Calibri" w:hAnsi="Calibri"/>
                <w:sz w:val="17"/>
                <w:szCs w:val="17"/>
                <w:color w:val="333333"/>
              </w:rPr>
              <w:t>—</w:t>
            </w:r>
          </w:p>
        </w:tc>
        <w:tc>
          <w:tcPr>
            <w:tcW w:w="1580" w:type="dxa"/>
            <w:vAlign w:val="bottom"/>
          </w:tcPr>
          <w:p>
            <w:pPr>
              <w:jc w:val="center"/>
              <w:ind w:left="110"/>
              <w:spacing w:after="0" w:line="203" w:lineRule="exact"/>
              <w:rPr>
                <w:sz w:val="20"/>
                <w:szCs w:val="20"/>
                <w:color w:val="auto"/>
              </w:rPr>
            </w:pPr>
            <w:r>
              <w:rPr>
                <w:rFonts w:ascii="Calibri" w:cs="Calibri" w:eastAsia="Calibri" w:hAnsi="Calibri"/>
                <w:sz w:val="17"/>
                <w:szCs w:val="17"/>
                <w:color w:val="333333"/>
              </w:rPr>
              <w:t>307,211</w:t>
            </w:r>
          </w:p>
        </w:tc>
        <w:tc>
          <w:tcPr>
            <w:tcW w:w="1600" w:type="dxa"/>
            <w:vAlign w:val="bottom"/>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tcPr>
          <w:p>
            <w:pPr>
              <w:jc w:val="center"/>
              <w:ind w:left="91"/>
              <w:spacing w:after="0" w:line="203" w:lineRule="exact"/>
              <w:rPr>
                <w:sz w:val="20"/>
                <w:szCs w:val="20"/>
                <w:color w:val="auto"/>
              </w:rPr>
            </w:pPr>
            <w:r>
              <w:rPr>
                <w:rFonts w:ascii="Calibri" w:cs="Calibri" w:eastAsia="Calibri" w:hAnsi="Calibri"/>
                <w:sz w:val="17"/>
                <w:szCs w:val="17"/>
                <w:color w:val="333333"/>
                <w:w w:val="99"/>
              </w:rPr>
              <w:t>307,211</w:t>
            </w:r>
          </w:p>
        </w:tc>
        <w:tc>
          <w:tcPr>
            <w:tcW w:w="20" w:type="dxa"/>
            <w:vAlign w:val="bottom"/>
          </w:tcPr>
          <w:p>
            <w:pPr>
              <w:spacing w:after="0"/>
              <w:rPr>
                <w:sz w:val="17"/>
                <w:szCs w:val="17"/>
                <w:color w:val="auto"/>
              </w:rPr>
            </w:pPr>
          </w:p>
        </w:tc>
      </w:tr>
      <w:tr>
        <w:trPr>
          <w:trHeight w:val="64"/>
        </w:trPr>
        <w:tc>
          <w:tcPr>
            <w:tcW w:w="2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tcBorders>
              <w:left w:val="single" w:sz="8" w:color="EFF2EF"/>
              <w:right w:val="single" w:sz="8" w:color="EFF2EF"/>
            </w:tcBorders>
            <w:gridSpan w:val="2"/>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Eric T. Steigerwalt </w:t>
            </w:r>
            <w:r>
              <w:rPr>
                <w:rFonts w:ascii="Calibri" w:cs="Calibri" w:eastAsia="Calibri" w:hAnsi="Calibri"/>
                <w:sz w:val="12"/>
                <w:szCs w:val="12"/>
                <w:b w:val="1"/>
                <w:bCs w:val="1"/>
                <w:color w:val="0591DB"/>
              </w:rPr>
              <w:t>(3)</w:t>
            </w:r>
          </w:p>
        </w:tc>
        <w:tc>
          <w:tcPr>
            <w:tcW w:w="1860" w:type="dxa"/>
            <w:vAlign w:val="bottom"/>
            <w:tcBorders>
              <w:right w:val="single" w:sz="8" w:color="EFF2EF"/>
            </w:tcBorders>
            <w:shd w:val="clear" w:color="auto" w:fill="EFF2EF"/>
          </w:tcPr>
          <w:p>
            <w:pPr>
              <w:jc w:val="center"/>
              <w:ind w:left="128"/>
              <w:spacing w:after="0" w:line="203" w:lineRule="exact"/>
              <w:rPr>
                <w:sz w:val="20"/>
                <w:szCs w:val="20"/>
                <w:color w:val="auto"/>
              </w:rPr>
            </w:pPr>
            <w:r>
              <w:rPr>
                <w:rFonts w:ascii="Calibri" w:cs="Calibri" w:eastAsia="Calibri" w:hAnsi="Calibri"/>
                <w:sz w:val="17"/>
                <w:szCs w:val="17"/>
                <w:color w:val="333333"/>
              </w:rPr>
              <w:t>59,315</w:t>
            </w:r>
          </w:p>
        </w:tc>
        <w:tc>
          <w:tcPr>
            <w:tcW w:w="1580" w:type="dxa"/>
            <w:vAlign w:val="bottom"/>
            <w:tcBorders>
              <w:right w:val="single" w:sz="8" w:color="EFF2EF"/>
            </w:tcBorders>
            <w:shd w:val="clear" w:color="auto" w:fill="EFF2EF"/>
          </w:tcPr>
          <w:p>
            <w:pPr>
              <w:jc w:val="center"/>
              <w:ind w:left="110"/>
              <w:spacing w:after="0" w:line="203" w:lineRule="exact"/>
              <w:rPr>
                <w:sz w:val="20"/>
                <w:szCs w:val="20"/>
                <w:color w:val="auto"/>
              </w:rPr>
            </w:pPr>
            <w:r>
              <w:rPr>
                <w:rFonts w:ascii="Calibri" w:cs="Calibri" w:eastAsia="Calibri" w:hAnsi="Calibri"/>
                <w:sz w:val="17"/>
                <w:szCs w:val="17"/>
                <w:color w:val="333333"/>
              </w:rPr>
              <w:t>296,368</w:t>
            </w:r>
          </w:p>
        </w:tc>
        <w:tc>
          <w:tcPr>
            <w:tcW w:w="1600" w:type="dxa"/>
            <w:vAlign w:val="bottom"/>
            <w:tcBorders>
              <w:right w:val="single" w:sz="8" w:color="EFF2EF"/>
            </w:tcBorders>
            <w:shd w:val="clear" w:color="auto" w:fill="EFF2EF"/>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Borders>
              <w:right w:val="single" w:sz="8" w:color="EFF2EF"/>
            </w:tcBorders>
            <w:shd w:val="clear" w:color="auto" w:fill="EFF2EF"/>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shd w:val="clear" w:color="auto" w:fill="EFF2EF"/>
          </w:tcPr>
          <w:p>
            <w:pPr>
              <w:jc w:val="center"/>
              <w:ind w:left="91"/>
              <w:spacing w:after="0" w:line="203" w:lineRule="exact"/>
              <w:rPr>
                <w:sz w:val="20"/>
                <w:szCs w:val="20"/>
                <w:color w:val="auto"/>
              </w:rPr>
            </w:pPr>
            <w:r>
              <w:rPr>
                <w:rFonts w:ascii="Calibri" w:cs="Calibri" w:eastAsia="Calibri" w:hAnsi="Calibri"/>
                <w:sz w:val="17"/>
                <w:szCs w:val="17"/>
                <w:color w:val="333333"/>
                <w:w w:val="99"/>
              </w:rPr>
              <w:t>355,683</w:t>
            </w:r>
          </w:p>
        </w:tc>
        <w:tc>
          <w:tcPr>
            <w:tcW w:w="20" w:type="dxa"/>
            <w:vAlign w:val="bottom"/>
          </w:tcPr>
          <w:p>
            <w:pPr>
              <w:spacing w:after="0"/>
              <w:rPr>
                <w:sz w:val="17"/>
                <w:szCs w:val="17"/>
                <w:color w:val="auto"/>
              </w:rPr>
            </w:pPr>
          </w:p>
        </w:tc>
      </w:tr>
      <w:tr>
        <w:trPr>
          <w:trHeight w:val="64"/>
        </w:trPr>
        <w:tc>
          <w:tcPr>
            <w:tcW w:w="2300" w:type="dxa"/>
            <w:vAlign w:val="bottom"/>
            <w:tcBorders>
              <w:left w:val="single" w:sz="8" w:color="EFF2EF"/>
            </w:tcBorders>
            <w:shd w:val="clear" w:color="auto" w:fill="EFF2EF"/>
          </w:tcPr>
          <w:p>
            <w:pPr>
              <w:spacing w:after="0"/>
              <w:rPr>
                <w:sz w:val="5"/>
                <w:szCs w:val="5"/>
                <w:color w:val="auto"/>
              </w:rPr>
            </w:pPr>
          </w:p>
        </w:tc>
        <w:tc>
          <w:tcPr>
            <w:tcW w:w="140" w:type="dxa"/>
            <w:vAlign w:val="bottom"/>
            <w:tcBorders>
              <w:right w:val="single" w:sz="8" w:color="EFF2EF"/>
            </w:tcBorders>
            <w:shd w:val="clear" w:color="auto" w:fill="EFF2EF"/>
          </w:tcPr>
          <w:p>
            <w:pPr>
              <w:spacing w:after="0"/>
              <w:rPr>
                <w:sz w:val="5"/>
                <w:szCs w:val="5"/>
                <w:color w:val="auto"/>
              </w:rPr>
            </w:pPr>
          </w:p>
        </w:tc>
        <w:tc>
          <w:tcPr>
            <w:tcW w:w="1860" w:type="dxa"/>
            <w:vAlign w:val="bottom"/>
            <w:tcBorders>
              <w:right w:val="single" w:sz="8" w:color="EFF2EF"/>
            </w:tcBorders>
            <w:shd w:val="clear" w:color="auto" w:fill="EFF2EF"/>
          </w:tcPr>
          <w:p>
            <w:pPr>
              <w:spacing w:after="0"/>
              <w:rPr>
                <w:sz w:val="5"/>
                <w:szCs w:val="5"/>
                <w:color w:val="auto"/>
              </w:rPr>
            </w:pPr>
          </w:p>
        </w:tc>
        <w:tc>
          <w:tcPr>
            <w:tcW w:w="1580" w:type="dxa"/>
            <w:vAlign w:val="bottom"/>
            <w:tcBorders>
              <w:right w:val="single" w:sz="8" w:color="EFF2EF"/>
            </w:tcBorders>
            <w:shd w:val="clear" w:color="auto" w:fill="EFF2EF"/>
          </w:tcPr>
          <w:p>
            <w:pPr>
              <w:spacing w:after="0"/>
              <w:rPr>
                <w:sz w:val="5"/>
                <w:szCs w:val="5"/>
                <w:color w:val="auto"/>
              </w:rPr>
            </w:pPr>
          </w:p>
        </w:tc>
        <w:tc>
          <w:tcPr>
            <w:tcW w:w="1600" w:type="dxa"/>
            <w:vAlign w:val="bottom"/>
            <w:tcBorders>
              <w:right w:val="single" w:sz="8" w:color="EFF2EF"/>
            </w:tcBorders>
            <w:shd w:val="clear" w:color="auto" w:fill="EFF2EF"/>
          </w:tcPr>
          <w:p>
            <w:pPr>
              <w:spacing w:after="0"/>
              <w:rPr>
                <w:sz w:val="5"/>
                <w:szCs w:val="5"/>
                <w:color w:val="auto"/>
              </w:rPr>
            </w:pPr>
          </w:p>
        </w:tc>
        <w:tc>
          <w:tcPr>
            <w:tcW w:w="2220" w:type="dxa"/>
            <w:vAlign w:val="bottom"/>
            <w:tcBorders>
              <w:right w:val="single" w:sz="8" w:color="EFF2EF"/>
            </w:tcBorders>
            <w:shd w:val="clear" w:color="auto" w:fill="EFF2EF"/>
          </w:tcPr>
          <w:p>
            <w:pPr>
              <w:spacing w:after="0"/>
              <w:rPr>
                <w:sz w:val="5"/>
                <w:szCs w:val="5"/>
                <w:color w:val="auto"/>
              </w:rPr>
            </w:pPr>
          </w:p>
        </w:tc>
        <w:tc>
          <w:tcPr>
            <w:tcW w:w="12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440" w:type="dxa"/>
            <w:vAlign w:val="bottom"/>
            <w:gridSpan w:val="2"/>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Janet H. Zelenka </w:t>
            </w:r>
            <w:r>
              <w:rPr>
                <w:rFonts w:ascii="Calibri" w:cs="Calibri" w:eastAsia="Calibri" w:hAnsi="Calibri"/>
                <w:sz w:val="12"/>
                <w:szCs w:val="12"/>
                <w:b w:val="1"/>
                <w:bCs w:val="1"/>
                <w:color w:val="0591DB"/>
              </w:rPr>
              <w:t>(4)</w:t>
            </w:r>
          </w:p>
        </w:tc>
        <w:tc>
          <w:tcPr>
            <w:tcW w:w="1860" w:type="dxa"/>
            <w:vAlign w:val="bottom"/>
          </w:tcPr>
          <w:p>
            <w:pPr>
              <w:jc w:val="center"/>
              <w:ind w:left="128"/>
              <w:spacing w:after="0" w:line="203" w:lineRule="exact"/>
              <w:rPr>
                <w:sz w:val="20"/>
                <w:szCs w:val="20"/>
                <w:color w:val="auto"/>
              </w:rPr>
            </w:pPr>
            <w:r>
              <w:rPr>
                <w:rFonts w:ascii="Calibri" w:cs="Calibri" w:eastAsia="Calibri" w:hAnsi="Calibri"/>
                <w:sz w:val="17"/>
                <w:szCs w:val="17"/>
                <w:color w:val="333333"/>
              </w:rPr>
              <w:t>59,315</w:t>
            </w:r>
          </w:p>
        </w:tc>
        <w:tc>
          <w:tcPr>
            <w:tcW w:w="1580" w:type="dxa"/>
            <w:vAlign w:val="bottom"/>
          </w:tcPr>
          <w:p>
            <w:pPr>
              <w:jc w:val="center"/>
              <w:ind w:left="110"/>
              <w:spacing w:after="0" w:line="203" w:lineRule="exact"/>
              <w:rPr>
                <w:sz w:val="20"/>
                <w:szCs w:val="20"/>
                <w:color w:val="auto"/>
              </w:rPr>
            </w:pPr>
            <w:r>
              <w:rPr>
                <w:rFonts w:ascii="Calibri" w:cs="Calibri" w:eastAsia="Calibri" w:hAnsi="Calibri"/>
                <w:sz w:val="17"/>
                <w:szCs w:val="17"/>
                <w:color w:val="333333"/>
              </w:rPr>
              <w:t>296,368</w:t>
            </w:r>
          </w:p>
        </w:tc>
        <w:tc>
          <w:tcPr>
            <w:tcW w:w="1600" w:type="dxa"/>
            <w:vAlign w:val="bottom"/>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tcPr>
          <w:p>
            <w:pPr>
              <w:jc w:val="center"/>
              <w:ind w:left="91"/>
              <w:spacing w:after="0" w:line="203" w:lineRule="exact"/>
              <w:rPr>
                <w:sz w:val="20"/>
                <w:szCs w:val="20"/>
                <w:color w:val="auto"/>
              </w:rPr>
            </w:pPr>
            <w:r>
              <w:rPr>
                <w:rFonts w:ascii="Calibri" w:cs="Calibri" w:eastAsia="Calibri" w:hAnsi="Calibri"/>
                <w:sz w:val="17"/>
                <w:szCs w:val="17"/>
                <w:color w:val="333333"/>
                <w:w w:val="99"/>
              </w:rPr>
              <w:t>355,683</w:t>
            </w:r>
          </w:p>
        </w:tc>
        <w:tc>
          <w:tcPr>
            <w:tcW w:w="20" w:type="dxa"/>
            <w:vAlign w:val="bottom"/>
          </w:tcPr>
          <w:p>
            <w:pPr>
              <w:spacing w:after="0"/>
              <w:rPr>
                <w:sz w:val="17"/>
                <w:szCs w:val="17"/>
                <w:color w:val="auto"/>
              </w:rPr>
            </w:pPr>
          </w:p>
        </w:tc>
      </w:tr>
      <w:tr>
        <w:trPr>
          <w:trHeight w:val="240"/>
        </w:trPr>
        <w:tc>
          <w:tcPr>
            <w:tcW w:w="2440" w:type="dxa"/>
            <w:vAlign w:val="bottom"/>
            <w:gridSpan w:val="2"/>
          </w:tcPr>
          <w:p>
            <w:pPr>
              <w:ind w:left="100"/>
              <w:spacing w:after="0"/>
              <w:rPr>
                <w:sz w:val="20"/>
                <w:szCs w:val="20"/>
                <w:color w:val="auto"/>
              </w:rPr>
            </w:pPr>
            <w:r>
              <w:rPr>
                <w:rFonts w:ascii="Calibri" w:cs="Calibri" w:eastAsia="Calibri" w:hAnsi="Calibri"/>
                <w:sz w:val="17"/>
                <w:szCs w:val="17"/>
                <w:b w:val="1"/>
                <w:bCs w:val="1"/>
                <w:color w:val="0591DB"/>
              </w:rPr>
              <w:t xml:space="preserve">Brenda J. Bacon </w:t>
            </w:r>
            <w:r>
              <w:rPr>
                <w:rFonts w:ascii="Calibri" w:cs="Calibri" w:eastAsia="Calibri" w:hAnsi="Calibri"/>
                <w:sz w:val="12"/>
                <w:szCs w:val="12"/>
                <w:b w:val="1"/>
                <w:bCs w:val="1"/>
                <w:color w:val="0591DB"/>
              </w:rPr>
              <w:t>(5)</w:t>
            </w:r>
          </w:p>
        </w:tc>
        <w:tc>
          <w:tcPr>
            <w:tcW w:w="1860" w:type="dxa"/>
            <w:vAlign w:val="bottom"/>
          </w:tcPr>
          <w:p>
            <w:pPr>
              <w:jc w:val="center"/>
              <w:ind w:left="128"/>
              <w:spacing w:after="0"/>
              <w:rPr>
                <w:sz w:val="20"/>
                <w:szCs w:val="20"/>
                <w:color w:val="auto"/>
              </w:rPr>
            </w:pPr>
            <w:r>
              <w:rPr>
                <w:rFonts w:ascii="Calibri" w:cs="Calibri" w:eastAsia="Calibri" w:hAnsi="Calibri"/>
                <w:sz w:val="17"/>
                <w:szCs w:val="17"/>
                <w:color w:val="333333"/>
              </w:rPr>
              <w:t>—</w:t>
            </w:r>
          </w:p>
        </w:tc>
        <w:tc>
          <w:tcPr>
            <w:tcW w:w="1580" w:type="dxa"/>
            <w:vAlign w:val="bottom"/>
          </w:tcPr>
          <w:p>
            <w:pPr>
              <w:jc w:val="center"/>
              <w:ind w:left="110"/>
              <w:spacing w:after="0"/>
              <w:rPr>
                <w:sz w:val="20"/>
                <w:szCs w:val="20"/>
                <w:color w:val="auto"/>
              </w:rPr>
            </w:pPr>
            <w:r>
              <w:rPr>
                <w:rFonts w:ascii="Calibri" w:cs="Calibri" w:eastAsia="Calibri" w:hAnsi="Calibri"/>
                <w:sz w:val="17"/>
                <w:szCs w:val="17"/>
                <w:color w:val="333333"/>
                <w:w w:val="90"/>
              </w:rPr>
              <w:t>—</w:t>
            </w:r>
          </w:p>
        </w:tc>
        <w:tc>
          <w:tcPr>
            <w:tcW w:w="1600" w:type="dxa"/>
            <w:vAlign w:val="bottom"/>
          </w:tcPr>
          <w:p>
            <w:pPr>
              <w:ind w:left="880"/>
              <w:spacing w:after="0"/>
              <w:rPr>
                <w:sz w:val="20"/>
                <w:szCs w:val="20"/>
                <w:color w:val="auto"/>
              </w:rPr>
            </w:pPr>
            <w:r>
              <w:rPr>
                <w:rFonts w:ascii="Calibri" w:cs="Calibri" w:eastAsia="Calibri" w:hAnsi="Calibri"/>
                <w:sz w:val="17"/>
                <w:szCs w:val="17"/>
                <w:color w:val="333333"/>
              </w:rPr>
              <w:t>—</w:t>
            </w:r>
          </w:p>
        </w:tc>
        <w:tc>
          <w:tcPr>
            <w:tcW w:w="2220" w:type="dxa"/>
            <w:vAlign w:val="bottom"/>
          </w:tcPr>
          <w:p>
            <w:pPr>
              <w:ind w:left="1260"/>
              <w:spacing w:after="0"/>
              <w:rPr>
                <w:sz w:val="20"/>
                <w:szCs w:val="20"/>
                <w:color w:val="auto"/>
              </w:rPr>
            </w:pPr>
            <w:r>
              <w:rPr>
                <w:rFonts w:ascii="Calibri" w:cs="Calibri" w:eastAsia="Calibri" w:hAnsi="Calibri"/>
                <w:sz w:val="17"/>
                <w:szCs w:val="17"/>
                <w:color w:val="333333"/>
              </w:rPr>
              <w:t>—</w:t>
            </w:r>
          </w:p>
        </w:tc>
        <w:tc>
          <w:tcPr>
            <w:tcW w:w="1220" w:type="dxa"/>
            <w:vAlign w:val="bottom"/>
          </w:tcPr>
          <w:p>
            <w:pPr>
              <w:jc w:val="center"/>
              <w:ind w:left="91"/>
              <w:spacing w:after="0"/>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20"/>
                <w:szCs w:val="20"/>
                <w:color w:val="auto"/>
              </w:rPr>
            </w:pPr>
          </w:p>
        </w:tc>
      </w:tr>
      <w:tr>
        <w:trPr>
          <w:trHeight w:val="92"/>
        </w:trPr>
        <w:tc>
          <w:tcPr>
            <w:tcW w:w="2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2440" w:type="dxa"/>
            <w:vAlign w:val="bottom"/>
            <w:tcBorders>
              <w:left w:val="single" w:sz="8" w:color="EFF2EF"/>
              <w:right w:val="single" w:sz="8" w:color="EFF2EF"/>
            </w:tcBorders>
            <w:gridSpan w:val="2"/>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Gerard E. Holthaus </w:t>
            </w:r>
            <w:r>
              <w:rPr>
                <w:rFonts w:ascii="Calibri" w:cs="Calibri" w:eastAsia="Calibri" w:hAnsi="Calibri"/>
                <w:sz w:val="12"/>
                <w:szCs w:val="12"/>
                <w:b w:val="1"/>
                <w:bCs w:val="1"/>
                <w:color w:val="0591DB"/>
              </w:rPr>
              <w:t>(6)</w:t>
            </w:r>
          </w:p>
        </w:tc>
        <w:tc>
          <w:tcPr>
            <w:tcW w:w="1860" w:type="dxa"/>
            <w:vAlign w:val="bottom"/>
            <w:tcBorders>
              <w:right w:val="single" w:sz="8" w:color="EFF2EF"/>
            </w:tcBorders>
            <w:shd w:val="clear" w:color="auto" w:fill="EFF2EF"/>
          </w:tcPr>
          <w:p>
            <w:pPr>
              <w:jc w:val="center"/>
              <w:ind w:left="128"/>
              <w:spacing w:after="0" w:line="203" w:lineRule="exact"/>
              <w:rPr>
                <w:sz w:val="20"/>
                <w:szCs w:val="20"/>
                <w:color w:val="auto"/>
              </w:rPr>
            </w:pPr>
            <w:r>
              <w:rPr>
                <w:rFonts w:ascii="Calibri" w:cs="Calibri" w:eastAsia="Calibri" w:hAnsi="Calibri"/>
                <w:sz w:val="17"/>
                <w:szCs w:val="17"/>
                <w:color w:val="333333"/>
              </w:rPr>
              <w:t>—</w:t>
            </w:r>
          </w:p>
        </w:tc>
        <w:tc>
          <w:tcPr>
            <w:tcW w:w="1580" w:type="dxa"/>
            <w:vAlign w:val="bottom"/>
            <w:tcBorders>
              <w:right w:val="single" w:sz="8" w:color="EFF2EF"/>
            </w:tcBorders>
            <w:shd w:val="clear" w:color="auto" w:fill="EFF2EF"/>
          </w:tcPr>
          <w:p>
            <w:pPr>
              <w:jc w:val="center"/>
              <w:ind w:left="110"/>
              <w:spacing w:after="0" w:line="203" w:lineRule="exact"/>
              <w:rPr>
                <w:sz w:val="20"/>
                <w:szCs w:val="20"/>
                <w:color w:val="auto"/>
              </w:rPr>
            </w:pPr>
            <w:r>
              <w:rPr>
                <w:rFonts w:ascii="Calibri" w:cs="Calibri" w:eastAsia="Calibri" w:hAnsi="Calibri"/>
                <w:sz w:val="17"/>
                <w:szCs w:val="17"/>
                <w:color w:val="333333"/>
                <w:w w:val="90"/>
              </w:rPr>
              <w:t>—</w:t>
            </w:r>
          </w:p>
        </w:tc>
        <w:tc>
          <w:tcPr>
            <w:tcW w:w="1600" w:type="dxa"/>
            <w:vAlign w:val="bottom"/>
            <w:tcBorders>
              <w:right w:val="single" w:sz="8" w:color="EFF2EF"/>
            </w:tcBorders>
            <w:shd w:val="clear" w:color="auto" w:fill="EFF2EF"/>
          </w:tcPr>
          <w:p>
            <w:pPr>
              <w:ind w:left="880"/>
              <w:spacing w:after="0" w:line="203" w:lineRule="exact"/>
              <w:rPr>
                <w:sz w:val="20"/>
                <w:szCs w:val="20"/>
                <w:color w:val="auto"/>
              </w:rPr>
            </w:pPr>
            <w:r>
              <w:rPr>
                <w:rFonts w:ascii="Calibri" w:cs="Calibri" w:eastAsia="Calibri" w:hAnsi="Calibri"/>
                <w:sz w:val="17"/>
                <w:szCs w:val="17"/>
                <w:color w:val="333333"/>
              </w:rPr>
              <w:t>—</w:t>
            </w:r>
          </w:p>
        </w:tc>
        <w:tc>
          <w:tcPr>
            <w:tcW w:w="2220" w:type="dxa"/>
            <w:vAlign w:val="bottom"/>
            <w:tcBorders>
              <w:right w:val="single" w:sz="8" w:color="EFF2EF"/>
            </w:tcBorders>
            <w:shd w:val="clear" w:color="auto" w:fill="EFF2EF"/>
          </w:tcPr>
          <w:p>
            <w:pPr>
              <w:ind w:left="1260"/>
              <w:spacing w:after="0" w:line="203" w:lineRule="exact"/>
              <w:rPr>
                <w:sz w:val="20"/>
                <w:szCs w:val="20"/>
                <w:color w:val="auto"/>
              </w:rPr>
            </w:pPr>
            <w:r>
              <w:rPr>
                <w:rFonts w:ascii="Calibri" w:cs="Calibri" w:eastAsia="Calibri" w:hAnsi="Calibri"/>
                <w:sz w:val="17"/>
                <w:szCs w:val="17"/>
                <w:color w:val="333333"/>
              </w:rPr>
              <w:t>—</w:t>
            </w:r>
          </w:p>
        </w:tc>
        <w:tc>
          <w:tcPr>
            <w:tcW w:w="1220" w:type="dxa"/>
            <w:vAlign w:val="bottom"/>
            <w:shd w:val="clear" w:color="auto" w:fill="EFF2EF"/>
          </w:tcPr>
          <w:p>
            <w:pPr>
              <w:jc w:val="center"/>
              <w:ind w:left="91"/>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300" w:type="dxa"/>
            <w:vAlign w:val="bottom"/>
            <w:tcBorders>
              <w:left w:val="single" w:sz="8" w:color="EFF2EF"/>
            </w:tcBorders>
            <w:shd w:val="clear" w:color="auto" w:fill="EFF2EF"/>
          </w:tcPr>
          <w:p>
            <w:pPr>
              <w:spacing w:after="0"/>
              <w:rPr>
                <w:sz w:val="5"/>
                <w:szCs w:val="5"/>
                <w:color w:val="auto"/>
              </w:rPr>
            </w:pPr>
          </w:p>
        </w:tc>
        <w:tc>
          <w:tcPr>
            <w:tcW w:w="140" w:type="dxa"/>
            <w:vAlign w:val="bottom"/>
            <w:tcBorders>
              <w:right w:val="single" w:sz="8" w:color="EFF2EF"/>
            </w:tcBorders>
            <w:shd w:val="clear" w:color="auto" w:fill="EFF2EF"/>
          </w:tcPr>
          <w:p>
            <w:pPr>
              <w:spacing w:after="0"/>
              <w:rPr>
                <w:sz w:val="5"/>
                <w:szCs w:val="5"/>
                <w:color w:val="auto"/>
              </w:rPr>
            </w:pPr>
          </w:p>
        </w:tc>
        <w:tc>
          <w:tcPr>
            <w:tcW w:w="1860" w:type="dxa"/>
            <w:vAlign w:val="bottom"/>
            <w:tcBorders>
              <w:right w:val="single" w:sz="8" w:color="EFF2EF"/>
            </w:tcBorders>
            <w:shd w:val="clear" w:color="auto" w:fill="EFF2EF"/>
          </w:tcPr>
          <w:p>
            <w:pPr>
              <w:spacing w:after="0"/>
              <w:rPr>
                <w:sz w:val="5"/>
                <w:szCs w:val="5"/>
                <w:color w:val="auto"/>
              </w:rPr>
            </w:pPr>
          </w:p>
        </w:tc>
        <w:tc>
          <w:tcPr>
            <w:tcW w:w="1580" w:type="dxa"/>
            <w:vAlign w:val="bottom"/>
            <w:tcBorders>
              <w:right w:val="single" w:sz="8" w:color="EFF2EF"/>
            </w:tcBorders>
            <w:shd w:val="clear" w:color="auto" w:fill="EFF2EF"/>
          </w:tcPr>
          <w:p>
            <w:pPr>
              <w:spacing w:after="0"/>
              <w:rPr>
                <w:sz w:val="5"/>
                <w:szCs w:val="5"/>
                <w:color w:val="auto"/>
              </w:rPr>
            </w:pPr>
          </w:p>
        </w:tc>
        <w:tc>
          <w:tcPr>
            <w:tcW w:w="1600" w:type="dxa"/>
            <w:vAlign w:val="bottom"/>
            <w:tcBorders>
              <w:right w:val="single" w:sz="8" w:color="EFF2EF"/>
            </w:tcBorders>
            <w:shd w:val="clear" w:color="auto" w:fill="EFF2EF"/>
          </w:tcPr>
          <w:p>
            <w:pPr>
              <w:spacing w:after="0"/>
              <w:rPr>
                <w:sz w:val="5"/>
                <w:szCs w:val="5"/>
                <w:color w:val="auto"/>
              </w:rPr>
            </w:pPr>
          </w:p>
        </w:tc>
        <w:tc>
          <w:tcPr>
            <w:tcW w:w="2220" w:type="dxa"/>
            <w:vAlign w:val="bottom"/>
            <w:tcBorders>
              <w:right w:val="single" w:sz="8" w:color="EFF2EF"/>
            </w:tcBorders>
            <w:shd w:val="clear" w:color="auto" w:fill="EFF2EF"/>
          </w:tcPr>
          <w:p>
            <w:pPr>
              <w:spacing w:after="0"/>
              <w:rPr>
                <w:sz w:val="5"/>
                <w:szCs w:val="5"/>
                <w:color w:val="auto"/>
              </w:rPr>
            </w:pPr>
          </w:p>
        </w:tc>
        <w:tc>
          <w:tcPr>
            <w:tcW w:w="12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134"/>
        </w:trPr>
        <w:tc>
          <w:tcPr>
            <w:tcW w:w="2300" w:type="dxa"/>
            <w:vAlign w:val="bottom"/>
            <w:tcBorders>
              <w:bottom w:val="single" w:sz="8" w:color="333333"/>
            </w:tcBorders>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6" w:lineRule="exact"/>
        <w:rPr>
          <w:sz w:val="20"/>
          <w:szCs w:val="20"/>
          <w:color w:val="auto"/>
        </w:rPr>
      </w:pPr>
    </w:p>
    <w:p>
      <w:pPr>
        <w:ind w:left="600" w:right="140" w:hanging="433"/>
        <w:spacing w:after="0" w:line="207" w:lineRule="auto"/>
        <w:tabs>
          <w:tab w:leader="none" w:pos="600" w:val="left"/>
        </w:tabs>
        <w:numPr>
          <w:ilvl w:val="0"/>
          <w:numId w:val="51"/>
        </w:numPr>
        <w:rPr>
          <w:rFonts w:ascii="Calibri" w:cs="Calibri" w:eastAsia="Calibri" w:hAnsi="Calibri"/>
          <w:sz w:val="21"/>
          <w:szCs w:val="21"/>
          <w:color w:val="333333"/>
          <w:vertAlign w:val="superscript"/>
        </w:rPr>
      </w:pPr>
      <w:r>
        <w:rPr>
          <w:rFonts w:ascii="Calibri" w:cs="Calibri" w:eastAsia="Calibri" w:hAnsi="Calibri"/>
          <w:sz w:val="14"/>
          <w:szCs w:val="14"/>
          <w:color w:val="333333"/>
        </w:rPr>
        <w:t>Amounts shown refect the grant date fair value of stock awards granted during 2025. The grant date fair value was computed in accordance with Financial Accountng Standards Board Accountng Standards Codifcaton Topic 718, Compensaton – Stock Compensaton (“ASC Topic 718”), disregarding the efect of estmated forfeitures related to service-based vestng. See Notes 1 and 7 to the fnancial statements in the Company’s Annual Report on Form 10-K regarding assumptons we made in determining the fair value</w:t>
      </w:r>
    </w:p>
    <w:p>
      <w:pPr>
        <w:spacing w:after="0" w:line="13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29</w:t>
      </w:r>
    </w:p>
    <w:p>
      <w:pPr>
        <w:sectPr>
          <w:pgSz w:w="11900" w:h="16838" w:orient="portrait"/>
          <w:cols w:equalWidth="0" w:num="1">
            <w:col w:w="11100"/>
          </w:cols>
          <w:pgMar w:left="320" w:top="478"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2" w:lineRule="exact"/>
        <w:rPr>
          <w:sz w:val="20"/>
          <w:szCs w:val="20"/>
          <w:color w:val="auto"/>
        </w:rPr>
      </w:pPr>
    </w:p>
    <w:p>
      <w:pPr>
        <w:ind w:left="600" w:right="200"/>
        <w:spacing w:after="0" w:line="241" w:lineRule="auto"/>
        <w:rPr>
          <w:sz w:val="20"/>
          <w:szCs w:val="20"/>
          <w:color w:val="auto"/>
        </w:rPr>
      </w:pPr>
      <w:r>
        <w:rPr>
          <w:rFonts w:ascii="Calibri" w:cs="Calibri" w:eastAsia="Calibri" w:hAnsi="Calibri"/>
          <w:sz w:val="14"/>
          <w:szCs w:val="14"/>
          <w:color w:val="333333"/>
        </w:rPr>
        <w:t>of stock awards. The balances of each non-employee director’s equity-based awards as of December 31, 2025 (excluding vested shares of Common Stock) are set forth in the table below:</w:t>
      </w:r>
    </w:p>
    <w:p>
      <w:pPr>
        <w:spacing w:after="0" w:line="240" w:lineRule="exact"/>
        <w:rPr>
          <w:sz w:val="20"/>
          <w:szCs w:val="20"/>
          <w:color w:val="auto"/>
        </w:rPr>
      </w:pPr>
    </w:p>
    <w:tbl>
      <w:tblPr>
        <w:tblLayout w:type="fixed"/>
        <w:tblInd w:w="610" w:type="dxa"/>
        <w:tblCellMar>
          <w:top w:w="0" w:type="dxa"/>
          <w:left w:w="0" w:type="dxa"/>
          <w:bottom w:w="0" w:type="dxa"/>
          <w:right w:w="0" w:type="dxa"/>
        </w:tblCellMar>
      </w:tblPr>
      <w:tr>
        <w:trPr>
          <w:trHeight w:val="221"/>
        </w:trPr>
        <w:tc>
          <w:tcPr>
            <w:tcW w:w="2900" w:type="dxa"/>
            <w:vAlign w:val="bottom"/>
            <w:tcBorders>
              <w:top w:val="single" w:sz="8" w:color="0591DB"/>
              <w:left w:val="single" w:sz="8" w:color="0591DB"/>
              <w:right w:val="single" w:sz="8" w:color="0591DB"/>
            </w:tcBorders>
          </w:tcPr>
          <w:p>
            <w:pPr>
              <w:spacing w:after="0"/>
              <w:rPr>
                <w:sz w:val="19"/>
                <w:szCs w:val="19"/>
                <w:color w:val="auto"/>
              </w:rPr>
            </w:pPr>
          </w:p>
        </w:tc>
        <w:tc>
          <w:tcPr>
            <w:tcW w:w="182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5"/>
              </w:rPr>
              <w:t>UNVESTED</w:t>
            </w:r>
          </w:p>
        </w:tc>
        <w:tc>
          <w:tcPr>
            <w:tcW w:w="184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6"/>
              </w:rPr>
              <w:t>VESTED</w:t>
            </w:r>
          </w:p>
        </w:tc>
        <w:tc>
          <w:tcPr>
            <w:tcW w:w="182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5"/>
              </w:rPr>
              <w:t>UNVESTED</w:t>
            </w:r>
          </w:p>
        </w:tc>
        <w:tc>
          <w:tcPr>
            <w:tcW w:w="210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shd w:val="clear" w:color="auto" w:fill="0591DB"/>
          </w:tcPr>
          <w:p>
            <w:pPr>
              <w:spacing w:after="0"/>
              <w:rPr>
                <w:sz w:val="19"/>
                <w:szCs w:val="19"/>
                <w:color w:val="auto"/>
              </w:rPr>
            </w:pPr>
          </w:p>
        </w:tc>
      </w:tr>
      <w:tr>
        <w:trPr>
          <w:trHeight w:val="241"/>
        </w:trPr>
        <w:tc>
          <w:tcPr>
            <w:tcW w:w="2900" w:type="dxa"/>
            <w:vAlign w:val="bottom"/>
            <w:tcBorders>
              <w:left w:val="single" w:sz="8" w:color="0591DB"/>
              <w:right w:val="single" w:sz="8" w:color="0591DB"/>
            </w:tcBorders>
          </w:tcPr>
          <w:p>
            <w:pPr>
              <w:spacing w:after="0"/>
              <w:rPr>
                <w:sz w:val="20"/>
                <w:szCs w:val="20"/>
                <w:color w:val="auto"/>
              </w:rPr>
            </w:pPr>
          </w:p>
        </w:tc>
        <w:tc>
          <w:tcPr>
            <w:tcW w:w="18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RESTRICTED</w:t>
            </w:r>
          </w:p>
        </w:tc>
        <w:tc>
          <w:tcPr>
            <w:tcW w:w="18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DEFERRED</w:t>
            </w:r>
          </w:p>
        </w:tc>
        <w:tc>
          <w:tcPr>
            <w:tcW w:w="18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DEFERRED</w:t>
            </w:r>
          </w:p>
        </w:tc>
        <w:tc>
          <w:tcPr>
            <w:tcW w:w="210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r>
      <w:tr>
        <w:trPr>
          <w:trHeight w:val="241"/>
        </w:trPr>
        <w:tc>
          <w:tcPr>
            <w:tcW w:w="2900" w:type="dxa"/>
            <w:vAlign w:val="bottom"/>
            <w:tcBorders>
              <w:left w:val="single" w:sz="8" w:color="0591DB"/>
              <w:right w:val="single" w:sz="8" w:color="0591DB"/>
            </w:tcBorders>
          </w:tcPr>
          <w:p>
            <w:pPr>
              <w:spacing w:after="0"/>
              <w:rPr>
                <w:sz w:val="20"/>
                <w:szCs w:val="20"/>
                <w:color w:val="auto"/>
              </w:rPr>
            </w:pPr>
          </w:p>
        </w:tc>
        <w:tc>
          <w:tcPr>
            <w:tcW w:w="18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SHARES OR</w:t>
            </w:r>
          </w:p>
        </w:tc>
        <w:tc>
          <w:tcPr>
            <w:tcW w:w="18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STOCK OR</w:t>
            </w:r>
          </w:p>
        </w:tc>
        <w:tc>
          <w:tcPr>
            <w:tcW w:w="18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STOCK OR</w:t>
            </w:r>
          </w:p>
        </w:tc>
        <w:tc>
          <w:tcPr>
            <w:tcW w:w="210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r>
      <w:tr>
        <w:trPr>
          <w:trHeight w:val="241"/>
        </w:trPr>
        <w:tc>
          <w:tcPr>
            <w:tcW w:w="2900" w:type="dxa"/>
            <w:vAlign w:val="bottom"/>
            <w:tcBorders>
              <w:left w:val="single" w:sz="8" w:color="0591DB"/>
              <w:right w:val="single" w:sz="8" w:color="0591DB"/>
            </w:tcBorders>
          </w:tcPr>
          <w:p>
            <w:pPr>
              <w:spacing w:after="0"/>
              <w:rPr>
                <w:sz w:val="20"/>
                <w:szCs w:val="20"/>
                <w:color w:val="auto"/>
              </w:rPr>
            </w:pPr>
          </w:p>
        </w:tc>
        <w:tc>
          <w:tcPr>
            <w:tcW w:w="18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RESTRICTED</w:t>
            </w:r>
          </w:p>
        </w:tc>
        <w:tc>
          <w:tcPr>
            <w:tcW w:w="18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DEFERRED</w:t>
            </w:r>
          </w:p>
        </w:tc>
        <w:tc>
          <w:tcPr>
            <w:tcW w:w="18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DEFERRED</w:t>
            </w:r>
          </w:p>
        </w:tc>
        <w:tc>
          <w:tcPr>
            <w:tcW w:w="2100" w:type="dxa"/>
            <w:vAlign w:val="bottom"/>
          </w:tcPr>
          <w:p>
            <w:pPr>
              <w:ind w:left="480"/>
              <w:spacing w:after="0" w:line="241" w:lineRule="exact"/>
              <w:rPr>
                <w:sz w:val="20"/>
                <w:szCs w:val="20"/>
                <w:color w:val="auto"/>
              </w:rPr>
            </w:pPr>
            <w:r>
              <w:rPr>
                <w:rFonts w:ascii="Calibri" w:cs="Calibri" w:eastAsia="Calibri" w:hAnsi="Calibri"/>
                <w:sz w:val="21"/>
                <w:szCs w:val="21"/>
                <w:b w:val="1"/>
                <w:bCs w:val="1"/>
                <w:color w:val="0591DB"/>
              </w:rPr>
              <w:t>UNEXERCISED</w:t>
            </w:r>
          </w:p>
        </w:tc>
        <w:tc>
          <w:tcPr>
            <w:tcW w:w="20" w:type="dxa"/>
            <w:vAlign w:val="bottom"/>
            <w:shd w:val="clear" w:color="auto" w:fill="0591DB"/>
          </w:tcPr>
          <w:p>
            <w:pPr>
              <w:spacing w:after="0"/>
              <w:rPr>
                <w:sz w:val="20"/>
                <w:szCs w:val="20"/>
                <w:color w:val="auto"/>
              </w:rPr>
            </w:pPr>
          </w:p>
        </w:tc>
      </w:tr>
      <w:tr>
        <w:trPr>
          <w:trHeight w:val="244"/>
        </w:trPr>
        <w:tc>
          <w:tcPr>
            <w:tcW w:w="2900" w:type="dxa"/>
            <w:vAlign w:val="bottom"/>
            <w:tcBorders>
              <w:left w:val="single" w:sz="8" w:color="0591DB"/>
              <w:right w:val="single" w:sz="8" w:color="0591DB"/>
            </w:tcBorders>
          </w:tcPr>
          <w:p>
            <w:pPr>
              <w:ind w:left="160"/>
              <w:spacing w:after="0" w:line="244" w:lineRule="exact"/>
              <w:rPr>
                <w:sz w:val="20"/>
                <w:szCs w:val="20"/>
                <w:color w:val="auto"/>
              </w:rPr>
            </w:pPr>
            <w:r>
              <w:rPr>
                <w:rFonts w:ascii="Calibri" w:cs="Calibri" w:eastAsia="Calibri" w:hAnsi="Calibri"/>
                <w:sz w:val="21"/>
                <w:szCs w:val="21"/>
                <w:b w:val="1"/>
                <w:bCs w:val="1"/>
                <w:color w:val="0591DB"/>
              </w:rPr>
              <w:t>NAME</w:t>
            </w:r>
          </w:p>
        </w:tc>
        <w:tc>
          <w:tcPr>
            <w:tcW w:w="182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3"/>
              </w:rPr>
              <w:t>STOCK UNITS</w:t>
            </w:r>
          </w:p>
        </w:tc>
        <w:tc>
          <w:tcPr>
            <w:tcW w:w="184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5"/>
              </w:rPr>
              <w:t>STOCK UNITS</w:t>
            </w:r>
          </w:p>
        </w:tc>
        <w:tc>
          <w:tcPr>
            <w:tcW w:w="182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5"/>
              </w:rPr>
              <w:t>STOCK UNITS</w:t>
            </w:r>
          </w:p>
        </w:tc>
        <w:tc>
          <w:tcPr>
            <w:tcW w:w="2100" w:type="dxa"/>
            <w:vAlign w:val="bottom"/>
          </w:tcPr>
          <w:p>
            <w:pPr>
              <w:ind w:left="400"/>
              <w:spacing w:after="0" w:line="244" w:lineRule="exact"/>
              <w:rPr>
                <w:sz w:val="20"/>
                <w:szCs w:val="20"/>
                <w:color w:val="auto"/>
              </w:rPr>
            </w:pPr>
            <w:r>
              <w:rPr>
                <w:rFonts w:ascii="Calibri" w:cs="Calibri" w:eastAsia="Calibri" w:hAnsi="Calibri"/>
                <w:sz w:val="21"/>
                <w:szCs w:val="21"/>
                <w:b w:val="1"/>
                <w:bCs w:val="1"/>
                <w:color w:val="0591DB"/>
              </w:rPr>
              <w:t>STOCK OPTIONS</w:t>
            </w:r>
          </w:p>
        </w:tc>
        <w:tc>
          <w:tcPr>
            <w:tcW w:w="20" w:type="dxa"/>
            <w:vAlign w:val="bottom"/>
            <w:shd w:val="clear" w:color="auto" w:fill="0591DB"/>
          </w:tcPr>
          <w:p>
            <w:pPr>
              <w:spacing w:after="0"/>
              <w:rPr>
                <w:sz w:val="21"/>
                <w:szCs w:val="21"/>
                <w:color w:val="auto"/>
              </w:rPr>
            </w:pPr>
          </w:p>
        </w:tc>
      </w:tr>
      <w:tr>
        <w:trPr>
          <w:trHeight w:val="30"/>
        </w:trPr>
        <w:tc>
          <w:tcPr>
            <w:tcW w:w="2900" w:type="dxa"/>
            <w:vAlign w:val="bottom"/>
            <w:tcBorders>
              <w:left w:val="single" w:sz="8" w:color="0591DB"/>
              <w:bottom w:val="single" w:sz="8" w:color="0591DB"/>
              <w:right w:val="single" w:sz="8" w:color="0591DB"/>
            </w:tcBorders>
          </w:tcPr>
          <w:p>
            <w:pPr>
              <w:spacing w:after="0"/>
              <w:rPr>
                <w:sz w:val="2"/>
                <w:szCs w:val="2"/>
                <w:color w:val="auto"/>
              </w:rPr>
            </w:pPr>
          </w:p>
        </w:tc>
        <w:tc>
          <w:tcPr>
            <w:tcW w:w="1820" w:type="dxa"/>
            <w:vAlign w:val="bottom"/>
            <w:tcBorders>
              <w:bottom w:val="single" w:sz="8" w:color="0591DB"/>
              <w:right w:val="single" w:sz="8" w:color="0591DB"/>
            </w:tcBorders>
          </w:tcPr>
          <w:p>
            <w:pPr>
              <w:spacing w:after="0"/>
              <w:rPr>
                <w:sz w:val="2"/>
                <w:szCs w:val="2"/>
                <w:color w:val="auto"/>
              </w:rPr>
            </w:pPr>
          </w:p>
        </w:tc>
        <w:tc>
          <w:tcPr>
            <w:tcW w:w="1840" w:type="dxa"/>
            <w:vAlign w:val="bottom"/>
            <w:tcBorders>
              <w:bottom w:val="single" w:sz="8" w:color="0591DB"/>
              <w:right w:val="single" w:sz="8" w:color="0591DB"/>
            </w:tcBorders>
          </w:tcPr>
          <w:p>
            <w:pPr>
              <w:spacing w:after="0"/>
              <w:rPr>
                <w:sz w:val="2"/>
                <w:szCs w:val="2"/>
                <w:color w:val="auto"/>
              </w:rPr>
            </w:pPr>
          </w:p>
        </w:tc>
        <w:tc>
          <w:tcPr>
            <w:tcW w:w="1820" w:type="dxa"/>
            <w:vAlign w:val="bottom"/>
            <w:tcBorders>
              <w:bottom w:val="single" w:sz="8" w:color="0591DB"/>
              <w:right w:val="single" w:sz="8" w:color="0591DB"/>
            </w:tcBorders>
          </w:tcPr>
          <w:p>
            <w:pPr>
              <w:spacing w:after="0"/>
              <w:rPr>
                <w:sz w:val="2"/>
                <w:szCs w:val="2"/>
                <w:color w:val="auto"/>
              </w:rPr>
            </w:pPr>
          </w:p>
        </w:tc>
        <w:tc>
          <w:tcPr>
            <w:tcW w:w="210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r>
      <w:tr>
        <w:trPr>
          <w:trHeight w:val="196"/>
        </w:trPr>
        <w:tc>
          <w:tcPr>
            <w:tcW w:w="2900" w:type="dxa"/>
            <w:vAlign w:val="bottom"/>
          </w:tcPr>
          <w:p>
            <w:pPr>
              <w:ind w:left="100"/>
              <w:spacing w:after="0" w:line="197" w:lineRule="exact"/>
              <w:rPr>
                <w:sz w:val="20"/>
                <w:szCs w:val="20"/>
                <w:color w:val="auto"/>
              </w:rPr>
            </w:pPr>
            <w:r>
              <w:rPr>
                <w:rFonts w:ascii="Calibri" w:cs="Calibri" w:eastAsia="Calibri" w:hAnsi="Calibri"/>
                <w:sz w:val="17"/>
                <w:szCs w:val="17"/>
                <w:b w:val="1"/>
                <w:bCs w:val="1"/>
                <w:color w:val="0591DB"/>
              </w:rPr>
              <w:t>2025 Non-Employee Directors:</w:t>
            </w:r>
          </w:p>
        </w:tc>
        <w:tc>
          <w:tcPr>
            <w:tcW w:w="1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1"/>
        </w:trPr>
        <w:tc>
          <w:tcPr>
            <w:tcW w:w="2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90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Mark S. Bartlet</w:t>
            </w:r>
          </w:p>
        </w:tc>
        <w:tc>
          <w:tcPr>
            <w:tcW w:w="1820" w:type="dxa"/>
            <w:vAlign w:val="bottom"/>
            <w:tcBorders>
              <w:right w:val="single" w:sz="8" w:color="EFF2EF"/>
            </w:tcBorders>
            <w:shd w:val="clear" w:color="auto" w:fill="EFF2EF"/>
          </w:tcPr>
          <w:p>
            <w:pPr>
              <w:jc w:val="center"/>
              <w:ind w:left="9"/>
              <w:spacing w:after="0" w:line="203" w:lineRule="exact"/>
              <w:rPr>
                <w:sz w:val="20"/>
                <w:szCs w:val="20"/>
                <w:color w:val="auto"/>
              </w:rPr>
            </w:pPr>
            <w:r>
              <w:rPr>
                <w:rFonts w:ascii="Calibri" w:cs="Calibri" w:eastAsia="Calibri" w:hAnsi="Calibri"/>
                <w:sz w:val="17"/>
                <w:szCs w:val="17"/>
                <w:color w:val="333333"/>
              </w:rPr>
              <w:t>1,529</w:t>
            </w:r>
          </w:p>
        </w:tc>
        <w:tc>
          <w:tcPr>
            <w:tcW w:w="184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shd w:val="clear" w:color="auto" w:fill="EFF2EF"/>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Borders>
              <w:left w:val="single" w:sz="8" w:color="EFF2EF"/>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1840" w:type="dxa"/>
            <w:vAlign w:val="bottom"/>
            <w:tcBorders>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210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Elsy Boglioli</w:t>
            </w:r>
          </w:p>
        </w:tc>
        <w:tc>
          <w:tcPr>
            <w:tcW w:w="1820" w:type="dxa"/>
            <w:vAlign w:val="bottom"/>
          </w:tcPr>
          <w:p>
            <w:pPr>
              <w:jc w:val="center"/>
              <w:ind w:left="9"/>
              <w:spacing w:after="0" w:line="203" w:lineRule="exact"/>
              <w:rPr>
                <w:sz w:val="20"/>
                <w:szCs w:val="20"/>
                <w:color w:val="auto"/>
              </w:rPr>
            </w:pPr>
            <w:r>
              <w:rPr>
                <w:rFonts w:ascii="Calibri" w:cs="Calibri" w:eastAsia="Calibri" w:hAnsi="Calibri"/>
                <w:sz w:val="17"/>
                <w:szCs w:val="17"/>
                <w:color w:val="333333"/>
              </w:rPr>
              <w:t>1,529</w:t>
            </w:r>
          </w:p>
        </w:tc>
        <w:tc>
          <w:tcPr>
            <w:tcW w:w="184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Claudio Costamagna</w:t>
            </w:r>
          </w:p>
        </w:tc>
        <w:tc>
          <w:tcPr>
            <w:tcW w:w="1820" w:type="dxa"/>
            <w:vAlign w:val="bottom"/>
            <w:tcBorders>
              <w:right w:val="single" w:sz="8" w:color="EFF2EF"/>
            </w:tcBorders>
            <w:shd w:val="clear" w:color="auto" w:fill="EFF2EF"/>
          </w:tcPr>
          <w:p>
            <w:pPr>
              <w:jc w:val="center"/>
              <w:ind w:left="9"/>
              <w:spacing w:after="0" w:line="203" w:lineRule="exact"/>
              <w:rPr>
                <w:sz w:val="20"/>
                <w:szCs w:val="20"/>
                <w:color w:val="auto"/>
              </w:rPr>
            </w:pPr>
            <w:r>
              <w:rPr>
                <w:rFonts w:ascii="Calibri" w:cs="Calibri" w:eastAsia="Calibri" w:hAnsi="Calibri"/>
                <w:sz w:val="17"/>
                <w:szCs w:val="17"/>
                <w:color w:val="333333"/>
              </w:rPr>
              <w:t>1,529</w:t>
            </w:r>
          </w:p>
        </w:tc>
        <w:tc>
          <w:tcPr>
            <w:tcW w:w="184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shd w:val="clear" w:color="auto" w:fill="EFF2EF"/>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Borders>
              <w:left w:val="single" w:sz="8" w:color="EFF2EF"/>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1840" w:type="dxa"/>
            <w:vAlign w:val="bottom"/>
            <w:tcBorders>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210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Nicholas C. Fanandakis</w:t>
            </w:r>
          </w:p>
        </w:tc>
        <w:tc>
          <w:tcPr>
            <w:tcW w:w="1820" w:type="dxa"/>
            <w:vAlign w:val="bottom"/>
          </w:tcPr>
          <w:p>
            <w:pPr>
              <w:jc w:val="center"/>
              <w:ind w:left="9"/>
              <w:spacing w:after="0" w:line="203" w:lineRule="exact"/>
              <w:rPr>
                <w:sz w:val="20"/>
                <w:szCs w:val="20"/>
                <w:color w:val="auto"/>
              </w:rPr>
            </w:pPr>
            <w:r>
              <w:rPr>
                <w:rFonts w:ascii="Calibri" w:cs="Calibri" w:eastAsia="Calibri" w:hAnsi="Calibri"/>
                <w:sz w:val="17"/>
                <w:szCs w:val="17"/>
                <w:color w:val="333333"/>
              </w:rPr>
              <w:t>1,529</w:t>
            </w:r>
          </w:p>
        </w:tc>
        <w:tc>
          <w:tcPr>
            <w:tcW w:w="184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rPr>
              <w:t>3,966</w:t>
            </w:r>
          </w:p>
        </w:tc>
        <w:tc>
          <w:tcPr>
            <w:tcW w:w="182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Stephen C. Robinson</w:t>
            </w:r>
          </w:p>
        </w:tc>
        <w:tc>
          <w:tcPr>
            <w:tcW w:w="1820" w:type="dxa"/>
            <w:vAlign w:val="bottom"/>
            <w:tcBorders>
              <w:right w:val="single" w:sz="8" w:color="EFF2EF"/>
            </w:tcBorders>
            <w:shd w:val="clear" w:color="auto" w:fill="EFF2EF"/>
          </w:tcPr>
          <w:p>
            <w:pPr>
              <w:jc w:val="center"/>
              <w:ind w:left="9"/>
              <w:spacing w:after="0" w:line="203" w:lineRule="exact"/>
              <w:rPr>
                <w:sz w:val="20"/>
                <w:szCs w:val="20"/>
                <w:color w:val="auto"/>
              </w:rPr>
            </w:pPr>
            <w:r>
              <w:rPr>
                <w:rFonts w:ascii="Calibri" w:cs="Calibri" w:eastAsia="Calibri" w:hAnsi="Calibri"/>
                <w:sz w:val="17"/>
                <w:szCs w:val="17"/>
                <w:color w:val="333333"/>
              </w:rPr>
              <w:t>1,529</w:t>
            </w:r>
          </w:p>
        </w:tc>
        <w:tc>
          <w:tcPr>
            <w:tcW w:w="184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shd w:val="clear" w:color="auto" w:fill="EFF2EF"/>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Borders>
              <w:left w:val="single" w:sz="8" w:color="EFF2EF"/>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1840" w:type="dxa"/>
            <w:vAlign w:val="bottom"/>
            <w:tcBorders>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210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Lauren E. Seeger</w:t>
            </w:r>
          </w:p>
        </w:tc>
        <w:tc>
          <w:tcPr>
            <w:tcW w:w="1820" w:type="dxa"/>
            <w:vAlign w:val="bottom"/>
          </w:tcPr>
          <w:p>
            <w:pPr>
              <w:jc w:val="center"/>
              <w:ind w:left="9"/>
              <w:spacing w:after="0" w:line="203" w:lineRule="exact"/>
              <w:rPr>
                <w:sz w:val="20"/>
                <w:szCs w:val="20"/>
                <w:color w:val="auto"/>
              </w:rPr>
            </w:pPr>
            <w:r>
              <w:rPr>
                <w:rFonts w:ascii="Calibri" w:cs="Calibri" w:eastAsia="Calibri" w:hAnsi="Calibri"/>
                <w:sz w:val="17"/>
                <w:szCs w:val="17"/>
                <w:color w:val="333333"/>
              </w:rPr>
              <w:t>—</w:t>
            </w:r>
          </w:p>
        </w:tc>
        <w:tc>
          <w:tcPr>
            <w:tcW w:w="184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rPr>
              <w:t>7,326</w:t>
            </w:r>
          </w:p>
        </w:tc>
        <w:tc>
          <w:tcPr>
            <w:tcW w:w="182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w w:val="97"/>
              </w:rPr>
              <w:t>1,529</w:t>
            </w:r>
          </w:p>
        </w:tc>
        <w:tc>
          <w:tcPr>
            <w:tcW w:w="2100" w:type="dxa"/>
            <w:vAlign w:val="bottom"/>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Eric T. Steigerwalt </w:t>
            </w:r>
            <w:r>
              <w:rPr>
                <w:rFonts w:ascii="Calibri" w:cs="Calibri" w:eastAsia="Calibri" w:hAnsi="Calibri"/>
                <w:sz w:val="12"/>
                <w:szCs w:val="12"/>
                <w:b w:val="1"/>
                <w:bCs w:val="1"/>
                <w:color w:val="0591DB"/>
              </w:rPr>
              <w:t>(3)</w:t>
            </w:r>
          </w:p>
        </w:tc>
        <w:tc>
          <w:tcPr>
            <w:tcW w:w="1820" w:type="dxa"/>
            <w:vAlign w:val="bottom"/>
            <w:tcBorders>
              <w:right w:val="single" w:sz="8" w:color="EFF2EF"/>
            </w:tcBorders>
            <w:shd w:val="clear" w:color="auto" w:fill="EFF2EF"/>
          </w:tcPr>
          <w:p>
            <w:pPr>
              <w:jc w:val="center"/>
              <w:ind w:left="9"/>
              <w:spacing w:after="0" w:line="203" w:lineRule="exact"/>
              <w:rPr>
                <w:sz w:val="20"/>
                <w:szCs w:val="20"/>
                <w:color w:val="auto"/>
              </w:rPr>
            </w:pPr>
            <w:r>
              <w:rPr>
                <w:rFonts w:ascii="Calibri" w:cs="Calibri" w:eastAsia="Calibri" w:hAnsi="Calibri"/>
                <w:sz w:val="17"/>
                <w:szCs w:val="17"/>
                <w:color w:val="333333"/>
              </w:rPr>
              <w:t>1,816</w:t>
            </w:r>
          </w:p>
        </w:tc>
        <w:tc>
          <w:tcPr>
            <w:tcW w:w="184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shd w:val="clear" w:color="auto" w:fill="EFF2EF"/>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Borders>
              <w:left w:val="single" w:sz="8" w:color="EFF2EF"/>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1840" w:type="dxa"/>
            <w:vAlign w:val="bottom"/>
            <w:tcBorders>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210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0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Janet H. Zelenka </w:t>
            </w:r>
            <w:r>
              <w:rPr>
                <w:rFonts w:ascii="Calibri" w:cs="Calibri" w:eastAsia="Calibri" w:hAnsi="Calibri"/>
                <w:sz w:val="12"/>
                <w:szCs w:val="12"/>
                <w:b w:val="1"/>
                <w:bCs w:val="1"/>
                <w:color w:val="0591DB"/>
              </w:rPr>
              <w:t>(4)</w:t>
            </w:r>
          </w:p>
        </w:tc>
        <w:tc>
          <w:tcPr>
            <w:tcW w:w="1820" w:type="dxa"/>
            <w:vAlign w:val="bottom"/>
          </w:tcPr>
          <w:p>
            <w:pPr>
              <w:jc w:val="center"/>
              <w:ind w:left="9"/>
              <w:spacing w:after="0" w:line="203" w:lineRule="exact"/>
              <w:rPr>
                <w:sz w:val="20"/>
                <w:szCs w:val="20"/>
                <w:color w:val="auto"/>
              </w:rPr>
            </w:pPr>
            <w:r>
              <w:rPr>
                <w:rFonts w:ascii="Calibri" w:cs="Calibri" w:eastAsia="Calibri" w:hAnsi="Calibri"/>
                <w:sz w:val="17"/>
                <w:szCs w:val="17"/>
                <w:color w:val="333333"/>
              </w:rPr>
              <w:t>1,816</w:t>
            </w:r>
          </w:p>
        </w:tc>
        <w:tc>
          <w:tcPr>
            <w:tcW w:w="184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240"/>
        </w:trPr>
        <w:tc>
          <w:tcPr>
            <w:tcW w:w="2900" w:type="dxa"/>
            <w:vAlign w:val="bottom"/>
          </w:tcPr>
          <w:p>
            <w:pPr>
              <w:ind w:left="100"/>
              <w:spacing w:after="0"/>
              <w:rPr>
                <w:sz w:val="20"/>
                <w:szCs w:val="20"/>
                <w:color w:val="auto"/>
              </w:rPr>
            </w:pPr>
            <w:r>
              <w:rPr>
                <w:rFonts w:ascii="Calibri" w:cs="Calibri" w:eastAsia="Calibri" w:hAnsi="Calibri"/>
                <w:sz w:val="17"/>
                <w:szCs w:val="17"/>
                <w:b w:val="1"/>
                <w:bCs w:val="1"/>
                <w:color w:val="0591DB"/>
              </w:rPr>
              <w:t xml:space="preserve">Brenda J. Bacon </w:t>
            </w:r>
            <w:r>
              <w:rPr>
                <w:rFonts w:ascii="Calibri" w:cs="Calibri" w:eastAsia="Calibri" w:hAnsi="Calibri"/>
                <w:sz w:val="12"/>
                <w:szCs w:val="12"/>
                <w:b w:val="1"/>
                <w:bCs w:val="1"/>
                <w:color w:val="0591DB"/>
              </w:rPr>
              <w:t>(5)</w:t>
            </w:r>
          </w:p>
        </w:tc>
        <w:tc>
          <w:tcPr>
            <w:tcW w:w="1820" w:type="dxa"/>
            <w:vAlign w:val="bottom"/>
          </w:tcPr>
          <w:p>
            <w:pPr>
              <w:jc w:val="center"/>
              <w:ind w:left="9"/>
              <w:spacing w:after="0"/>
              <w:rPr>
                <w:sz w:val="20"/>
                <w:szCs w:val="20"/>
                <w:color w:val="auto"/>
              </w:rPr>
            </w:pPr>
            <w:r>
              <w:rPr>
                <w:rFonts w:ascii="Calibri" w:cs="Calibri" w:eastAsia="Calibri" w:hAnsi="Calibri"/>
                <w:sz w:val="17"/>
                <w:szCs w:val="17"/>
                <w:color w:val="333333"/>
              </w:rPr>
              <w:t>—</w:t>
            </w:r>
          </w:p>
        </w:tc>
        <w:tc>
          <w:tcPr>
            <w:tcW w:w="1840" w:type="dxa"/>
            <w:vAlign w:val="bottom"/>
          </w:tcPr>
          <w:p>
            <w:pPr>
              <w:jc w:val="center"/>
              <w:ind w:left="29"/>
              <w:spacing w:after="0"/>
              <w:rPr>
                <w:sz w:val="20"/>
                <w:szCs w:val="20"/>
                <w:color w:val="auto"/>
              </w:rPr>
            </w:pPr>
            <w:r>
              <w:rPr>
                <w:rFonts w:ascii="Calibri" w:cs="Calibri" w:eastAsia="Calibri" w:hAnsi="Calibri"/>
                <w:sz w:val="17"/>
                <w:szCs w:val="17"/>
                <w:color w:val="333333"/>
              </w:rPr>
              <w:t>—</w:t>
            </w:r>
          </w:p>
        </w:tc>
        <w:tc>
          <w:tcPr>
            <w:tcW w:w="1820" w:type="dxa"/>
            <w:vAlign w:val="bottom"/>
          </w:tcPr>
          <w:p>
            <w:pPr>
              <w:jc w:val="center"/>
              <w:ind w:left="29"/>
              <w:spacing w:after="0"/>
              <w:rPr>
                <w:sz w:val="20"/>
                <w:szCs w:val="20"/>
                <w:color w:val="auto"/>
              </w:rPr>
            </w:pPr>
            <w:r>
              <w:rPr>
                <w:rFonts w:ascii="Calibri" w:cs="Calibri" w:eastAsia="Calibri" w:hAnsi="Calibri"/>
                <w:sz w:val="17"/>
                <w:szCs w:val="17"/>
                <w:color w:val="333333"/>
                <w:w w:val="90"/>
              </w:rPr>
              <w:t>—</w:t>
            </w:r>
          </w:p>
        </w:tc>
        <w:tc>
          <w:tcPr>
            <w:tcW w:w="2100" w:type="dxa"/>
            <w:vAlign w:val="bottom"/>
          </w:tcPr>
          <w:p>
            <w:pPr>
              <w:ind w:left="1120"/>
              <w:spacing w:after="0"/>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20"/>
                <w:szCs w:val="20"/>
                <w:color w:val="auto"/>
              </w:rPr>
            </w:pPr>
          </w:p>
        </w:tc>
      </w:tr>
      <w:tr>
        <w:trPr>
          <w:trHeight w:val="92"/>
        </w:trPr>
        <w:tc>
          <w:tcPr>
            <w:tcW w:w="29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290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Gerard E. Holthaus </w:t>
            </w:r>
            <w:r>
              <w:rPr>
                <w:rFonts w:ascii="Calibri" w:cs="Calibri" w:eastAsia="Calibri" w:hAnsi="Calibri"/>
                <w:sz w:val="12"/>
                <w:szCs w:val="12"/>
                <w:b w:val="1"/>
                <w:bCs w:val="1"/>
                <w:color w:val="0591DB"/>
              </w:rPr>
              <w:t>(6)</w:t>
            </w:r>
          </w:p>
        </w:tc>
        <w:tc>
          <w:tcPr>
            <w:tcW w:w="1820" w:type="dxa"/>
            <w:vAlign w:val="bottom"/>
            <w:tcBorders>
              <w:right w:val="single" w:sz="8" w:color="EFF2EF"/>
            </w:tcBorders>
            <w:shd w:val="clear" w:color="auto" w:fill="EFF2EF"/>
          </w:tcPr>
          <w:p>
            <w:pPr>
              <w:jc w:val="center"/>
              <w:ind w:left="9"/>
              <w:spacing w:after="0" w:line="203" w:lineRule="exact"/>
              <w:rPr>
                <w:sz w:val="20"/>
                <w:szCs w:val="20"/>
                <w:color w:val="auto"/>
              </w:rPr>
            </w:pPr>
            <w:r>
              <w:rPr>
                <w:rFonts w:ascii="Calibri" w:cs="Calibri" w:eastAsia="Calibri" w:hAnsi="Calibri"/>
                <w:sz w:val="17"/>
                <w:szCs w:val="17"/>
                <w:color w:val="333333"/>
              </w:rPr>
              <w:t>—</w:t>
            </w:r>
          </w:p>
        </w:tc>
        <w:tc>
          <w:tcPr>
            <w:tcW w:w="184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rPr>
              <w:t>—</w:t>
            </w:r>
          </w:p>
        </w:tc>
        <w:tc>
          <w:tcPr>
            <w:tcW w:w="1820" w:type="dxa"/>
            <w:vAlign w:val="bottom"/>
            <w:tcBorders>
              <w:right w:val="single" w:sz="8" w:color="EFF2EF"/>
            </w:tcBorders>
            <w:shd w:val="clear" w:color="auto" w:fill="EFF2EF"/>
          </w:tcPr>
          <w:p>
            <w:pPr>
              <w:jc w:val="center"/>
              <w:ind w:left="29"/>
              <w:spacing w:after="0" w:line="203" w:lineRule="exact"/>
              <w:rPr>
                <w:sz w:val="20"/>
                <w:szCs w:val="20"/>
                <w:color w:val="auto"/>
              </w:rPr>
            </w:pPr>
            <w:r>
              <w:rPr>
                <w:rFonts w:ascii="Calibri" w:cs="Calibri" w:eastAsia="Calibri" w:hAnsi="Calibri"/>
                <w:sz w:val="17"/>
                <w:szCs w:val="17"/>
                <w:color w:val="333333"/>
                <w:w w:val="90"/>
              </w:rPr>
              <w:t>—</w:t>
            </w:r>
          </w:p>
        </w:tc>
        <w:tc>
          <w:tcPr>
            <w:tcW w:w="2100" w:type="dxa"/>
            <w:vAlign w:val="bottom"/>
            <w:shd w:val="clear" w:color="auto" w:fill="EFF2EF"/>
          </w:tcPr>
          <w:p>
            <w:pPr>
              <w:ind w:left="1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r>
      <w:tr>
        <w:trPr>
          <w:trHeight w:val="64"/>
        </w:trPr>
        <w:tc>
          <w:tcPr>
            <w:tcW w:w="2900" w:type="dxa"/>
            <w:vAlign w:val="bottom"/>
            <w:tcBorders>
              <w:left w:val="single" w:sz="8" w:color="EFF2EF"/>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1840" w:type="dxa"/>
            <w:vAlign w:val="bottom"/>
            <w:tcBorders>
              <w:right w:val="single" w:sz="8" w:color="EFF2EF"/>
            </w:tcBorders>
            <w:shd w:val="clear" w:color="auto" w:fill="EFF2EF"/>
          </w:tcPr>
          <w:p>
            <w:pPr>
              <w:spacing w:after="0"/>
              <w:rPr>
                <w:sz w:val="5"/>
                <w:szCs w:val="5"/>
                <w:color w:val="auto"/>
              </w:rPr>
            </w:pPr>
          </w:p>
        </w:tc>
        <w:tc>
          <w:tcPr>
            <w:tcW w:w="1820" w:type="dxa"/>
            <w:vAlign w:val="bottom"/>
            <w:tcBorders>
              <w:right w:val="single" w:sz="8" w:color="EFF2EF"/>
            </w:tcBorders>
            <w:shd w:val="clear" w:color="auto" w:fill="EFF2EF"/>
          </w:tcPr>
          <w:p>
            <w:pPr>
              <w:spacing w:after="0"/>
              <w:rPr>
                <w:sz w:val="5"/>
                <w:szCs w:val="5"/>
                <w:color w:val="auto"/>
              </w:rPr>
            </w:pPr>
          </w:p>
        </w:tc>
        <w:tc>
          <w:tcPr>
            <w:tcW w:w="210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bl>
    <w:p>
      <w:pPr>
        <w:ind w:left="600" w:hanging="433"/>
        <w:spacing w:after="0" w:line="189" w:lineRule="auto"/>
        <w:tabs>
          <w:tab w:leader="none" w:pos="600" w:val="left"/>
        </w:tabs>
        <w:numPr>
          <w:ilvl w:val="0"/>
          <w:numId w:val="52"/>
        </w:numPr>
        <w:rPr>
          <w:rFonts w:ascii="Calibri" w:cs="Calibri" w:eastAsia="Calibri" w:hAnsi="Calibri"/>
          <w:sz w:val="16"/>
          <w:szCs w:val="16"/>
          <w:color w:val="333333"/>
          <w:vertAlign w:val="superscript"/>
        </w:rPr>
      </w:pPr>
      <w:r>
        <w:rPr>
          <w:rFonts w:ascii="Calibri" w:cs="Calibri" w:eastAsia="Calibri" w:hAnsi="Calibri"/>
          <w:sz w:val="11"/>
          <w:szCs w:val="11"/>
          <w:color w:val="333333"/>
        </w:rPr>
        <w:t>No current director received perquisites or other benefts aggregatng more than $10,000 in 2025.</w:t>
      </w:r>
    </w:p>
    <w:p>
      <w:pPr>
        <w:spacing w:after="0" w:line="125" w:lineRule="exact"/>
        <w:rPr>
          <w:rFonts w:ascii="Calibri" w:cs="Calibri" w:eastAsia="Calibri" w:hAnsi="Calibri"/>
          <w:sz w:val="16"/>
          <w:szCs w:val="16"/>
          <w:color w:val="333333"/>
          <w:vertAlign w:val="superscript"/>
        </w:rPr>
      </w:pPr>
    </w:p>
    <w:p>
      <w:pPr>
        <w:ind w:left="600" w:right="320" w:hanging="433"/>
        <w:spacing w:after="0" w:line="192" w:lineRule="auto"/>
        <w:tabs>
          <w:tab w:leader="none" w:pos="600" w:val="left"/>
        </w:tabs>
        <w:numPr>
          <w:ilvl w:val="0"/>
          <w:numId w:val="52"/>
        </w:numPr>
        <w:rPr>
          <w:rFonts w:ascii="Calibri" w:cs="Calibri" w:eastAsia="Calibri" w:hAnsi="Calibri"/>
          <w:sz w:val="21"/>
          <w:szCs w:val="21"/>
          <w:color w:val="333333"/>
          <w:vertAlign w:val="superscript"/>
        </w:rPr>
      </w:pPr>
      <w:r>
        <w:rPr>
          <w:rFonts w:ascii="Calibri" w:cs="Calibri" w:eastAsia="Calibri" w:hAnsi="Calibri"/>
          <w:sz w:val="14"/>
          <w:szCs w:val="14"/>
          <w:color w:val="333333"/>
        </w:rPr>
        <w:t>Eric T. Steigerwalt’s compensaton includes the prorated annual cash retainer of $9,315 and restricted stock compensaton with a grant date fair value of $46,514.09 awarded on March 28, 2025 upon his frst electon to the Board.</w:t>
      </w:r>
    </w:p>
    <w:p>
      <w:pPr>
        <w:spacing w:after="0" w:line="126" w:lineRule="exact"/>
        <w:rPr>
          <w:rFonts w:ascii="Calibri" w:cs="Calibri" w:eastAsia="Calibri" w:hAnsi="Calibri"/>
          <w:sz w:val="21"/>
          <w:szCs w:val="21"/>
          <w:color w:val="333333"/>
          <w:vertAlign w:val="superscript"/>
        </w:rPr>
      </w:pPr>
    </w:p>
    <w:p>
      <w:pPr>
        <w:ind w:left="600" w:right="420" w:hanging="433"/>
        <w:spacing w:after="0" w:line="192" w:lineRule="auto"/>
        <w:tabs>
          <w:tab w:leader="none" w:pos="600" w:val="left"/>
        </w:tabs>
        <w:numPr>
          <w:ilvl w:val="0"/>
          <w:numId w:val="52"/>
        </w:numPr>
        <w:rPr>
          <w:rFonts w:ascii="Calibri" w:cs="Calibri" w:eastAsia="Calibri" w:hAnsi="Calibri"/>
          <w:sz w:val="21"/>
          <w:szCs w:val="21"/>
          <w:color w:val="333333"/>
          <w:vertAlign w:val="superscript"/>
        </w:rPr>
      </w:pPr>
      <w:r>
        <w:rPr>
          <w:rFonts w:ascii="Calibri" w:cs="Calibri" w:eastAsia="Calibri" w:hAnsi="Calibri"/>
          <w:sz w:val="14"/>
          <w:szCs w:val="14"/>
          <w:color w:val="333333"/>
        </w:rPr>
        <w:t>Janet H. Zelenka’s compensaton includes the prorated annual cash retainer of $9,315 and restricted stock compensaton with a grant date fair value of $46,514.09 awarded on March 28, 2025 upon her frst electon to the Board.</w:t>
      </w:r>
    </w:p>
    <w:p>
      <w:pPr>
        <w:spacing w:after="0" w:line="38" w:lineRule="exact"/>
        <w:rPr>
          <w:rFonts w:ascii="Calibri" w:cs="Calibri" w:eastAsia="Calibri" w:hAnsi="Calibri"/>
          <w:sz w:val="21"/>
          <w:szCs w:val="21"/>
          <w:color w:val="333333"/>
          <w:vertAlign w:val="superscript"/>
        </w:rPr>
      </w:pPr>
    </w:p>
    <w:p>
      <w:pPr>
        <w:ind w:left="600" w:hanging="433"/>
        <w:spacing w:after="0"/>
        <w:tabs>
          <w:tab w:leader="none" w:pos="600" w:val="left"/>
        </w:tabs>
        <w:numPr>
          <w:ilvl w:val="0"/>
          <w:numId w:val="52"/>
        </w:numPr>
        <w:rPr>
          <w:rFonts w:ascii="Calibri" w:cs="Calibri" w:eastAsia="Calibri" w:hAnsi="Calibri"/>
          <w:sz w:val="21"/>
          <w:szCs w:val="21"/>
          <w:color w:val="333333"/>
          <w:vertAlign w:val="superscript"/>
        </w:rPr>
      </w:pPr>
      <w:r>
        <w:rPr>
          <w:rFonts w:ascii="Calibri" w:cs="Calibri" w:eastAsia="Calibri" w:hAnsi="Calibri"/>
          <w:sz w:val="14"/>
          <w:szCs w:val="14"/>
          <w:color w:val="333333"/>
        </w:rPr>
        <w:t>Brenda J. Bacon retred in accordance with the Company’s Corporate Governance Guidelines and did not stand for electon as a director at the 2025 Annual Meetng.</w:t>
      </w:r>
    </w:p>
    <w:p>
      <w:pPr>
        <w:spacing w:after="0" w:line="85" w:lineRule="exact"/>
        <w:rPr>
          <w:rFonts w:ascii="Calibri" w:cs="Calibri" w:eastAsia="Calibri" w:hAnsi="Calibri"/>
          <w:sz w:val="21"/>
          <w:szCs w:val="21"/>
          <w:color w:val="333333"/>
          <w:vertAlign w:val="superscript"/>
        </w:rPr>
      </w:pPr>
    </w:p>
    <w:p>
      <w:pPr>
        <w:ind w:left="600" w:hanging="433"/>
        <w:spacing w:after="0" w:line="195" w:lineRule="auto"/>
        <w:tabs>
          <w:tab w:leader="none" w:pos="600" w:val="left"/>
        </w:tabs>
        <w:numPr>
          <w:ilvl w:val="0"/>
          <w:numId w:val="52"/>
        </w:numPr>
        <w:rPr>
          <w:rFonts w:ascii="Calibri" w:cs="Calibri" w:eastAsia="Calibri" w:hAnsi="Calibri"/>
          <w:sz w:val="21"/>
          <w:szCs w:val="21"/>
          <w:color w:val="333333"/>
          <w:vertAlign w:val="superscript"/>
        </w:rPr>
      </w:pPr>
      <w:r>
        <w:rPr>
          <w:rFonts w:ascii="Calibri" w:cs="Calibri" w:eastAsia="Calibri" w:hAnsi="Calibri"/>
          <w:sz w:val="14"/>
          <w:szCs w:val="14"/>
          <w:color w:val="333333"/>
        </w:rPr>
        <w:t>Gerard E. Holthaus retred in accordance with the Company’s Corporate Governance Guidelines and did not stand for electon as a director at the 2025 Annual Meetng.</w:t>
      </w:r>
    </w:p>
    <w:p>
      <w:pPr>
        <w:spacing w:after="0" w:line="202"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Policy on Non-Employee Director Equity Ownership</w:t>
      </w:r>
    </w:p>
    <w:p>
      <w:pPr>
        <w:spacing w:after="0" w:line="212" w:lineRule="exact"/>
        <w:rPr>
          <w:sz w:val="20"/>
          <w:szCs w:val="20"/>
          <w:color w:val="auto"/>
        </w:rPr>
      </w:pPr>
    </w:p>
    <w:p>
      <w:pPr>
        <w:jc w:val="both"/>
        <w:ind w:left="160" w:right="180"/>
        <w:spacing w:after="0" w:line="232" w:lineRule="auto"/>
        <w:rPr>
          <w:sz w:val="20"/>
          <w:szCs w:val="20"/>
          <w:color w:val="auto"/>
        </w:rPr>
      </w:pPr>
      <w:r>
        <w:rPr>
          <w:rFonts w:ascii="Calibri" w:cs="Calibri" w:eastAsia="Calibri" w:hAnsi="Calibri"/>
          <w:sz w:val="17"/>
          <w:szCs w:val="17"/>
          <w:color w:val="333333"/>
        </w:rPr>
        <w:t>Our Policy on Non-Employee Director Equity Ownership demonstrates our Board’s contnuing commitment to shareholder interests. The policy sets each non-employee director’s total investment level at fve tmes (5.0x) the value of the annual retainer. A non-employee director will be required to meet the ownership level in efect when he or she frst joins the Board within three years following receipt of his or her frst director compensaton payment.</w:t>
      </w:r>
    </w:p>
    <w:p>
      <w:pPr>
        <w:spacing w:after="0" w:line="2"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Non-employee directors have three years to meet any increased ownership level during their tenure. In additon, under the policy, a non-employee director may not sell, transfer or dispose of shares of Common Stock if he or she does not atain or maintain the applicable equity ownership investment level at the inital ownership measurement date, or at June 30 of each year thereafer, except as necessary to pay or repay the cost of exercising a stock opton or any tax obligatons associated with the exercise of a stock opton or vestng of stock-based awards, or as otherwise approved by the Compensaton Commitee, in its sole discreton.</w:t>
      </w:r>
    </w:p>
    <w:p>
      <w:pPr>
        <w:spacing w:after="0" w:line="212" w:lineRule="exact"/>
        <w:rPr>
          <w:sz w:val="20"/>
          <w:szCs w:val="20"/>
          <w:color w:val="auto"/>
        </w:rPr>
      </w:pPr>
    </w:p>
    <w:p>
      <w:pPr>
        <w:jc w:val="both"/>
        <w:ind w:left="160" w:right="820"/>
        <w:spacing w:after="0" w:line="232" w:lineRule="auto"/>
        <w:rPr>
          <w:sz w:val="20"/>
          <w:szCs w:val="20"/>
          <w:color w:val="auto"/>
        </w:rPr>
      </w:pPr>
      <w:r>
        <w:rPr>
          <w:rFonts w:ascii="Calibri" w:cs="Calibri" w:eastAsia="Calibri" w:hAnsi="Calibri"/>
          <w:sz w:val="17"/>
          <w:szCs w:val="17"/>
          <w:color w:val="333333"/>
        </w:rPr>
        <w:t>Shares of Common Stock that are, directly or indirectly, (i) benefcially owned by a non-employee director or (ii) held in a trust over which such non-employee director has more than 50% of the benefcial interest and controls the management of the assets will count toward ataining and maintaining the applicable equity ownership level. Also,</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30</w:t>
      </w:r>
    </w:p>
    <w:p>
      <w:pPr>
        <w:sectPr>
          <w:pgSz w:w="11900" w:h="16838" w:orient="portrait"/>
          <w:cols w:equalWidth="0" w:num="1">
            <w:col w:w="11100"/>
          </w:cols>
          <w:pgMar w:left="320" w:top="478"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restricted stock, restricted stock units, deferred stock units and deferred restricted stock units, whether or not vested, will count toward ataining and maintaining the non-employee director’s applicable equity ownership level. Stock optons, whether or not vested, will not count toward meetng the equity ownership requirement. The securites counted toward ataining and maintaining each non-employee director’s ownership level will be valued at the average of the closing price per share of Common Stock reported on the NYSE for each trading day in the 90-calendar-day period immediately preceding the applicable measurement date. All non-employee directors in ofce as of December 31, 2025 were in compliance with our Policy on Non-Employee Director Equity Ownership as of that date.</w:t>
      </w:r>
    </w:p>
    <w:p>
      <w:pPr>
        <w:spacing w:after="0" w:line="143" w:lineRule="exact"/>
        <w:rPr>
          <w:sz w:val="20"/>
          <w:szCs w:val="20"/>
          <w:color w:val="auto"/>
        </w:rPr>
      </w:pPr>
    </w:p>
    <w:p>
      <w:pPr>
        <w:jc w:val="center"/>
        <w:ind w:right="-399"/>
        <w:spacing w:after="0"/>
        <w:rPr>
          <w:sz w:val="20"/>
          <w:szCs w:val="20"/>
          <w:color w:val="auto"/>
        </w:rPr>
      </w:pPr>
      <w:r>
        <w:rPr>
          <w:rFonts w:ascii="Calibri" w:cs="Calibri" w:eastAsia="Calibri" w:hAnsi="Calibri"/>
          <w:sz w:val="17"/>
          <w:szCs w:val="17"/>
          <w:color w:val="333333"/>
        </w:rPr>
        <w:t>31</w:t>
      </w:r>
    </w:p>
    <w:p>
      <w:pPr>
        <w:sectPr>
          <w:pgSz w:w="11900" w:h="16838" w:orient="portrait"/>
          <w:cols w:equalWidth="0" w:num="1">
            <w:col w:w="10860"/>
          </w:cols>
          <w:pgMar w:left="320" w:top="478" w:right="7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CORPORATE GOVERNANCE</w:t>
      </w:r>
    </w:p>
    <w:p>
      <w:pPr>
        <w:spacing w:after="0" w:line="21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GOVERNANCE PRINCIPLES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 xml:space="preserve">The following governance policies are available in the Governance secton of the Company’s website at </w:t>
      </w:r>
      <w:r>
        <w:rPr>
          <w:rFonts w:ascii="Calibri" w:cs="Calibri" w:eastAsia="Calibri" w:hAnsi="Calibri"/>
          <w:sz w:val="17"/>
          <w:szCs w:val="17"/>
          <w:color w:val="0591DB"/>
        </w:rPr>
        <w:t>htps://www.ficonsultng.com/about/governance:</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Categorical Standards of Director Independence</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Corporate Governance Guidelines</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Code of Ethics and Business Conduct</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Ant-Corrupton Policy</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Whistleblower Policy</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Policy on Disclosure Controls</w:t>
      </w:r>
    </w:p>
    <w:p>
      <w:pPr>
        <w:ind w:left="1020" w:hanging="318"/>
        <w:spacing w:after="0" w:line="232" w:lineRule="auto"/>
        <w:tabs>
          <w:tab w:leader="none" w:pos="1020" w:val="left"/>
        </w:tabs>
        <w:numPr>
          <w:ilvl w:val="0"/>
          <w:numId w:val="53"/>
        </w:numPr>
        <w:rPr>
          <w:rFonts w:ascii="Calibri" w:cs="Calibri" w:eastAsia="Calibri" w:hAnsi="Calibri"/>
          <w:sz w:val="17"/>
          <w:szCs w:val="17"/>
          <w:color w:val="333333"/>
        </w:rPr>
      </w:pPr>
      <w:r>
        <w:rPr>
          <w:rFonts w:ascii="Calibri" w:cs="Calibri" w:eastAsia="Calibri" w:hAnsi="Calibri"/>
          <w:sz w:val="17"/>
          <w:szCs w:val="17"/>
          <w:color w:val="333333"/>
        </w:rPr>
        <w:t>Policy on Inside Informaton and Insider Trading</w:t>
      </w:r>
    </w:p>
    <w:p>
      <w:pPr>
        <w:spacing w:after="0" w:line="212"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The NCGSR Commitee regularly reviews corporate governance developments and recommends modifcatons or new policies for adopton by the Board and the Commitees, as appropriate, to enhance our corporate governance policies and practces and to comply with the laws and rules of the SEC, the NYSE and other regulators.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OUR SIGNIFICANT CORPORATE GOVERNANCE POLICIES AND PRACTICES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Board is commited to maintaining strong corporate governance practces, which include:</w:t>
      </w:r>
    </w:p>
    <w:p>
      <w:pPr>
        <w:spacing w:after="0" w:line="118" w:lineRule="exact"/>
        <w:rPr>
          <w:sz w:val="20"/>
          <w:szCs w:val="20"/>
          <w:color w:val="auto"/>
        </w:rPr>
      </w:pPr>
    </w:p>
    <w:p>
      <w:pPr>
        <w:ind w:left="1020" w:right="100" w:hanging="318"/>
        <w:spacing w:after="0" w:line="233" w:lineRule="auto"/>
        <w:tabs>
          <w:tab w:leader="none" w:pos="1020" w:val="left"/>
        </w:tabs>
        <w:numPr>
          <w:ilvl w:val="0"/>
          <w:numId w:val="54"/>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Annual Director Electons. </w:t>
      </w:r>
      <w:r>
        <w:rPr>
          <w:rFonts w:ascii="Calibri" w:cs="Calibri" w:eastAsia="Calibri" w:hAnsi="Calibri"/>
          <w:sz w:val="17"/>
          <w:szCs w:val="17"/>
          <w:color w:val="333333"/>
        </w:rPr>
        <w:t>Shareholders elect our directors annually to hold ofce untl the next annual meetng of shareholders and untl his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or her successor is duly elected and qualifes or untl his or her death, resignaton, retrement or removal (whichever occurs earliest).</w:t>
      </w:r>
    </w:p>
    <w:p>
      <w:pPr>
        <w:spacing w:after="0" w:line="118"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54"/>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Empowered Lead Independent Director. </w:t>
      </w:r>
      <w:r>
        <w:rPr>
          <w:rFonts w:ascii="Calibri" w:cs="Calibri" w:eastAsia="Calibri" w:hAnsi="Calibri"/>
          <w:sz w:val="17"/>
          <w:szCs w:val="17"/>
          <w:color w:val="333333"/>
        </w:rPr>
        <w:t>Claudio Costamagna has served as our Lead Independent Director since June 2025. More informaton</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 xml:space="preserve">about our Board Leadership Structure may be found in the secton ttled “— Board Leadership Structure” on </w:t>
      </w:r>
      <w:r>
        <w:rPr>
          <w:rFonts w:ascii="Calibri" w:cs="Calibri" w:eastAsia="Calibri" w:hAnsi="Calibri"/>
          <w:sz w:val="17"/>
          <w:szCs w:val="17"/>
          <w:color w:val="0591DB"/>
        </w:rPr>
        <w:t>page 33</w:t>
      </w:r>
      <w:r>
        <w:rPr>
          <w:rFonts w:ascii="Calibri" w:cs="Calibri" w:eastAsia="Calibri" w:hAnsi="Calibri"/>
          <w:sz w:val="17"/>
          <w:szCs w:val="17"/>
          <w:color w:val="333333"/>
        </w:rPr>
        <w:t xml:space="preserve"> of this Proxy Statement.</w:t>
      </w:r>
    </w:p>
    <w:p>
      <w:pPr>
        <w:spacing w:after="0" w:line="118" w:lineRule="exact"/>
        <w:rPr>
          <w:rFonts w:ascii="MS PGothic" w:cs="MS PGothic" w:eastAsia="MS PGothic" w:hAnsi="MS PGothic"/>
          <w:sz w:val="17"/>
          <w:szCs w:val="17"/>
          <w:color w:val="0591DB"/>
        </w:rPr>
      </w:pPr>
    </w:p>
    <w:p>
      <w:pPr>
        <w:ind w:left="1020" w:right="140" w:hanging="318"/>
        <w:spacing w:after="0" w:line="232" w:lineRule="auto"/>
        <w:tabs>
          <w:tab w:leader="none" w:pos="1020" w:val="left"/>
        </w:tabs>
        <w:numPr>
          <w:ilvl w:val="0"/>
          <w:numId w:val="54"/>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Majority Votng in Uncontested Director Electons. </w:t>
      </w:r>
      <w:r>
        <w:rPr>
          <w:rFonts w:ascii="Calibri" w:cs="Calibri" w:eastAsia="Calibri" w:hAnsi="Calibri"/>
          <w:sz w:val="17"/>
          <w:szCs w:val="17"/>
          <w:color w:val="333333"/>
        </w:rPr>
        <w:t>A nominee in an uncontested electon shall be elected as a director only if such nominee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receives the afrmatve vote of a majority of the total votes cast “FOR” and “AGAINST” as to such nominee at a meetng. Any abstentons or broker non-votes are not counted as votes cast either “FOR” or “AGAINST” with respect to a director’s electon and will have no efect on the electon of directors.</w:t>
      </w:r>
    </w:p>
    <w:p>
      <w:pPr>
        <w:spacing w:after="0" w:line="120"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54"/>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Director Resignaton. </w:t>
      </w:r>
      <w:r>
        <w:rPr>
          <w:rFonts w:ascii="Calibri" w:cs="Calibri" w:eastAsia="Calibri" w:hAnsi="Calibri"/>
          <w:sz w:val="17"/>
          <w:szCs w:val="17"/>
          <w:color w:val="333333"/>
        </w:rPr>
        <w:t>Our Corporate Governance Guidelines provide that in an uncontested electon, if an incumbent director fails to receive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the required majority vote, he or she is expected to ofer to resign from the Board. The NCGSR Commitee will (a) consider such ofer to resign,</w:t>
      </w:r>
    </w:p>
    <w:p>
      <w:pPr>
        <w:ind w:left="1020"/>
        <w:spacing w:after="0"/>
        <w:rPr>
          <w:rFonts w:ascii="MS PGothic" w:cs="MS PGothic" w:eastAsia="MS PGothic" w:hAnsi="MS PGothic"/>
          <w:sz w:val="17"/>
          <w:szCs w:val="17"/>
          <w:color w:val="0591DB"/>
        </w:rPr>
      </w:pPr>
      <w:r>
        <w:rPr>
          <w:rFonts w:ascii="Calibri" w:cs="Calibri" w:eastAsia="Calibri" w:hAnsi="Calibri"/>
          <w:sz w:val="17"/>
          <w:szCs w:val="17"/>
          <w:color w:val="333333"/>
        </w:rPr>
        <w:t>(b) determine whether to accept such director’s resignaton and (c) submit such recommendaton for consideraton by the Board. The director whose ofer to resign is under consideraton shall not partcipate in any deliberaton or vote of the NCGSR Commitee or the Board regarding his or her ofer of resignaton. In the event that all directors ofer to resign in accordance with our resignaton policy, the NCGSR Commitee will make a fnal determinaton as to whether to recommend to the Board to accept all ofers to resign, including those ofers made by members of the NCGSR Commitee. The NCGSR Commitee and the Board may consider any factors they deem relevant in deciding whether to accept a director’s ofer to resign. Within 90 days afer the date of certfcaton of the electon results, the Board will publicly disclose the Board’s decision of whether or not to</w:t>
      </w:r>
    </w:p>
    <w:p>
      <w:pPr>
        <w:spacing w:after="0" w:line="299"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32</w:t>
      </w:r>
    </w:p>
    <w:p>
      <w:pPr>
        <w:sectPr>
          <w:pgSz w:w="11900" w:h="16838" w:orient="portrait"/>
          <w:cols w:equalWidth="0" w:num="1">
            <w:col w:w="11060"/>
          </w:cols>
          <w:pgMar w:left="320" w:top="478"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040" w:right="60"/>
        <w:spacing w:after="0" w:line="232" w:lineRule="auto"/>
        <w:rPr>
          <w:sz w:val="20"/>
          <w:szCs w:val="20"/>
          <w:color w:val="auto"/>
        </w:rPr>
      </w:pPr>
      <w:r>
        <w:rPr>
          <w:rFonts w:ascii="Calibri" w:cs="Calibri" w:eastAsia="Calibri" w:hAnsi="Calibri"/>
          <w:sz w:val="17"/>
          <w:szCs w:val="17"/>
          <w:color w:val="333333"/>
        </w:rPr>
        <w:t>accept an ofer of resignaton. If such incumbent director’s ofer to resign is not accepted by the Board, such director will contnue to serve untl his or her successor is duly elected and qualifes or untl his or her death, resignaton, retrement or removal (whichever occurs earliest). If a director’s ofer to resign is accepted by the Board, then the Board, in its sole discreton, may fll any resultng vacancy pursuant to the Company’s Bylaws or reduce the size of the Board.</w:t>
      </w:r>
    </w:p>
    <w:p>
      <w:pPr>
        <w:spacing w:after="0" w:line="120" w:lineRule="exact"/>
        <w:rPr>
          <w:sz w:val="20"/>
          <w:szCs w:val="20"/>
          <w:color w:val="auto"/>
        </w:rPr>
      </w:pPr>
    </w:p>
    <w:p>
      <w:pPr>
        <w:ind w:left="1020" w:right="400" w:hanging="318"/>
        <w:spacing w:after="0" w:line="233" w:lineRule="auto"/>
        <w:tabs>
          <w:tab w:leader="none" w:pos="1020" w:val="left"/>
        </w:tabs>
        <w:numPr>
          <w:ilvl w:val="0"/>
          <w:numId w:val="5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Executve Sessions. </w:t>
      </w:r>
      <w:r>
        <w:rPr>
          <w:rFonts w:ascii="Calibri" w:cs="Calibri" w:eastAsia="Calibri" w:hAnsi="Calibri"/>
          <w:sz w:val="17"/>
          <w:szCs w:val="17"/>
          <w:color w:val="333333"/>
        </w:rPr>
        <w:t>Our Board meets regularly in executve sessions, without the presence of our CEO and other management. The Lead</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Independent Director presides at executve sessions.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5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Shareholder Rights Plan. </w:t>
      </w:r>
      <w:r>
        <w:rPr>
          <w:rFonts w:ascii="Calibri" w:cs="Calibri" w:eastAsia="Calibri" w:hAnsi="Calibri"/>
          <w:sz w:val="17"/>
          <w:szCs w:val="17"/>
          <w:color w:val="333333"/>
        </w:rPr>
        <w:t>We do not have a shareholder rights plan and are not currently considering adoptng one.</w:t>
      </w:r>
    </w:p>
    <w:p>
      <w:pPr>
        <w:spacing w:after="0" w:line="131" w:lineRule="exact"/>
        <w:rPr>
          <w:rFonts w:ascii="MS PGothic" w:cs="MS PGothic" w:eastAsia="MS PGothic" w:hAnsi="MS PGothic"/>
          <w:sz w:val="17"/>
          <w:szCs w:val="17"/>
          <w:color w:val="0591DB"/>
        </w:rPr>
      </w:pPr>
    </w:p>
    <w:p>
      <w:pPr>
        <w:ind w:left="1020" w:right="120" w:hanging="318"/>
        <w:spacing w:after="0" w:line="233" w:lineRule="auto"/>
        <w:tabs>
          <w:tab w:leader="none" w:pos="1020" w:val="left"/>
        </w:tabs>
        <w:numPr>
          <w:ilvl w:val="0"/>
          <w:numId w:val="5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Shareholder Power to Amend Bylaws. </w:t>
      </w:r>
      <w:r>
        <w:rPr>
          <w:rFonts w:ascii="Calibri" w:cs="Calibri" w:eastAsia="Calibri" w:hAnsi="Calibri"/>
          <w:sz w:val="17"/>
          <w:szCs w:val="17"/>
          <w:color w:val="333333"/>
        </w:rPr>
        <w:t>Our shareholders, by the afrmatve vote of the holders of a majority of the shares of Common Stock</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enttled to vote, have the power to adopt, alter or repeal any Bylaw of the Company.</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BOARD LEADERSHIP STRUCTURE</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Gerard E. Holthaus served as our former independent Chairman of the Board from December 2013 untl his retrement from our Board at the 2025 Annual Meetng. In antcipaton of Mr. Holthaus’ retrement, in 2025 the Board determined that it was in the Company’s best interests to appoint Mr. Gunby, its CEO and a member of its Board, as Chairman of the Board and to appoint Claudio Costamagna as Lead Independent Director, both of which appointments became efectve upon their respectve re-electon as directors at the 2025 Annual Meetng.</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Board Refreshment</w:t>
      </w:r>
    </w:p>
    <w:p>
      <w:pPr>
        <w:spacing w:after="0" w:line="212" w:lineRule="exact"/>
        <w:rPr>
          <w:sz w:val="20"/>
          <w:szCs w:val="20"/>
          <w:color w:val="auto"/>
        </w:rPr>
      </w:pPr>
    </w:p>
    <w:p>
      <w:pPr>
        <w:jc w:val="both"/>
        <w:ind w:left="160"/>
        <w:spacing w:after="0" w:line="232" w:lineRule="auto"/>
        <w:rPr>
          <w:sz w:val="20"/>
          <w:szCs w:val="20"/>
          <w:color w:val="auto"/>
        </w:rPr>
      </w:pPr>
      <w:r>
        <w:rPr>
          <w:rFonts w:ascii="Calibri" w:cs="Calibri" w:eastAsia="Calibri" w:hAnsi="Calibri"/>
          <w:sz w:val="17"/>
          <w:szCs w:val="17"/>
          <w:color w:val="333333"/>
        </w:rPr>
        <w:t>Our Board and the NCGSR Commitee maintain a robust refreshment and recruitment process in which the members focus on identfying, considering and evaluatng potental Board candidates in connecton with an ongoing review of Board needs. The Board also annually reviews and assesses its compositon through its self-evaluaton process.</w:t>
      </w:r>
    </w:p>
    <w:p>
      <w:pPr>
        <w:spacing w:after="0" w:line="214"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The NCGSR Commitee has spent considerable tme in recent years focusing on intentonal, long-term Board refreshment. To that end, the Board added three new directors, Elsy Boglioli in 2023, and Eric T. Steigerwalt and Janet H. Zelenka, in 2025 and it believes that those additons to the Board bring a broad range of skills, experience and perspectves that further contribute to an engaged and well-balanced Board.</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Combined Chairman and CEO Role Supports Our Strategic Agenda and Business Needs</w:t>
      </w:r>
    </w:p>
    <w:p>
      <w:pPr>
        <w:spacing w:after="0" w:line="212"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Our Corporate Governance Guidelines provide the Board with fexibility to choose the leadership structure that it deems most appropriate for the Company based upon our business needs, prospects, opportunites and strategic goals at the tme, including separatng or combining the roles of Chairman of the Board and CEO. In 2025, the Board determined that it was in the Company’s best interests to appoint Mr. Gunby, our CEO and a member of our Board of Directors, as Chairman of the Board, and to appoint Claudio Costamagna as Lead Independent Director, both of which appointments became efectve upon their respectve re-electon as directors at the 2025 Annual Meetng. In determining whether to separate or combine the roles of Chairman of the Board and CEO, the Board and the NCGSR Commitee considered a variety of factors, including each director’s individual experience and his or her experience serving as a director of other companies and determined the best opton for leadership of the Board based on its evaluaton of current circumstances and the needs of the Company at the tme.</w:t>
      </w:r>
    </w:p>
    <w:p>
      <w:pPr>
        <w:spacing w:after="0" w:line="143"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33</w:t>
      </w:r>
    </w:p>
    <w:p>
      <w:pPr>
        <w:sectPr>
          <w:pgSz w:w="11900" w:h="16838" w:orient="portrait"/>
          <w:cols w:equalWidth="0" w:num="1">
            <w:col w:w="11020"/>
          </w:cols>
          <w:pgMar w:left="320" w:top="478"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300"/>
        <w:spacing w:after="0" w:line="232" w:lineRule="auto"/>
        <w:rPr>
          <w:sz w:val="20"/>
          <w:szCs w:val="20"/>
          <w:color w:val="auto"/>
        </w:rPr>
      </w:pPr>
      <w:r>
        <w:rPr>
          <w:rFonts w:ascii="Calibri" w:cs="Calibri" w:eastAsia="Calibri" w:hAnsi="Calibri"/>
          <w:sz w:val="17"/>
          <w:szCs w:val="17"/>
          <w:color w:val="333333"/>
        </w:rPr>
        <w:t>Based on Mr. Gunby’s strong track record of multyear growth, signifcant knowledge of the Company and strong leadership qualites, the Board has concluded that combining the roles of Chairman and CEO, along with the presence of a strong Lead Independent Director, is in the best interests of the Company and its shareholders at this tme to promote the pursuit of the Company’s business objectves and strategic growth plans and to facilitate the CEO succession planning process.</w:t>
      </w:r>
    </w:p>
    <w:p>
      <w:pPr>
        <w:spacing w:after="0" w:line="214"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Our NCGSR Commitee oversees the process relatng to succession planning for our CEO and other executve ofcer positons. In December 2025, the Company and Mr. Gunby agreed to extend Mr. Gunby’s employment agreement through June 6, 2029. During this extended term, a key goal of the NCGSR Commitee, the Board and Mr. Gunby is to identfy a successor for the CEO role and to have Mr. Gunby mentor that successor as he or she assumes the role of CEO. The Board believes that Mr. Gunby is in the best positon to mentor his CEO successor if he serves as Chairman of the Board so that the NCGSR Commitee and Board can determine the best tme for the Company to transiton the CEO role to Mr. Gunby’s successor, while retaining Mr. Gunby’s expertse and leadership as Executve Chairman of the Board for at least the length of the employment agreement. The Board contnues to believe that combining the roles of CEO and Chairman is appropriate at this tme to facilitate the CEO succession process.</w:t>
      </w:r>
    </w:p>
    <w:p>
      <w:pPr>
        <w:spacing w:after="0" w:line="214" w:lineRule="exact"/>
        <w:rPr>
          <w:sz w:val="20"/>
          <w:szCs w:val="20"/>
          <w:color w:val="auto"/>
        </w:rPr>
      </w:pPr>
    </w:p>
    <w:p>
      <w:pPr>
        <w:jc w:val="both"/>
        <w:ind w:left="160"/>
        <w:spacing w:after="0" w:line="232" w:lineRule="auto"/>
        <w:rPr>
          <w:sz w:val="20"/>
          <w:szCs w:val="20"/>
          <w:color w:val="auto"/>
        </w:rPr>
      </w:pPr>
      <w:r>
        <w:rPr>
          <w:rFonts w:ascii="Calibri" w:cs="Calibri" w:eastAsia="Calibri" w:hAnsi="Calibri"/>
          <w:sz w:val="17"/>
          <w:szCs w:val="17"/>
          <w:color w:val="333333"/>
        </w:rPr>
        <w:t>Beyond facilitatng the CEO succession process, the Board believes that Mr. Gunby’s professional services experience and track record of strong leadership and results during his tenure as CEO make him well-suited at this tme to serve in the combined Chairman and CEO role. The Board also believes combining the roles of Chairman of the Board and CEO with a strong Lead Independent Director meets the Company’s current needs and circumstances because it:</w:t>
      </w:r>
    </w:p>
    <w:p>
      <w:pPr>
        <w:spacing w:after="0" w:line="120" w:lineRule="exact"/>
        <w:rPr>
          <w:sz w:val="20"/>
          <w:szCs w:val="20"/>
          <w:color w:val="auto"/>
        </w:rPr>
      </w:pPr>
    </w:p>
    <w:p>
      <w:pPr>
        <w:jc w:val="both"/>
        <w:ind w:left="1020" w:right="200" w:hanging="318"/>
        <w:spacing w:after="0" w:line="232" w:lineRule="auto"/>
        <w:tabs>
          <w:tab w:leader="none" w:pos="1020" w:val="left"/>
        </w:tabs>
        <w:numPr>
          <w:ilvl w:val="0"/>
          <w:numId w:val="56"/>
        </w:numPr>
        <w:rPr>
          <w:rFonts w:ascii="Calibri" w:cs="Calibri" w:eastAsia="Calibri" w:hAnsi="Calibri"/>
          <w:sz w:val="17"/>
          <w:szCs w:val="17"/>
          <w:color w:val="333333"/>
        </w:rPr>
      </w:pPr>
      <w:r>
        <w:rPr>
          <w:rFonts w:ascii="Calibri" w:cs="Calibri" w:eastAsia="Calibri" w:hAnsi="Calibri"/>
          <w:sz w:val="17"/>
          <w:szCs w:val="17"/>
          <w:b w:val="1"/>
          <w:bCs w:val="1"/>
          <w:color w:val="333333"/>
        </w:rPr>
        <w:t>Enhances strategy development and oversight</w:t>
      </w:r>
      <w:r>
        <w:rPr>
          <w:rFonts w:ascii="Calibri" w:cs="Calibri" w:eastAsia="Calibri" w:hAnsi="Calibri"/>
          <w:sz w:val="17"/>
          <w:szCs w:val="17"/>
          <w:color w:val="333333"/>
        </w:rPr>
        <w:t>. Mr. Gunby’s familiarity with the Company’s business and his extensive professional services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industry experience make him most capable of identfying strategic consideratons and facilitatng Board discussions about the development and oversight of the Company’s business strategy, which is a key role of Board leadership.</w:t>
      </w:r>
    </w:p>
    <w:p>
      <w:pPr>
        <w:spacing w:after="0" w:line="120" w:lineRule="exact"/>
        <w:rPr>
          <w:rFonts w:ascii="Calibri" w:cs="Calibri" w:eastAsia="Calibri" w:hAnsi="Calibri"/>
          <w:sz w:val="17"/>
          <w:szCs w:val="17"/>
          <w:color w:val="333333"/>
        </w:rPr>
      </w:pPr>
    </w:p>
    <w:p>
      <w:pPr>
        <w:ind w:left="1020" w:right="40" w:hanging="318"/>
        <w:spacing w:after="0" w:line="232" w:lineRule="auto"/>
        <w:tabs>
          <w:tab w:leader="none" w:pos="1020" w:val="left"/>
        </w:tabs>
        <w:numPr>
          <w:ilvl w:val="0"/>
          <w:numId w:val="56"/>
        </w:numPr>
        <w:rPr>
          <w:rFonts w:ascii="Calibri" w:cs="Calibri" w:eastAsia="Calibri" w:hAnsi="Calibri"/>
          <w:sz w:val="17"/>
          <w:szCs w:val="17"/>
          <w:color w:val="333333"/>
        </w:rPr>
      </w:pPr>
      <w:r>
        <w:rPr>
          <w:rFonts w:ascii="Calibri" w:cs="Calibri" w:eastAsia="Calibri" w:hAnsi="Calibri"/>
          <w:sz w:val="17"/>
          <w:szCs w:val="17"/>
          <w:b w:val="1"/>
          <w:bCs w:val="1"/>
          <w:color w:val="333333"/>
        </w:rPr>
        <w:t xml:space="preserve">Preserves leadership by independent directors. </w:t>
      </w:r>
      <w:r>
        <w:rPr>
          <w:rFonts w:ascii="Calibri" w:cs="Calibri" w:eastAsia="Calibri" w:hAnsi="Calibri"/>
          <w:sz w:val="17"/>
          <w:szCs w:val="17"/>
          <w:color w:val="333333"/>
        </w:rPr>
        <w:t>The Lead Independent Director’s clearly defned role and responsibilites as detailed below,</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coupled with leadership of each Board commitee by an independent director, helps to confrm that the independent directors have the ability to devote Board atenton to maters that they deem appropriate.</w:t>
      </w:r>
    </w:p>
    <w:p>
      <w:pPr>
        <w:spacing w:after="0" w:line="120" w:lineRule="exact"/>
        <w:rPr>
          <w:rFonts w:ascii="Calibri" w:cs="Calibri" w:eastAsia="Calibri" w:hAnsi="Calibri"/>
          <w:sz w:val="17"/>
          <w:szCs w:val="17"/>
          <w:color w:val="333333"/>
        </w:rPr>
      </w:pPr>
    </w:p>
    <w:p>
      <w:pPr>
        <w:ind w:left="1020" w:right="220" w:hanging="318"/>
        <w:spacing w:after="0" w:line="232" w:lineRule="auto"/>
        <w:tabs>
          <w:tab w:leader="none" w:pos="1020" w:val="left"/>
        </w:tabs>
        <w:numPr>
          <w:ilvl w:val="0"/>
          <w:numId w:val="56"/>
        </w:numPr>
        <w:rPr>
          <w:rFonts w:ascii="Calibri" w:cs="Calibri" w:eastAsia="Calibri" w:hAnsi="Calibri"/>
          <w:sz w:val="17"/>
          <w:szCs w:val="17"/>
          <w:color w:val="333333"/>
        </w:rPr>
      </w:pPr>
      <w:r>
        <w:rPr>
          <w:rFonts w:ascii="Calibri" w:cs="Calibri" w:eastAsia="Calibri" w:hAnsi="Calibri"/>
          <w:sz w:val="17"/>
          <w:szCs w:val="17"/>
          <w:b w:val="1"/>
          <w:bCs w:val="1"/>
          <w:color w:val="333333"/>
        </w:rPr>
        <w:t>Promotes tmely communicatons and enhances Board efciency and efectveness</w:t>
      </w:r>
      <w:r>
        <w:rPr>
          <w:rFonts w:ascii="Calibri" w:cs="Calibri" w:eastAsia="Calibri" w:hAnsi="Calibri"/>
          <w:sz w:val="17"/>
          <w:szCs w:val="17"/>
          <w:color w:val="333333"/>
        </w:rPr>
        <w:t>. The Board believes that Mr. Gunby’s day-to-day role in</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managing our business and implementng strategy provides him with access to the people, informaton and resources that allow him to efciently identfy and tmely communicate signifcant business developments and sensitve maters, which is important for efectve governance. The Lead Independent Director’s role supplements that process by relaying feedback from the independent directors.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The Empowered Governance Role of the Lead Independent Director</w:t>
      </w:r>
    </w:p>
    <w:p>
      <w:pPr>
        <w:spacing w:after="0" w:line="212"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In connecton with its decision to combine the CEO and Chairman roles, the Board created the positon of Lead Independent Director, and the independent directors appointed Claudio Costamagna to serve in that role efectve as of his re-electon at the 2025 Annual Meetng. Mr. Costamagna has served as a director since 2012, and the Board believes he has the experience and skills necessary to serve as Lead Independent Director, including his experience on our Board and the boards of other global public companies, experience in a leadership positon on our Board as Chair of the Compensaton Commitee, and the ability to facilitate discussions among Board members, including between the independent directors and the CEO/Chairman, and engage with shareholders and key stakeholders.</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34</w:t>
      </w:r>
    </w:p>
    <w:p>
      <w:pPr>
        <w:sectPr>
          <w:pgSz w:w="11900" w:h="16838" w:orient="portrait"/>
          <w:cols w:equalWidth="0" w:num="1">
            <w:col w:w="11080"/>
          </w:cols>
          <w:pgMar w:left="320" w:top="47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When the roles of the Chairman of the Board and CEO are combined, good governance practce suggests that we have a Lead Independent Director positon to complement the Chairman of the Board’s role and to serve as the principal liaison between the independent directors and the CEO. The Board exercises strong, independent oversight through frequent executve sessions of the independent directors, wholly independent Board commitees and an experienced Lead Independent Director with clearly delineated and comprehensive dutes.</w:t>
      </w:r>
    </w:p>
    <w:p>
      <w:pPr>
        <w:spacing w:after="0" w:line="214" w:lineRule="exact"/>
        <w:rPr>
          <w:sz w:val="20"/>
          <w:szCs w:val="20"/>
          <w:color w:val="auto"/>
        </w:rPr>
      </w:pPr>
    </w:p>
    <w:p>
      <w:pPr>
        <w:ind w:left="160" w:right="240"/>
        <w:spacing w:after="0" w:line="233" w:lineRule="auto"/>
        <w:rPr>
          <w:sz w:val="20"/>
          <w:szCs w:val="20"/>
          <w:color w:val="auto"/>
        </w:rPr>
      </w:pPr>
      <w:r>
        <w:rPr>
          <w:rFonts w:ascii="Calibri" w:cs="Calibri" w:eastAsia="Calibri" w:hAnsi="Calibri"/>
          <w:sz w:val="17"/>
          <w:szCs w:val="17"/>
          <w:color w:val="333333"/>
        </w:rPr>
        <w:t>The Lead Independent Director chairs all meetngs of the independent directors and executve sessions of the independent directors and also has broad authority and responsibilites, including:</w:t>
      </w:r>
    </w:p>
    <w:p>
      <w:pPr>
        <w:spacing w:after="0" w:line="119" w:lineRule="exact"/>
        <w:rPr>
          <w:sz w:val="20"/>
          <w:szCs w:val="20"/>
          <w:color w:val="auto"/>
        </w:rPr>
      </w:pPr>
    </w:p>
    <w:p>
      <w:pPr>
        <w:ind w:left="1020" w:right="60" w:hanging="318"/>
        <w:spacing w:after="0" w:line="232" w:lineRule="auto"/>
        <w:tabs>
          <w:tab w:leader="none" w:pos="1020" w:val="left"/>
        </w:tabs>
        <w:numPr>
          <w:ilvl w:val="0"/>
          <w:numId w:val="57"/>
        </w:numPr>
        <w:rPr>
          <w:rFonts w:ascii="Calibri" w:cs="Calibri" w:eastAsia="Calibri" w:hAnsi="Calibri"/>
          <w:sz w:val="17"/>
          <w:szCs w:val="17"/>
          <w:color w:val="333333"/>
        </w:rPr>
      </w:pPr>
      <w:r>
        <w:rPr>
          <w:rFonts w:ascii="Calibri" w:cs="Calibri" w:eastAsia="Calibri" w:hAnsi="Calibri"/>
          <w:sz w:val="17"/>
          <w:szCs w:val="17"/>
          <w:b w:val="1"/>
          <w:bCs w:val="1"/>
          <w:color w:val="333333"/>
        </w:rPr>
        <w:t xml:space="preserve">Actng as Leader of the Independent Directors </w:t>
      </w:r>
      <w:r>
        <w:rPr>
          <w:rFonts w:ascii="Calibri" w:cs="Calibri" w:eastAsia="Calibri" w:hAnsi="Calibri"/>
          <w:sz w:val="17"/>
          <w:szCs w:val="17"/>
          <w:color w:val="333333"/>
        </w:rPr>
        <w:t>by presiding as Chair in executve sessions of the independent directors and at Board meetngs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when the Chairman is not present; determining the frequency, tming and calling of executve sessions of the independent directors and serving as an ex-ofcio member of Board commitees of which he is not a member;</w:t>
      </w:r>
    </w:p>
    <w:p>
      <w:pPr>
        <w:spacing w:after="0" w:line="115" w:lineRule="exact"/>
        <w:rPr>
          <w:rFonts w:ascii="Calibri" w:cs="Calibri" w:eastAsia="Calibri" w:hAnsi="Calibri"/>
          <w:sz w:val="17"/>
          <w:szCs w:val="17"/>
          <w:color w:val="333333"/>
        </w:rPr>
      </w:pPr>
    </w:p>
    <w:p>
      <w:pPr>
        <w:ind w:left="1020" w:hanging="318"/>
        <w:spacing w:after="0"/>
        <w:tabs>
          <w:tab w:leader="none" w:pos="1020" w:val="left"/>
        </w:tabs>
        <w:numPr>
          <w:ilvl w:val="0"/>
          <w:numId w:val="57"/>
        </w:numPr>
        <w:rPr>
          <w:rFonts w:ascii="Calibri" w:cs="Calibri" w:eastAsia="Calibri" w:hAnsi="Calibri"/>
          <w:sz w:val="17"/>
          <w:szCs w:val="17"/>
          <w:color w:val="333333"/>
        </w:rPr>
      </w:pPr>
      <w:r>
        <w:rPr>
          <w:rFonts w:ascii="Calibri" w:cs="Calibri" w:eastAsia="Calibri" w:hAnsi="Calibri"/>
          <w:sz w:val="17"/>
          <w:szCs w:val="17"/>
          <w:b w:val="1"/>
          <w:bCs w:val="1"/>
          <w:color w:val="333333"/>
        </w:rPr>
        <w:t>Determining Board and Commitee meetng agendas and schedules</w:t>
      </w:r>
      <w:r>
        <w:rPr>
          <w:rFonts w:ascii="Calibri" w:cs="Calibri" w:eastAsia="Calibri" w:hAnsi="Calibri"/>
          <w:sz w:val="17"/>
          <w:szCs w:val="17"/>
          <w:color w:val="333333"/>
        </w:rPr>
        <w:t>, in consultaton with the Chairman and commitee chairs;</w:t>
      </w:r>
    </w:p>
    <w:p>
      <w:pPr>
        <w:spacing w:after="0" w:line="117" w:lineRule="exact"/>
        <w:rPr>
          <w:rFonts w:ascii="Calibri" w:cs="Calibri" w:eastAsia="Calibri" w:hAnsi="Calibri"/>
          <w:sz w:val="17"/>
          <w:szCs w:val="17"/>
          <w:color w:val="333333"/>
        </w:rPr>
      </w:pPr>
    </w:p>
    <w:p>
      <w:pPr>
        <w:ind w:left="1020" w:hanging="318"/>
        <w:spacing w:after="0" w:line="232" w:lineRule="auto"/>
        <w:tabs>
          <w:tab w:leader="none" w:pos="1020" w:val="left"/>
        </w:tabs>
        <w:numPr>
          <w:ilvl w:val="0"/>
          <w:numId w:val="57"/>
        </w:numPr>
        <w:rPr>
          <w:rFonts w:ascii="Calibri" w:cs="Calibri" w:eastAsia="Calibri" w:hAnsi="Calibri"/>
          <w:sz w:val="17"/>
          <w:szCs w:val="17"/>
          <w:color w:val="333333"/>
        </w:rPr>
      </w:pPr>
      <w:r>
        <w:rPr>
          <w:rFonts w:ascii="Calibri" w:cs="Calibri" w:eastAsia="Calibri" w:hAnsi="Calibri"/>
          <w:sz w:val="17"/>
          <w:szCs w:val="17"/>
          <w:b w:val="1"/>
          <w:bCs w:val="1"/>
          <w:color w:val="333333"/>
        </w:rPr>
        <w:t xml:space="preserve">Serving as the principal liaison between management and the independent directors </w:t>
      </w:r>
      <w:r>
        <w:rPr>
          <w:rFonts w:ascii="Calibri" w:cs="Calibri" w:eastAsia="Calibri" w:hAnsi="Calibri"/>
          <w:sz w:val="17"/>
          <w:szCs w:val="17"/>
          <w:color w:val="333333"/>
        </w:rPr>
        <w:t>by overseeing the exchange of informaton and</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supportng data between the Company’s management and the Board, including informaton gathered through meetngs with executve ofcers and other global leaders, providing feedback to management on the scope and quality of informaton sent to the Board, and leading discussions among the independent directors regarding the Chairman and CEO’s performance;</w:t>
      </w:r>
    </w:p>
    <w:p>
      <w:pPr>
        <w:sectPr>
          <w:pgSz w:w="11900" w:h="16838" w:orient="portrait"/>
          <w:cols w:equalWidth="0" w:num="1">
            <w:col w:w="11080"/>
          </w:cols>
          <w:pgMar w:left="320" w:top="478" w:right="499" w:bottom="1440" w:gutter="0" w:footer="0" w:header="0"/>
        </w:sectPr>
      </w:pPr>
    </w:p>
    <w:p>
      <w:pPr>
        <w:spacing w:after="0" w:line="120" w:lineRule="exact"/>
        <w:rPr>
          <w:sz w:val="20"/>
          <w:szCs w:val="20"/>
          <w:color w:val="auto"/>
        </w:rPr>
      </w:pPr>
    </w:p>
    <w:p>
      <w:pPr>
        <w:jc w:val="both"/>
        <w:ind w:left="1020" w:hanging="318"/>
        <w:spacing w:after="0" w:line="232" w:lineRule="auto"/>
        <w:tabs>
          <w:tab w:leader="none" w:pos="1020" w:val="left"/>
        </w:tabs>
        <w:numPr>
          <w:ilvl w:val="0"/>
          <w:numId w:val="58"/>
        </w:numPr>
        <w:rPr>
          <w:rFonts w:ascii="Calibri" w:cs="Calibri" w:eastAsia="Calibri" w:hAnsi="Calibri"/>
          <w:sz w:val="17"/>
          <w:szCs w:val="17"/>
          <w:color w:val="333333"/>
        </w:rPr>
      </w:pPr>
      <w:r>
        <w:rPr>
          <w:rFonts w:ascii="Calibri" w:cs="Calibri" w:eastAsia="Calibri" w:hAnsi="Calibri"/>
          <w:sz w:val="17"/>
          <w:szCs w:val="17"/>
          <w:b w:val="1"/>
          <w:bCs w:val="1"/>
          <w:color w:val="333333"/>
        </w:rPr>
        <w:t xml:space="preserve">Championing Board refreshment and self-evaluaton </w:t>
      </w:r>
      <w:r>
        <w:rPr>
          <w:rFonts w:ascii="Calibri" w:cs="Calibri" w:eastAsia="Calibri" w:hAnsi="Calibri"/>
          <w:sz w:val="17"/>
          <w:szCs w:val="17"/>
          <w:color w:val="333333"/>
        </w:rPr>
        <w:t>Chairman, extending invitatons to potental directors evaluatng the efectveness of the Board’s leadership</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60" w:firstLine="17"/>
        <w:spacing w:after="0" w:line="232" w:lineRule="auto"/>
        <w:rPr>
          <w:sz w:val="20"/>
          <w:szCs w:val="20"/>
          <w:color w:val="auto"/>
        </w:rPr>
      </w:pPr>
      <w:r>
        <w:rPr>
          <w:rFonts w:ascii="Calibri" w:cs="Calibri" w:eastAsia="Calibri" w:hAnsi="Calibri"/>
          <w:sz w:val="17"/>
          <w:szCs w:val="17"/>
          <w:color w:val="333333"/>
        </w:rPr>
        <w:t>by assistng in the NCGSR Commitee’s eforts to recruit directors and, together with the to join the Board, and leading the Board’s annual self-assessment process, including structure;</w:t>
      </w:r>
    </w:p>
    <w:p>
      <w:pPr>
        <w:spacing w:after="0" w:line="116" w:lineRule="exact"/>
        <w:rPr>
          <w:sz w:val="20"/>
          <w:szCs w:val="20"/>
          <w:color w:val="auto"/>
        </w:rPr>
      </w:pPr>
    </w:p>
    <w:p>
      <w:pPr>
        <w:sectPr>
          <w:pgSz w:w="11900" w:h="16838" w:orient="portrait"/>
          <w:cols w:equalWidth="0" w:num="2">
            <w:col w:w="4800" w:space="20"/>
            <w:col w:w="6260"/>
          </w:cols>
          <w:pgMar w:left="320" w:top="478" w:right="499" w:bottom="1440" w:gutter="0" w:footer="0" w:header="0"/>
          <w:type w:val="continuous"/>
        </w:sectPr>
      </w:pPr>
    </w:p>
    <w:p>
      <w:pPr>
        <w:ind w:left="1020" w:hanging="318"/>
        <w:spacing w:after="0"/>
        <w:tabs>
          <w:tab w:leader="none" w:pos="1020" w:val="left"/>
        </w:tabs>
        <w:numPr>
          <w:ilvl w:val="0"/>
          <w:numId w:val="59"/>
        </w:numPr>
        <w:rPr>
          <w:rFonts w:ascii="Calibri" w:cs="Calibri" w:eastAsia="Calibri" w:hAnsi="Calibri"/>
          <w:sz w:val="17"/>
          <w:szCs w:val="17"/>
          <w:color w:val="333333"/>
        </w:rPr>
      </w:pPr>
      <w:r>
        <w:rPr>
          <w:rFonts w:ascii="Calibri" w:cs="Calibri" w:eastAsia="Calibri" w:hAnsi="Calibri"/>
          <w:sz w:val="17"/>
          <w:szCs w:val="17"/>
          <w:b w:val="1"/>
          <w:bCs w:val="1"/>
          <w:color w:val="333333"/>
        </w:rPr>
        <w:t xml:space="preserve">Recommending Board and Commitee membership and leadership </w:t>
      </w:r>
      <w:r>
        <w:rPr>
          <w:rFonts w:ascii="Calibri" w:cs="Calibri" w:eastAsia="Calibri" w:hAnsi="Calibri"/>
          <w:sz w:val="17"/>
          <w:szCs w:val="17"/>
          <w:color w:val="333333"/>
        </w:rPr>
        <w:t>to the NCGSR Commitee and to the Chairman;</w:t>
      </w:r>
    </w:p>
    <w:p>
      <w:pPr>
        <w:spacing w:after="0" w:line="117" w:lineRule="exact"/>
        <w:rPr>
          <w:rFonts w:ascii="Calibri" w:cs="Calibri" w:eastAsia="Calibri" w:hAnsi="Calibri"/>
          <w:sz w:val="17"/>
          <w:szCs w:val="17"/>
          <w:color w:val="333333"/>
        </w:rPr>
      </w:pPr>
    </w:p>
    <w:p>
      <w:pPr>
        <w:ind w:left="1020" w:right="740" w:hanging="318"/>
        <w:spacing w:after="0" w:line="233" w:lineRule="auto"/>
        <w:tabs>
          <w:tab w:leader="none" w:pos="1020" w:val="left"/>
        </w:tabs>
        <w:numPr>
          <w:ilvl w:val="0"/>
          <w:numId w:val="59"/>
        </w:numPr>
        <w:rPr>
          <w:rFonts w:ascii="Calibri" w:cs="Calibri" w:eastAsia="Calibri" w:hAnsi="Calibri"/>
          <w:sz w:val="17"/>
          <w:szCs w:val="17"/>
          <w:color w:val="333333"/>
        </w:rPr>
      </w:pPr>
      <w:r>
        <w:rPr>
          <w:rFonts w:ascii="Calibri" w:cs="Calibri" w:eastAsia="Calibri" w:hAnsi="Calibri"/>
          <w:sz w:val="17"/>
          <w:szCs w:val="17"/>
          <w:b w:val="1"/>
          <w:bCs w:val="1"/>
          <w:color w:val="333333"/>
        </w:rPr>
        <w:t>Communicatng with shareholders</w:t>
      </w:r>
      <w:r>
        <w:rPr>
          <w:rFonts w:ascii="Calibri" w:cs="Calibri" w:eastAsia="Calibri" w:hAnsi="Calibri"/>
          <w:sz w:val="17"/>
          <w:szCs w:val="17"/>
          <w:color w:val="333333"/>
        </w:rPr>
        <w:t>, including engaging in consultaton and direct communicaton with shareholders on behalf of the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independent directors and the Board, upon request; and</w:t>
      </w:r>
    </w:p>
    <w:p>
      <w:pPr>
        <w:spacing w:after="0" w:line="114" w:lineRule="exact"/>
        <w:rPr>
          <w:rFonts w:ascii="Calibri" w:cs="Calibri" w:eastAsia="Calibri" w:hAnsi="Calibri"/>
          <w:sz w:val="17"/>
          <w:szCs w:val="17"/>
          <w:color w:val="333333"/>
        </w:rPr>
      </w:pPr>
    </w:p>
    <w:p>
      <w:pPr>
        <w:ind w:left="1020" w:hanging="318"/>
        <w:spacing w:after="0"/>
        <w:tabs>
          <w:tab w:leader="none" w:pos="1020" w:val="left"/>
        </w:tabs>
        <w:numPr>
          <w:ilvl w:val="0"/>
          <w:numId w:val="59"/>
        </w:numPr>
        <w:rPr>
          <w:rFonts w:ascii="Calibri" w:cs="Calibri" w:eastAsia="Calibri" w:hAnsi="Calibri"/>
          <w:sz w:val="17"/>
          <w:szCs w:val="17"/>
          <w:color w:val="333333"/>
        </w:rPr>
      </w:pPr>
      <w:r>
        <w:rPr>
          <w:rFonts w:ascii="Calibri" w:cs="Calibri" w:eastAsia="Calibri" w:hAnsi="Calibri"/>
          <w:sz w:val="17"/>
          <w:szCs w:val="17"/>
          <w:b w:val="1"/>
          <w:bCs w:val="1"/>
          <w:color w:val="333333"/>
        </w:rPr>
        <w:t xml:space="preserve">Retaining outside advisors </w:t>
      </w:r>
      <w:r>
        <w:rPr>
          <w:rFonts w:ascii="Calibri" w:cs="Calibri" w:eastAsia="Calibri" w:hAnsi="Calibri"/>
          <w:sz w:val="17"/>
          <w:szCs w:val="17"/>
          <w:color w:val="333333"/>
        </w:rPr>
        <w:t>and consultants who report directly to the Board of Directors on Board-wide issues.</w:t>
      </w:r>
    </w:p>
    <w:p>
      <w:pPr>
        <w:spacing w:after="0" w:line="212"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We believe that our Board’s current leadership structure is appropriate given the needs of the Company at this tme and that the empowered role of our Lead Independent Director, the number and strength of our independent directors, Mr. Gunby’s leadership and experience, and our overall governance practces positon the Company for contnued strong governance and growth. The NCGSR Commitee will contnue to review the leadership structure at least annually to ensure that the Board’s leadership structure contnues to meet the needs of the Company and supports the generaton of shareholder value over the long term.</w:t>
      </w:r>
    </w:p>
    <w:p>
      <w:pPr>
        <w:spacing w:after="0" w:line="214"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 xml:space="preserve">The Board believes that its programs for overseeing risk, as described under the secton ttled “— Oversight Of Risk Management” beginning on </w:t>
      </w:r>
      <w:r>
        <w:rPr>
          <w:rFonts w:ascii="Calibri" w:cs="Calibri" w:eastAsia="Calibri" w:hAnsi="Calibri"/>
          <w:sz w:val="17"/>
          <w:szCs w:val="17"/>
          <w:color w:val="0591DB"/>
        </w:rPr>
        <w:t>page 36</w:t>
      </w:r>
      <w:r>
        <w:rPr>
          <w:rFonts w:ascii="Calibri" w:cs="Calibri" w:eastAsia="Calibri" w:hAnsi="Calibri"/>
          <w:sz w:val="17"/>
          <w:szCs w:val="17"/>
          <w:color w:val="333333"/>
        </w:rPr>
        <w:t xml:space="preserve"> of this Proxy Statement, would be efectve under a variety of leadership frameworks. Accordingly, the Board’s risk oversight functon did not signifcantly impact its selecton of the current leadership structure.</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35</w:t>
      </w:r>
    </w:p>
    <w:p>
      <w:pPr>
        <w:sectPr>
          <w:pgSz w:w="11900" w:h="16838" w:orient="portrait"/>
          <w:cols w:equalWidth="0" w:num="1">
            <w:col w:w="11080"/>
          </w:cols>
          <w:pgMar w:left="320" w:top="478" w:right="4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OVERSIGHT OF RISK MANAGEMENT</w:t>
      </w:r>
    </w:p>
    <w:p>
      <w:pPr>
        <w:spacing w:after="0" w:line="212"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We are exposed to a number of risks, including fnancial risks, operatonal risks, reputatonal risks, strategic risks, human capital risks, compettve risks, risks relatng to operatng in foreign countries, day-to-day management risks, informaton privacy-, data- and technology-related risks, including cybersecurity risks, general economic and business risks, legal, regulatory and compliance risks, including risks associated with the Foreign Corrupt Practces Act (the “FCPA”) and foreign ant-bribery laws, and ESG-, climate change- and sustainability-related risks, including risks relatng to climate change. The Board has delegated the critcal responsibility for overall risk oversight to the Audit Commitee, which reports to the Board. Management of the Company has primary responsibility for performing risk assessments, identfying and monitoring risks, establishing policies and processes, formulatng strategies, implementng and carrying out corporate responses, and reportng to the Audit Commitee or other responsible Commitee of the Board.</w:t>
      </w:r>
    </w:p>
    <w:p>
      <w:pPr>
        <w:spacing w:after="0" w:line="214"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Our Vice President - Chief Risk and Compliance Ofcer (“CRCO”), who reports to our General Counsel (“GC”), has primary responsibility for communicaton with the Audit Commitee and our internal enterprise risk management program, working closely with members of our Enterprise Risk Management Commitee, our Chief Informaton Ofcer (“CIO”), executve management, business segment and regional leaders, and corporate functons, such as accountng, internal audit, informaton technology, which includes cybersecurity, and ethics and compliance and corporate citzenship, to identfy and assess risks, threats and incidents and mitgate exposures. Regularly, the Audit Commitee reviews and discusses the enterprise risk management profle, which identfes, categorizes and discusses short-term, intermediate-term and long-term risks, that management of the Company prepares and the policies, processes and guidelines that management of the Company uses to assess, manage, mitgate and respond to risks. The Audit Commitee reports to the Board on a regular basis to apprise all directors of the Company’s risk profle and risk management and holds discussions with our executve management, CRCO, CIO and head of internal audit more frequently. If and when needed, the Audit Commitee provides the Chairman of the Board, and Chair of each other Commitee with oversight of an applicable functon is aware of the most recent risk assessment and partcipates in such reviews and discussions.</w:t>
      </w:r>
    </w:p>
    <w:p>
      <w:pPr>
        <w:spacing w:after="0" w:line="34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Our other standing Commitees of the Board also consider and monitor risks within their applicable areas of responsibility. For example, the Compensaton Commitee reviews and discusses risks relatng to the Company’s compensaton programs, policies and practces, including executve compensaton, and management presents and discusses a comprehensive compensaton risk profle for the Company at least annually. Our NCGSR Commitee has primary responsibility for ESG-, climate change- and sustainability maters under its Charter, including the task of reviewing related policies and practces, as well as reports issued by the Company, which are prepared by our Corporate Citzenship group under the directon of the Corporate Communicatons functon. Our Chief Human Resources Ofcer (“CHRO”) presents an inclusion report to the NCGSR Commitee and other directors at least annually. Our Chief Strategy and Transformaton Ofcer (“CSTO”) is charged with identfying and evaluatng our environmental-, climate change- and sustainability-related risks and exposures and devising and implementng strategies to advance the Company’s greenhouse gas and other emissions reducton goals and mitgate other sustainability, environmental- and climate change-related risks. Our CSTO reports to the NCGSR Commitee and other directors at least annually. Management also discusses U.S. and foreign legal, regulatory, client and vendor standards and requirements as they are proposed and enacted relatng to quickly evolving ESG-, climate change- and sustainability-related topics. These Commitees keep the Audit Commitee and the Board apprised of governance-, human capital-, ESG-, climate change-, sustainability- and compensaton-related risks.</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36</w:t>
      </w:r>
    </w:p>
    <w:p>
      <w:pPr>
        <w:sectPr>
          <w:pgSz w:w="11900" w:h="16838" w:orient="portrait"/>
          <w:cols w:equalWidth="0" w:num="1">
            <w:col w:w="11060"/>
          </w:cols>
          <w:pgMar w:left="320" w:top="478"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220"/>
        <w:spacing w:after="0" w:line="232" w:lineRule="auto"/>
        <w:rPr>
          <w:sz w:val="20"/>
          <w:szCs w:val="20"/>
          <w:color w:val="auto"/>
        </w:rPr>
      </w:pPr>
      <w:r>
        <w:rPr>
          <w:rFonts w:ascii="Calibri" w:cs="Calibri" w:eastAsia="Calibri" w:hAnsi="Calibri"/>
          <w:sz w:val="17"/>
          <w:szCs w:val="17"/>
          <w:color w:val="333333"/>
        </w:rPr>
        <w:t>Directors who are not members of a relevant Commitee are invited to atend the meetngs during which risk-related topics are discussed. A Commitee may periodically request additonal reports on critcal risk areas identfed by management, such as the FCPA and the UK Ant-Bribery Act of 2010, cybersecurity and privacy risks in the case of the Audit Commitee and climate change and corporate citzenship in the case of the NCGSR Commitee.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CYBERSECURITY OVERSIGHT</w:t>
      </w:r>
    </w:p>
    <w:p>
      <w:pPr>
        <w:spacing w:after="0" w:line="212"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Cybersecurity risk is integrated and managed as part of our broader enterprise risk management program under the directon of our CRCO, who works closely with our CIO, who reports to our Chief Financial Ofcer (“CFO”), and others, including the Head of our Cybersecurity &amp; Privacy division, to help identfy, review, assess and address cybersecurity and other security risks. Our CRCO, CIO and the Head of our Global Cybersecurity &amp; Privacy division are members of the Company’s cybersecurity response team (the “Cyber Response Team”). The Cyber Response Team’s responsibilites include maintaining a Cybersecurity Incident Response Plan that involves the Board of Directors and other leadership, when appropriate. Direct threats are escalated promptly to the appropriate team, following a path that considers both the nature of the threat, the level of risk and the degree to which it has been substantated. Indirect threats, such as third-party incidents, are escalated through the Informaton Technology Group (“ITG”) to the appropriate corporate functons, as the situaton warrants. We regularly analyze and assess informaton security risks, including cybersecurity risks, associated with our business. As part of our program, we routnely test our controls and informaton systems. We also provide annual informaton security training for our employees, conduct phishing simulatons, and send periodic cybersecurity communicatons to all employees. Our CIO works closely with our CRCO to review and assess cybersecurity- and other informaton technology-related risks, mitgate exposures and resolve any incidents.</w:t>
      </w:r>
    </w:p>
    <w:p>
      <w:pPr>
        <w:spacing w:after="0" w:line="214" w:lineRule="exact"/>
        <w:rPr>
          <w:sz w:val="20"/>
          <w:szCs w:val="20"/>
          <w:color w:val="auto"/>
        </w:rPr>
      </w:pPr>
    </w:p>
    <w:p>
      <w:pPr>
        <w:ind w:left="160" w:right="240"/>
        <w:spacing w:after="0" w:line="232" w:lineRule="auto"/>
        <w:rPr>
          <w:sz w:val="20"/>
          <w:szCs w:val="20"/>
          <w:color w:val="auto"/>
        </w:rPr>
      </w:pPr>
      <w:r>
        <w:rPr>
          <w:rFonts w:ascii="Calibri" w:cs="Calibri" w:eastAsia="Calibri" w:hAnsi="Calibri"/>
          <w:sz w:val="17"/>
          <w:szCs w:val="17"/>
          <w:color w:val="333333"/>
        </w:rPr>
        <w:t>The Audit Commitee meets regularly with our CIO, CRCO, Head of our Cybersecurity &amp; Privacy division and other management, including our CFO, to discuss and review risk exposures and potental damages related to informaton security, cybersecurity, and data protecton and the steps the Company has taken to help identfy, monitor and control such exposures, as well as associated mitgaton and remediaton acton, and actons to contnue our operatons. Informaton distributed to and discussed with the Audit Commitee includes data on cybersecurity incidents and risks; company-wide enterprise risks; training programs; risk assessments; internal controls; security sofware; incident response plans; and forward-looking informaton security and business contnuity strategies. The Audit Commitee reports directly to the Board of Directors on a regular basis.</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Furthermore, we ofer cybersecurity consultng services to clients. Our client-facing cybersecurity and informaton security experts periodically advise our cybersecurity and informaton technology teams regarding best practces. In additon, from tme to tme, they update our directors about complex issues faced by other companies arising from data security challenges. Among other things, they discuss new and evolving types and levels of threats and atacks, hacking and ransomware, foreign actors, risks driven by new and evolving technologies, including artfcial intelligence, potental damages and liability, and technological and other solutons potentally available to mitgate such risks, as well as other company responses.</w:t>
      </w:r>
    </w:p>
    <w:p>
      <w:pPr>
        <w:spacing w:after="0" w:line="214" w:lineRule="exact"/>
        <w:rPr>
          <w:sz w:val="20"/>
          <w:szCs w:val="20"/>
          <w:color w:val="auto"/>
        </w:rPr>
      </w:pPr>
    </w:p>
    <w:p>
      <w:pPr>
        <w:ind w:left="160" w:right="160"/>
        <w:spacing w:after="0" w:line="232" w:lineRule="auto"/>
        <w:rPr>
          <w:sz w:val="20"/>
          <w:szCs w:val="20"/>
          <w:color w:val="auto"/>
        </w:rPr>
      </w:pPr>
      <w:r>
        <w:rPr>
          <w:rFonts w:ascii="Calibri" w:cs="Calibri" w:eastAsia="Calibri" w:hAnsi="Calibri"/>
          <w:sz w:val="17"/>
          <w:szCs w:val="17"/>
          <w:color w:val="333333"/>
        </w:rPr>
        <w:t>In the event of the detecton of a potentally signifcant cybersecurity incident or threat, or of an escalaton or change with respect to a cybersecurity threat, or a change to a current incident, the Company has processes in place to notfy relevant employees who assist in the response, as well as third-party vendors. Our ITG and management, in consultaton with the Company’s third-party legal counsel and accountants, will assess materiality, informed by ongoing discussions about what criteria would consttute potental materiality consideratons. The Audit Commitee and necessary directors will be informed of all material events.</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37</w:t>
      </w:r>
    </w:p>
    <w:p>
      <w:pPr>
        <w:sectPr>
          <w:pgSz w:w="11900" w:h="16838" w:orient="portrait"/>
          <w:cols w:equalWidth="0" w:num="1">
            <w:col w:w="11060"/>
          </w:cols>
          <w:pgMar w:left="320" w:top="478"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In 2025, we maintained efectve coordinaton and communicaton with the Executve Cyber-Incident Response Team regarding cybersecurity incidents. This included providing tmely updates to the Board of Directors following any incidents, as well as discussing incident response during our quarterly reviews and Audit Commitee briefngs. Additonally, we contnued our cybersecurity incident response training to keep the Executve team and the Board informed about incident response procedures. We plan to conduct these communicatons and training sessions periodically. Furthermore, other directors and ofcers of the Company have been, and will contnue to be, given the opportunity to partcipate in cybersecurity training. Our non-employee directors are also encouraged to atend contnuing educaton on cybersecurity.</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COMPENSATION-RELATED RISKS</w:t>
      </w:r>
    </w:p>
    <w:p>
      <w:pPr>
        <w:spacing w:after="0" w:line="212" w:lineRule="exact"/>
        <w:rPr>
          <w:sz w:val="20"/>
          <w:szCs w:val="20"/>
          <w:color w:val="auto"/>
        </w:rPr>
      </w:pPr>
    </w:p>
    <w:p>
      <w:pPr>
        <w:jc w:val="both"/>
        <w:ind w:left="160" w:right="160"/>
        <w:spacing w:after="0" w:line="232" w:lineRule="auto"/>
        <w:rPr>
          <w:sz w:val="20"/>
          <w:szCs w:val="20"/>
          <w:color w:val="auto"/>
        </w:rPr>
      </w:pPr>
      <w:r>
        <w:rPr>
          <w:rFonts w:ascii="Calibri" w:cs="Calibri" w:eastAsia="Calibri" w:hAnsi="Calibri"/>
          <w:sz w:val="17"/>
          <w:szCs w:val="17"/>
          <w:color w:val="333333"/>
        </w:rPr>
        <w:t>At the request and directon of the Compensaton Commitee and the Audit Commitee, management conducted an assessment of risks associated with the Company’s compensaton policies and practces for the year ended December 31, 2025. This assessment included the (i) review of programs, plans, policies, procedures and practces relatng to the components of executve ofcer and employee compensaton; (ii) review of incentve-based equity and cash compensaton; (iii) identfcaton of compensaton design features that could potentally encourage excessive or imprudent risk taking;</w:t>
      </w:r>
    </w:p>
    <w:p>
      <w:pPr>
        <w:spacing w:after="0" w:line="2" w:lineRule="exact"/>
        <w:rPr>
          <w:sz w:val="20"/>
          <w:szCs w:val="20"/>
          <w:color w:val="auto"/>
        </w:rPr>
      </w:pPr>
    </w:p>
    <w:p>
      <w:pPr>
        <w:ind w:left="160" w:firstLine="7"/>
        <w:spacing w:after="0" w:line="232" w:lineRule="auto"/>
        <w:tabs>
          <w:tab w:leader="none" w:pos="423" w:val="left"/>
        </w:tabs>
        <w:numPr>
          <w:ilvl w:val="0"/>
          <w:numId w:val="60"/>
        </w:numPr>
        <w:rPr>
          <w:rFonts w:ascii="Calibri" w:cs="Calibri" w:eastAsia="Calibri" w:hAnsi="Calibri"/>
          <w:sz w:val="17"/>
          <w:szCs w:val="17"/>
          <w:color w:val="333333"/>
        </w:rPr>
      </w:pPr>
      <w:r>
        <w:rPr>
          <w:rFonts w:ascii="Calibri" w:cs="Calibri" w:eastAsia="Calibri" w:hAnsi="Calibri"/>
          <w:sz w:val="17"/>
          <w:szCs w:val="17"/>
          <w:color w:val="333333"/>
        </w:rPr>
        <w:t>identfcaton of business risks that these features could potentally encourage; (v) consideraton of the presence or absence of controls, oversight or other factors that could increase or mitgate potental risks; (vi) assessment of potental risks; and (vii) consideraton of the potental for such risks to result in a material adverse efect on the Company and its subsidiaries, taken as a whole. Based on the assessment and factors described above, the Company determined that the risks associated with its compensaton programs, policies and practces are not reasonably likely to result in a material adverse efect on the Company and its subsidiaries taken as a whole.</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BOARD AND COMMITTEE SELF-ASSESSMENTS</w:t>
      </w:r>
    </w:p>
    <w:p>
      <w:pPr>
        <w:spacing w:after="0" w:line="212" w:lineRule="exact"/>
        <w:rPr>
          <w:sz w:val="20"/>
          <w:szCs w:val="20"/>
          <w:color w:val="auto"/>
        </w:rPr>
      </w:pPr>
    </w:p>
    <w:p>
      <w:pPr>
        <w:jc w:val="both"/>
        <w:ind w:left="160" w:right="280"/>
        <w:spacing w:after="0" w:line="232" w:lineRule="auto"/>
        <w:rPr>
          <w:sz w:val="20"/>
          <w:szCs w:val="20"/>
          <w:color w:val="auto"/>
        </w:rPr>
      </w:pPr>
      <w:r>
        <w:rPr>
          <w:rFonts w:ascii="Calibri" w:cs="Calibri" w:eastAsia="Calibri" w:hAnsi="Calibri"/>
          <w:sz w:val="17"/>
          <w:szCs w:val="17"/>
          <w:color w:val="333333"/>
        </w:rPr>
        <w:t>The NCGSR Commitee, pursuant to its Charter, is formally charged with administering the annual self-assessments by the Board and each Commitee. During the frst quarter of 2026, the Board and each Commitee conducted self-assessments to identfy issues critcal to their success. The results were discussed by the Board and the Commitees at a joint meetng held in February 2026, during which they discussed the results and provided thorough, objectve feedback, which is expected to be used to implement performance enhancements going forward.</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CORPORATE SOCIAL RESPONSIBILITY OVERSIGHT</w:t>
      </w:r>
    </w:p>
    <w:p>
      <w:pPr>
        <w:spacing w:after="0" w:line="212" w:lineRule="exact"/>
        <w:rPr>
          <w:sz w:val="20"/>
          <w:szCs w:val="20"/>
          <w:color w:val="auto"/>
        </w:rPr>
      </w:pPr>
    </w:p>
    <w:p>
      <w:pPr>
        <w:ind w:left="160" w:right="100"/>
        <w:spacing w:after="0"/>
        <w:rPr>
          <w:sz w:val="20"/>
          <w:szCs w:val="20"/>
          <w:color w:val="auto"/>
        </w:rPr>
      </w:pPr>
      <w:r>
        <w:rPr>
          <w:rFonts w:ascii="Calibri" w:cs="Calibri" w:eastAsia="Calibri" w:hAnsi="Calibri"/>
          <w:sz w:val="17"/>
          <w:szCs w:val="17"/>
          <w:color w:val="333333"/>
        </w:rPr>
        <w:t>The NCGSR Commitee, pursuant to its Charter, is formally charged with oversight of corporate social responsibility and human capital maters, including those pertaining to ESG. The Company’s CHRO regularly reviews the Company’s policies, practces and strategies addressing corporate citzenship and community engagement, periodically reports on environmental- and sustainability-related maters, including the Company’s objectves and responses to climate change and the reducton of the Company’s environmental footprint, including greenhouse and other emissions. The NCGSR Commitee provides feedback and directon on the Company’s approach to these issues. It also reports on subjects of interest to the full Board and other interested Commitees.</w:t>
      </w:r>
    </w:p>
    <w:p>
      <w:pPr>
        <w:spacing w:after="0" w:line="37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SUCCESSION PLANNING</w:t>
      </w:r>
    </w:p>
    <w:p>
      <w:pPr>
        <w:spacing w:after="0" w:line="212"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The NCGSR Commitee reviews succession and development plans with management and other directors. The NCGSR Commitee has a process to plan for the succession of our CEO, which includes an annual discussion of potental in-house candidates identfed by our CEO, a tmeline for identfcaton and selecton of likely successors, and a</w:t>
      </w:r>
    </w:p>
    <w:p>
      <w:pPr>
        <w:spacing w:after="0" w:line="143"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38</w:t>
      </w:r>
    </w:p>
    <w:p>
      <w:pPr>
        <w:sectPr>
          <w:pgSz w:w="11900" w:h="16838" w:orient="portrait"/>
          <w:cols w:equalWidth="0" w:num="1">
            <w:col w:w="11040"/>
          </w:cols>
          <w:pgMar w:left="320" w:top="478"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140"/>
        <w:spacing w:after="0" w:line="233" w:lineRule="auto"/>
        <w:rPr>
          <w:sz w:val="20"/>
          <w:szCs w:val="20"/>
          <w:color w:val="auto"/>
        </w:rPr>
      </w:pPr>
      <w:r>
        <w:rPr>
          <w:rFonts w:ascii="Calibri" w:cs="Calibri" w:eastAsia="Calibri" w:hAnsi="Calibri"/>
          <w:sz w:val="17"/>
          <w:szCs w:val="17"/>
          <w:color w:val="333333"/>
        </w:rPr>
        <w:t>tmeline for identfying a successor in emergency circumstances. More details about the NCGSR Commitee’s recent succession planning may be found in the secton ttled “— Board Leadership Structure.”</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CODE OF CONDUCT</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Our writen Code of Ethics and Business Conduct (“Code of Ethics”) and Ant-Corrupton Policy (together with our Code of Ethics, our “Code of Conduct”) applies to fnancial professionals, including our Chief Financial Ofcer, corporate Controller and Chief Accountng Ofcer (“CAO”), and corporate Treasurer, as well as our CEO and all other ofcers, directors, employees and independent contractors of the Company and its afliates. We require all individuals subject to our Code of Conduct to avoid conficts of interest, comply with applicable laws (including the FCPA, other ant-bribery laws, and legal and regulatory requirements of the jurisdictons in which we have ofces and/or conduct business), protect Company assets, and conduct business in an honest and ethical manner and otherwise act with integrity, in our best interests and in accordance with the Code of Conduct. The Code of Conduct prohibits insiders from knowingly taking advantage of corporate opportunites for personal beneft and taking unfair advantage of our business associates, compettors and employees through manipulaton, concealment, abuse of privileged informaton, misrepresentaton of material facts or any other practce of unfair dealing. Our Code of Ethics and Ant-Corrupton Policy are available in the Governance secton of the Company’s website at </w:t>
      </w:r>
      <w:r>
        <w:rPr>
          <w:rFonts w:ascii="Calibri" w:cs="Calibri" w:eastAsia="Calibri" w:hAnsi="Calibri"/>
          <w:sz w:val="17"/>
          <w:szCs w:val="17"/>
          <w:color w:val="0591DB"/>
        </w:rPr>
        <w:t>htps://www.ficonsultng.com/about/governance</w:t>
      </w:r>
      <w:r>
        <w:rPr>
          <w:rFonts w:ascii="Calibri" w:cs="Calibri" w:eastAsia="Calibri" w:hAnsi="Calibri"/>
          <w:sz w:val="17"/>
          <w:szCs w:val="17"/>
          <w:color w:val="333333"/>
        </w:rPr>
        <w:t>. If we make substantve amendments to the Code of Ethics or grant any waiver, including any implicit</w:t>
      </w:r>
      <w:r>
        <w:rPr>
          <w:rFonts w:ascii="Calibri" w:cs="Calibri" w:eastAsia="Calibri" w:hAnsi="Calibri"/>
          <w:sz w:val="17"/>
          <w:szCs w:val="17"/>
          <w:color w:val="0591DB"/>
        </w:rPr>
        <w:t xml:space="preserve"> </w:t>
      </w:r>
      <w:r>
        <w:rPr>
          <w:rFonts w:ascii="Calibri" w:cs="Calibri" w:eastAsia="Calibri" w:hAnsi="Calibri"/>
          <w:sz w:val="17"/>
          <w:szCs w:val="17"/>
          <w:color w:val="333333"/>
        </w:rPr>
        <w:t>waiver, from a provision of such policy to any director, ofcer, fnancial professional or person performing similar functons, we will disclose the nature of such amendment or waiver on our website or in a Current Report on Form 8-K fled with the SEC. Our Code of Ethics was last updated in September 2024.</w:t>
      </w:r>
    </w:p>
    <w:p>
      <w:pPr>
        <w:spacing w:after="0" w:line="21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SHAREHOLDER NOMINEES FOR DIRECTOR</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did not receive any notces of shareholder nominees for director prior to the deadline for 2026 nominatons required by our Bylaws and described in our proxy statement for our 2025 Annual Meetng. Under our Bylaws, nominatons for director at an annual meetng of shareholders may be made by a shareholder who is (a) a shareholder of record on the record date set by the Board for the purpose of determining shareholders enttled to vote at the annual meetng at the tme of giving of notce by the shareholder and at the tme of the annual meetng (and any postponement or adjournment thereof) and (b) enttled to vote at the meetng in the electon of each individual so nominated or on any other business, provided such shareholder delivers notce along with the additonal informaton and materials required by our Bylaws (which includes informaton required under Rule 14a-19) to the Corporate Secretary at the principal executve ofce of the Company located at 555 12th Street NW, Suite 700, Washington, D.C. 20004, not earlier than the 150</w:t>
      </w:r>
      <w:r>
        <w:rPr>
          <w:rFonts w:ascii="Calibri" w:cs="Calibri" w:eastAsia="Calibri" w:hAnsi="Calibri"/>
          <w:sz w:val="12"/>
          <w:szCs w:val="12"/>
          <w:color w:val="333333"/>
        </w:rPr>
        <w:t>th</w:t>
      </w:r>
      <w:r>
        <w:rPr>
          <w:rFonts w:ascii="Calibri" w:cs="Calibri" w:eastAsia="Calibri" w:hAnsi="Calibri"/>
          <w:sz w:val="17"/>
          <w:szCs w:val="17"/>
          <w:color w:val="333333"/>
        </w:rPr>
        <w:t xml:space="preserve"> day nor later than 5:00 p.m., Eastern Time, on the 120</w:t>
      </w:r>
      <w:r>
        <w:rPr>
          <w:rFonts w:ascii="Calibri" w:cs="Calibri" w:eastAsia="Calibri" w:hAnsi="Calibri"/>
          <w:sz w:val="12"/>
          <w:szCs w:val="12"/>
          <w:color w:val="333333"/>
        </w:rPr>
        <w:t>th</w:t>
      </w:r>
      <w:r>
        <w:rPr>
          <w:rFonts w:ascii="Calibri" w:cs="Calibri" w:eastAsia="Calibri" w:hAnsi="Calibri"/>
          <w:sz w:val="17"/>
          <w:szCs w:val="17"/>
          <w:color w:val="333333"/>
        </w:rPr>
        <w:t xml:space="preserve"> day prior to the frst anniversary of the date of the proxy statement for the preceding year’s annual meetng of shareholders. For the annual meetng of shareholders in 2027, a shareholder must deliver this notce no earlier than November 22, 2026 and no later than December 22, 2026. In the event that the date of the annual meetng is advanced or delayed by more than 30 days from the frst anniversary of the date of the preceding year’s annual meetng of shareholders, or if no annual meetng of shareholders was held in the preceding year, notce by the shareholder to be tmely must be so delivered not earlier than the 150</w:t>
      </w:r>
      <w:r>
        <w:rPr>
          <w:rFonts w:ascii="Calibri" w:cs="Calibri" w:eastAsia="Calibri" w:hAnsi="Calibri"/>
          <w:sz w:val="12"/>
          <w:szCs w:val="12"/>
          <w:color w:val="333333"/>
        </w:rPr>
        <w:t>th</w:t>
      </w:r>
      <w:r>
        <w:rPr>
          <w:rFonts w:ascii="Calibri" w:cs="Calibri" w:eastAsia="Calibri" w:hAnsi="Calibri"/>
          <w:sz w:val="17"/>
          <w:szCs w:val="17"/>
          <w:color w:val="333333"/>
        </w:rPr>
        <w:t xml:space="preserve"> day prior to the date of such annual meetng and not later than 5:00 p.m., Eastern Time, on the later of the 120</w:t>
      </w:r>
      <w:r>
        <w:rPr>
          <w:rFonts w:ascii="Calibri" w:cs="Calibri" w:eastAsia="Calibri" w:hAnsi="Calibri"/>
          <w:sz w:val="12"/>
          <w:szCs w:val="12"/>
          <w:color w:val="333333"/>
        </w:rPr>
        <w:t>th</w:t>
      </w:r>
      <w:r>
        <w:rPr>
          <w:rFonts w:ascii="Calibri" w:cs="Calibri" w:eastAsia="Calibri" w:hAnsi="Calibri"/>
          <w:sz w:val="17"/>
          <w:szCs w:val="17"/>
          <w:color w:val="333333"/>
        </w:rPr>
        <w:t xml:space="preserve"> day prior to the date of such annual meetng, as originally convened, or the 10</w:t>
      </w:r>
      <w:r>
        <w:rPr>
          <w:rFonts w:ascii="Calibri" w:cs="Calibri" w:eastAsia="Calibri" w:hAnsi="Calibri"/>
          <w:sz w:val="12"/>
          <w:szCs w:val="12"/>
          <w:color w:val="333333"/>
        </w:rPr>
        <w:t>th</w:t>
      </w:r>
      <w:r>
        <w:rPr>
          <w:rFonts w:ascii="Calibri" w:cs="Calibri" w:eastAsia="Calibri" w:hAnsi="Calibri"/>
          <w:sz w:val="17"/>
          <w:szCs w:val="17"/>
          <w:color w:val="333333"/>
        </w:rPr>
        <w:t xml:space="preserve"> day following the day on which public announcement of the date of such meetng is frst made. In the event that the number of directors to be elected to the Board is increased and there is no public announcement of such acton at least 130 days prior to the frst anniversary of the date of the proxy statement for the preceding year’s annual meetng, a shareholder’s notce will also be considered tmely but only with respect to nominees for any new positons created by such increase, if it is delivered to the Corporate Secretary at our principal executve ofce, not</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39</w:t>
      </w:r>
    </w:p>
    <w:p>
      <w:pPr>
        <w:sectPr>
          <w:pgSz w:w="11900" w:h="16838" w:orient="portrait"/>
          <w:cols w:equalWidth="0" w:num="1">
            <w:col w:w="11060"/>
          </w:cols>
          <w:pgMar w:left="320" w:top="478"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later than 5:00 p.m., Eastern Time, on the 10</w:t>
      </w:r>
      <w:r>
        <w:rPr>
          <w:rFonts w:ascii="Calibri" w:cs="Calibri" w:eastAsia="Calibri" w:hAnsi="Calibri"/>
          <w:sz w:val="12"/>
          <w:szCs w:val="12"/>
          <w:color w:val="333333"/>
        </w:rPr>
        <w:t>th</w:t>
      </w:r>
      <w:r>
        <w:rPr>
          <w:rFonts w:ascii="Calibri" w:cs="Calibri" w:eastAsia="Calibri" w:hAnsi="Calibri"/>
          <w:sz w:val="17"/>
          <w:szCs w:val="17"/>
          <w:color w:val="333333"/>
        </w:rPr>
        <w:t xml:space="preserve"> day following the day on which we frst make such public announcement. The postponement or adjournment of an annual meetng (or the public announcement thereof) shall not commence a new tme period (or extend any tme period) for the giving of a shareholder’s notce as described above.</w:t>
      </w:r>
    </w:p>
    <w:p>
      <w:pPr>
        <w:spacing w:after="0" w:line="214"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 xml:space="preserve">You may obtain a copy of our Bylaws, without charge, from our Corporate Secretary at FTI Consultng, Inc., 555 12th Street NW, Suite 700, Washington, D.C. 20004, or by email to </w:t>
      </w:r>
      <w:r>
        <w:rPr>
          <w:rFonts w:ascii="Calibri" w:cs="Calibri" w:eastAsia="Calibri" w:hAnsi="Calibri"/>
          <w:sz w:val="17"/>
          <w:szCs w:val="17"/>
          <w:color w:val="0591DB"/>
        </w:rPr>
        <w:t>AnnualMeetng@ficonsultng.com</w:t>
      </w:r>
      <w:r>
        <w:rPr>
          <w:rFonts w:ascii="Calibri" w:cs="Calibri" w:eastAsia="Calibri" w:hAnsi="Calibri"/>
          <w:sz w:val="17"/>
          <w:szCs w:val="17"/>
          <w:color w:val="333333"/>
        </w:rPr>
        <w:t>. We fled a copy of our Bylaws, adopted on February 20, 2023, with the SEC on February 21, 2023 as an exhibit to our Current Report on Form 8-K dated February 20, 2023. Our Bylaws are incorporated by reference as an exhibit to our 2025 Annual Report fled with the SEC on February 26, 2026.</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COMMUNICATIONS WITH DIRECTORS</w:t>
      </w:r>
    </w:p>
    <w:p>
      <w:pPr>
        <w:spacing w:after="0" w:line="212" w:lineRule="exact"/>
        <w:rPr>
          <w:sz w:val="20"/>
          <w:szCs w:val="20"/>
          <w:color w:val="auto"/>
        </w:rPr>
      </w:pPr>
    </w:p>
    <w:p>
      <w:pPr>
        <w:ind w:left="160" w:right="180"/>
        <w:spacing w:after="0" w:line="233" w:lineRule="auto"/>
        <w:rPr>
          <w:sz w:val="20"/>
          <w:szCs w:val="20"/>
          <w:color w:val="auto"/>
        </w:rPr>
      </w:pPr>
      <w:r>
        <w:rPr>
          <w:rFonts w:ascii="Calibri" w:cs="Calibri" w:eastAsia="Calibri" w:hAnsi="Calibri"/>
          <w:sz w:val="17"/>
          <w:szCs w:val="17"/>
          <w:color w:val="333333"/>
        </w:rPr>
        <w:t>Shareholders, employees and other interested persons may communicate with our Board, the Chairman of the Board, the Lead Independent Director, an individual director or the independent directors as a group, or management by contactng our CRCO, by telephone to Mathew Pachman,</w:t>
      </w:r>
    </w:p>
    <w:p>
      <w:pPr>
        <w:spacing w:after="0" w:line="1"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 xml:space="preserve">at +1.202.312.9100, by mail to his atenton at FTI Consultng, Inc., 555 12th Street NW, Suite 700, Washington, D.C. 20004 or by email to </w:t>
      </w:r>
      <w:r>
        <w:rPr>
          <w:rFonts w:ascii="Calibri" w:cs="Calibri" w:eastAsia="Calibri" w:hAnsi="Calibri"/>
          <w:sz w:val="17"/>
          <w:szCs w:val="17"/>
          <w:color w:val="0591DB"/>
        </w:rPr>
        <w:t>mathew.pachman@ficonsultng.com</w:t>
      </w:r>
      <w:r>
        <w:rPr>
          <w:rFonts w:ascii="Calibri" w:cs="Calibri" w:eastAsia="Calibri" w:hAnsi="Calibri"/>
          <w:sz w:val="17"/>
          <w:szCs w:val="17"/>
          <w:color w:val="333333"/>
        </w:rPr>
        <w:t>. Communicatons directed to the Board, Chairman of the Board, the Lead Independent Director, an individual</w:t>
      </w:r>
      <w:r>
        <w:rPr>
          <w:rFonts w:ascii="Calibri" w:cs="Calibri" w:eastAsia="Calibri" w:hAnsi="Calibri"/>
          <w:sz w:val="17"/>
          <w:szCs w:val="17"/>
          <w:color w:val="0591DB"/>
        </w:rPr>
        <w:t xml:space="preserve"> </w:t>
      </w:r>
      <w:r>
        <w:rPr>
          <w:rFonts w:ascii="Calibri" w:cs="Calibri" w:eastAsia="Calibri" w:hAnsi="Calibri"/>
          <w:sz w:val="17"/>
          <w:szCs w:val="17"/>
          <w:color w:val="333333"/>
        </w:rPr>
        <w:t>director or the independent directors as a group, depending upon the subject mater, will be directed to the Chairman of the Board, the Lead Independent Director, Chair of the Audit Commitee, or Chair of the NCGSR Commitee or other appropriate person who is responsible for overseeing that the concerns expressed are investgated and appropriately addressed. The Company will not flter any such communicatons.</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In additon, shareholders, employees and other interested persons may communicate with our Board, the Chairman of the Board, the Lead Independent Director, an individual director or the independent directors as a group, or management using the FTI Consultng Integrity Hotline, which allows persons to place confdental reports by either telephone or the Internet, without divulging their name or other personal informaton. The reportng website may be accessed from any Internet-enabled computer at </w:t>
      </w:r>
      <w:r>
        <w:rPr>
          <w:rFonts w:ascii="Calibri" w:cs="Calibri" w:eastAsia="Calibri" w:hAnsi="Calibri"/>
          <w:sz w:val="17"/>
          <w:szCs w:val="17"/>
          <w:color w:val="0591DB"/>
        </w:rPr>
        <w:t>www.ficonsultng.ethicspoint.com</w:t>
      </w:r>
      <w:r>
        <w:rPr>
          <w:rFonts w:ascii="Calibri" w:cs="Calibri" w:eastAsia="Calibri" w:hAnsi="Calibri"/>
          <w:sz w:val="17"/>
          <w:szCs w:val="17"/>
          <w:color w:val="333333"/>
        </w:rPr>
        <w:t>. Telephone reports may be placed through the FTI Consultng Integrity Hotline by calling in the U.S. +1.866.294.3576 (toll free). Reports submited through the FTI Consultng Integrity Hotline will be sent to designated recipients within the Company, which includes our CRCO.</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40</w:t>
      </w:r>
    </w:p>
    <w:p>
      <w:pPr>
        <w:sectPr>
          <w:pgSz w:w="11900" w:h="16838" w:orient="portrait"/>
          <w:cols w:equalWidth="0" w:num="1">
            <w:col w:w="11080"/>
          </w:cols>
          <w:pgMar w:left="320" w:top="478"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OTHER PROPOSALS TO BE PRESENTED AT THE ANNUAL MEETING OF SHAREHOLDERS</w:t>
      </w:r>
    </w:p>
    <w:p>
      <w:pPr>
        <w:spacing w:after="0" w:line="215"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In additon to Proposal No. 1 to elect as directors the nominees named in this Proxy Statement, we will present the two additonal proposals described below at the Annual Meetng. We have described in this Proxy Statement all the proposals that we expect to be presented at the Annual Meetng. We do not know of any other maters to come before the Annual Meetng. If, however, any other maters properly come before the Annual Meetng or any postponements or adjournments thereof, it is the intenton of the persons designated as proxies to vote in accordance with their discreton on such maters as permited under applicable law.</w:t>
      </w:r>
    </w:p>
    <w:p>
      <w:pPr>
        <w:spacing w:after="0" w:line="214" w:lineRule="exact"/>
        <w:rPr>
          <w:sz w:val="20"/>
          <w:szCs w:val="20"/>
          <w:color w:val="auto"/>
        </w:rPr>
      </w:pPr>
    </w:p>
    <w:p>
      <w:pPr>
        <w:ind w:left="160" w:right="140"/>
        <w:spacing w:after="0" w:line="233" w:lineRule="auto"/>
        <w:rPr>
          <w:sz w:val="20"/>
          <w:szCs w:val="20"/>
          <w:color w:val="auto"/>
        </w:rPr>
      </w:pPr>
      <w:r>
        <w:rPr>
          <w:rFonts w:ascii="Calibri" w:cs="Calibri" w:eastAsia="Calibri" w:hAnsi="Calibri"/>
          <w:sz w:val="17"/>
          <w:szCs w:val="17"/>
          <w:b w:val="1"/>
          <w:bCs w:val="1"/>
          <w:color w:val="0C3A68"/>
        </w:rPr>
        <w:t>PROPOSAL NO. 2 — RATIFY THE APPOINTMENT OF KPMG LLP AS FTI CONSULTING, INC.’S INDEPENDENT REGISTERED PUBLIC ACCOUNTING FIRM FOR THE YEAR ENDING DECEMBER 31, 2026</w:t>
      </w:r>
    </w:p>
    <w:p>
      <w:pPr>
        <w:spacing w:after="0" w:line="212" w:lineRule="exact"/>
        <w:rPr>
          <w:sz w:val="20"/>
          <w:szCs w:val="20"/>
          <w:color w:val="auto"/>
        </w:rPr>
      </w:pPr>
    </w:p>
    <w:p>
      <w:pPr>
        <w:ind w:left="160" w:right="380"/>
        <w:spacing w:after="0" w:line="232" w:lineRule="auto"/>
        <w:rPr>
          <w:sz w:val="20"/>
          <w:szCs w:val="20"/>
          <w:color w:val="auto"/>
        </w:rPr>
      </w:pPr>
      <w:r>
        <w:rPr>
          <w:rFonts w:ascii="Calibri" w:cs="Calibri" w:eastAsia="Calibri" w:hAnsi="Calibri"/>
          <w:sz w:val="17"/>
          <w:szCs w:val="17"/>
          <w:color w:val="333333"/>
        </w:rPr>
        <w:t>KPMG has served as the Company’s independent registered public accountng frm since 2006. KPMG has confrmed to the Audit Commitee and the Company that it complies with all rules, standards and policies of the Public Company Accountng Oversight Board and the SEC governing auditor independence.</w:t>
      </w:r>
    </w:p>
    <w:p>
      <w:pPr>
        <w:spacing w:after="0" w:line="214" w:lineRule="exact"/>
        <w:rPr>
          <w:sz w:val="20"/>
          <w:szCs w:val="20"/>
          <w:color w:val="auto"/>
        </w:rPr>
      </w:pPr>
    </w:p>
    <w:p>
      <w:pPr>
        <w:ind w:left="160" w:right="100"/>
        <w:spacing w:after="0" w:line="232" w:lineRule="auto"/>
        <w:rPr>
          <w:sz w:val="20"/>
          <w:szCs w:val="20"/>
          <w:color w:val="auto"/>
        </w:rPr>
      </w:pPr>
      <w:r>
        <w:rPr>
          <w:rFonts w:ascii="Calibri" w:cs="Calibri" w:eastAsia="Calibri" w:hAnsi="Calibri"/>
          <w:sz w:val="17"/>
          <w:szCs w:val="17"/>
          <w:color w:val="333333"/>
        </w:rPr>
        <w:t>The Audit Commitee has appointed KPMG as the Company’s independent registered public accountng frm to audit the Company’s books and accounts for the year ending December 31, 2026. We are seeking shareholder ratfcaton of that acton. Although shareholder ratfcaton of the appointment of KPMG is not required, we are submitng the appointment of KPMG for ratfcaton as a mater of good corporate governance. Even if the appointment is ratfed, the Audit Commitee, in its discreton, may appoint an alternatve independent registered public accountng frm if it deems such acton appropriate. If shareholders do not ratfy KPMG’s appointment, the Audit Commitee will take that into consideraton, together with such other factors it deems relevant, in determining whether to contnue KPMG’s engagement as the Company’s independent registered public accountng frm for the year ending December 31, 2026.</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KPMG’s representatve is expected to be present, in person or by conference telephone, at the Annual Meetng, and will have the opportunity to make a statement and to respond to appropriate questons from shareholders. See the secton ttled “Principal Accountant Fees And Services” on </w:t>
      </w:r>
      <w:r>
        <w:rPr>
          <w:rFonts w:ascii="Calibri" w:cs="Calibri" w:eastAsia="Calibri" w:hAnsi="Calibri"/>
          <w:sz w:val="17"/>
          <w:szCs w:val="17"/>
          <w:color w:val="0591DB"/>
        </w:rPr>
        <w:t>page 109</w:t>
      </w:r>
      <w:r>
        <w:rPr>
          <w:rFonts w:ascii="Calibri" w:cs="Calibri" w:eastAsia="Calibri" w:hAnsi="Calibri"/>
          <w:sz w:val="17"/>
          <w:szCs w:val="17"/>
          <w:color w:val="333333"/>
        </w:rPr>
        <w:t xml:space="preserve"> of this Proxy Statement for a descripton of the services provided by, and fees paid to, KPMG for the fscal years ended December 31, 2024 and December 31, 2025 and other maters relatng to the procurement of services.</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b w:val="1"/>
          <w:bCs w:val="1"/>
          <w:i w:val="1"/>
          <w:iCs w:val="1"/>
          <w:color w:val="333333"/>
        </w:rPr>
        <w:t xml:space="preserve">Shareholder Approval Required. </w:t>
      </w:r>
      <w:r>
        <w:rPr>
          <w:rFonts w:ascii="Calibri" w:cs="Calibri" w:eastAsia="Calibri" w:hAnsi="Calibri"/>
          <w:sz w:val="17"/>
          <w:szCs w:val="17"/>
          <w:color w:val="333333"/>
        </w:rPr>
        <w:t>The ratfcaton of the appointment of KPMG as FTI Consultng, Inc.’s independent registered public accountng frm for</w:t>
      </w:r>
      <w:r>
        <w:rPr>
          <w:rFonts w:ascii="Calibri" w:cs="Calibri" w:eastAsia="Calibri" w:hAnsi="Calibri"/>
          <w:sz w:val="17"/>
          <w:szCs w:val="17"/>
          <w:b w:val="1"/>
          <w:bCs w:val="1"/>
          <w:i w:val="1"/>
          <w:iCs w:val="1"/>
          <w:color w:val="333333"/>
        </w:rPr>
        <w:t xml:space="preserve"> </w:t>
      </w:r>
      <w:r>
        <w:rPr>
          <w:rFonts w:ascii="Calibri" w:cs="Calibri" w:eastAsia="Calibri" w:hAnsi="Calibri"/>
          <w:sz w:val="17"/>
          <w:szCs w:val="17"/>
          <w:color w:val="333333"/>
        </w:rPr>
        <w:t>the year ending December 31, 2026 requires a majority of the votes cast at the Annual Meetng on the proposal to be voted “FOR” this proposal. Abstentons will not be counted as votes cast either “FOR” or “AGAINST” Proposal No. 2 and will have no efect on the results of the vote on this proposal.</w:t>
      </w:r>
    </w:p>
    <w:p>
      <w:pPr>
        <w:spacing w:after="0" w:line="209"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b w:val="1"/>
          <w:bCs w:val="1"/>
          <w:color w:val="333333"/>
        </w:rPr>
        <w:t>The Board of Directors Unanimously Recommends That You Vote FOR Proposal No. 2.</w:t>
      </w:r>
    </w:p>
    <w:p>
      <w:pPr>
        <w:spacing w:after="0" w:line="140"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color w:val="333333"/>
        </w:rPr>
        <w:t>41</w:t>
      </w:r>
    </w:p>
    <w:p>
      <w:pPr>
        <w:sectPr>
          <w:pgSz w:w="11900" w:h="16838" w:orient="portrait"/>
          <w:cols w:equalWidth="0" w:num="1">
            <w:col w:w="11000"/>
          </w:cols>
          <w:pgMar w:left="320" w:top="478"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40"/>
        <w:spacing w:after="0" w:line="233" w:lineRule="auto"/>
        <w:rPr>
          <w:sz w:val="20"/>
          <w:szCs w:val="20"/>
          <w:color w:val="auto"/>
        </w:rPr>
      </w:pPr>
      <w:r>
        <w:rPr>
          <w:rFonts w:ascii="Calibri" w:cs="Calibri" w:eastAsia="Calibri" w:hAnsi="Calibri"/>
          <w:sz w:val="17"/>
          <w:szCs w:val="17"/>
          <w:b w:val="1"/>
          <w:bCs w:val="1"/>
          <w:color w:val="0C3A68"/>
        </w:rPr>
        <w:t>PROPOSAL NO. 3 — VOTE ON AN ADVISORY (NON-BINDING) RESOLUTION TO APPROVE THE COMPENSATION OF THE NAMED EXECUTIVE OFFICERS FOR THE YEAR ENDED DECEMBER 31, 2025 AS DESCRIBED IN THE PROXY STATEMENT</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Our shareholders have the opportunity to vote on an advisory (non-binding) resoluton (“say-on-pay”) to approve the compensaton of our NEOs identfed in the secton ttled “Informaton About Our Executve Ofcers And Compensaton — Compensaton Discussion And Analysis — Named Executve Ofcers” for the year ended December 31, 2025 on </w:t>
      </w:r>
      <w:r>
        <w:rPr>
          <w:rFonts w:ascii="Calibri" w:cs="Calibri" w:eastAsia="Calibri" w:hAnsi="Calibri"/>
          <w:sz w:val="17"/>
          <w:szCs w:val="17"/>
          <w:color w:val="0591DB"/>
        </w:rPr>
        <w:t>page 48</w:t>
      </w:r>
      <w:r>
        <w:rPr>
          <w:rFonts w:ascii="Calibri" w:cs="Calibri" w:eastAsia="Calibri" w:hAnsi="Calibri"/>
          <w:sz w:val="17"/>
          <w:szCs w:val="17"/>
          <w:color w:val="333333"/>
        </w:rPr>
        <w:t xml:space="preserve"> of this Proxy Statement. The Compensaton Discussion And Analysis (“CD&amp;A”) beginning on </w:t>
      </w:r>
      <w:r>
        <w:rPr>
          <w:rFonts w:ascii="Calibri" w:cs="Calibri" w:eastAsia="Calibri" w:hAnsi="Calibri"/>
          <w:sz w:val="17"/>
          <w:szCs w:val="17"/>
          <w:color w:val="0591DB"/>
        </w:rPr>
        <w:t>page 49</w:t>
      </w:r>
      <w:r>
        <w:rPr>
          <w:rFonts w:ascii="Calibri" w:cs="Calibri" w:eastAsia="Calibri" w:hAnsi="Calibri"/>
          <w:sz w:val="17"/>
          <w:szCs w:val="17"/>
          <w:color w:val="333333"/>
        </w:rPr>
        <w:t xml:space="preserve"> of this Proxy Statement describes the material elements of our NEO compensaton policies and programs, and the principles and objectves that informed our compensaton decisions, for the year ended December 31, 2025.</w:t>
      </w:r>
    </w:p>
    <w:p>
      <w:pPr>
        <w:spacing w:after="0" w:line="214"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 xml:space="preserve">We conduct contnuous investor engagement and outreach throughout the year. </w:t>
      </w:r>
      <w:r>
        <w:rPr>
          <w:rFonts w:ascii="Calibri" w:cs="Calibri" w:eastAsia="Calibri" w:hAnsi="Calibri"/>
          <w:sz w:val="17"/>
          <w:szCs w:val="17"/>
          <w:color w:val="0591DB"/>
        </w:rPr>
        <w:t>Page 59</w:t>
      </w:r>
      <w:r>
        <w:rPr>
          <w:rFonts w:ascii="Calibri" w:cs="Calibri" w:eastAsia="Calibri" w:hAnsi="Calibri"/>
          <w:sz w:val="17"/>
          <w:szCs w:val="17"/>
          <w:color w:val="333333"/>
        </w:rPr>
        <w:t xml:space="preserve"> of the CD&amp;A describes our 2025 shareholder engagement and outreach, and </w:t>
      </w:r>
      <w:r>
        <w:rPr>
          <w:rFonts w:ascii="Calibri" w:cs="Calibri" w:eastAsia="Calibri" w:hAnsi="Calibri"/>
          <w:sz w:val="17"/>
          <w:szCs w:val="17"/>
          <w:color w:val="0591DB"/>
        </w:rPr>
        <w:t>pages 65</w:t>
      </w:r>
      <w:r>
        <w:rPr>
          <w:rFonts w:ascii="Calibri" w:cs="Calibri" w:eastAsia="Calibri" w:hAnsi="Calibri"/>
          <w:sz w:val="17"/>
          <w:szCs w:val="17"/>
          <w:color w:val="333333"/>
        </w:rPr>
        <w:t xml:space="preserve"> through </w:t>
      </w:r>
      <w:r>
        <w:rPr>
          <w:rFonts w:ascii="Calibri" w:cs="Calibri" w:eastAsia="Calibri" w:hAnsi="Calibri"/>
          <w:sz w:val="17"/>
          <w:szCs w:val="17"/>
          <w:color w:val="0591DB"/>
        </w:rPr>
        <w:t>66</w:t>
      </w:r>
      <w:r>
        <w:rPr>
          <w:rFonts w:ascii="Calibri" w:cs="Calibri" w:eastAsia="Calibri" w:hAnsi="Calibri"/>
          <w:sz w:val="17"/>
          <w:szCs w:val="17"/>
          <w:color w:val="333333"/>
        </w:rPr>
        <w:t xml:space="preserve"> of the CD&amp;A describe the executve compensaton program adopted by our Compensaton Commitee for 2025. In additon, the secton of the CD&amp;A ttled “Informaton About Our Executve Ofcers And Compensaton — Compensaton Discussion And Analysis — What Guides Our Program — How We Make Compensaton Decisions — Role of Peer Companies” beginning on </w:t>
      </w:r>
      <w:r>
        <w:rPr>
          <w:rFonts w:ascii="Calibri" w:cs="Calibri" w:eastAsia="Calibri" w:hAnsi="Calibri"/>
          <w:sz w:val="17"/>
          <w:szCs w:val="17"/>
          <w:color w:val="0591DB"/>
        </w:rPr>
        <w:t>page 63</w:t>
      </w:r>
      <w:r>
        <w:rPr>
          <w:rFonts w:ascii="Calibri" w:cs="Calibri" w:eastAsia="Calibri" w:hAnsi="Calibri"/>
          <w:sz w:val="17"/>
          <w:szCs w:val="17"/>
          <w:color w:val="333333"/>
        </w:rPr>
        <w:t xml:space="preserve"> describes the peer group that we selected for the purpose of considering 2025 NEO compensaton.</w:t>
      </w:r>
    </w:p>
    <w:p>
      <w:pPr>
        <w:spacing w:after="0" w:line="214" w:lineRule="exact"/>
        <w:rPr>
          <w:sz w:val="20"/>
          <w:szCs w:val="20"/>
          <w:color w:val="auto"/>
        </w:rPr>
      </w:pPr>
    </w:p>
    <w:p>
      <w:pPr>
        <w:ind w:left="160" w:right="440"/>
        <w:spacing w:after="0" w:line="232" w:lineRule="auto"/>
        <w:rPr>
          <w:sz w:val="20"/>
          <w:szCs w:val="20"/>
          <w:color w:val="auto"/>
        </w:rPr>
      </w:pPr>
      <w:r>
        <w:rPr>
          <w:rFonts w:ascii="Calibri" w:cs="Calibri" w:eastAsia="Calibri" w:hAnsi="Calibri"/>
          <w:sz w:val="17"/>
          <w:szCs w:val="17"/>
          <w:color w:val="333333"/>
        </w:rPr>
        <w:t>The overall design of our compensaton program has remained consistent year-over-year. When making compensaton decisions for 2025, the Compensaton Commitee considered the signifcant eforts of the NEOs to deliver solid fnancial results, as well as management’s ability to meet the evolving needs of our clients, employees and shareholders. Our NEOs’ 2025 compensaton program has been designed to:</w:t>
      </w:r>
    </w:p>
    <w:p>
      <w:pPr>
        <w:spacing w:after="0" w:line="116" w:lineRule="exact"/>
        <w:rPr>
          <w:sz w:val="20"/>
          <w:szCs w:val="20"/>
          <w:color w:val="auto"/>
        </w:rPr>
      </w:pPr>
    </w:p>
    <w:p>
      <w:pPr>
        <w:ind w:left="1020" w:hanging="318"/>
        <w:spacing w:after="0"/>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PROVIDE </w:t>
      </w:r>
      <w:r>
        <w:rPr>
          <w:rFonts w:ascii="Calibri" w:cs="Calibri" w:eastAsia="Calibri" w:hAnsi="Calibri"/>
          <w:sz w:val="17"/>
          <w:szCs w:val="17"/>
          <w:color w:val="333333"/>
        </w:rPr>
        <w:t>our NEOs with compettve total pay opportunites to retain, motvate and atract talented executve ofcers.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MAINTAIN </w:t>
      </w:r>
      <w:r>
        <w:rPr>
          <w:rFonts w:ascii="Calibri" w:cs="Calibri" w:eastAsia="Calibri" w:hAnsi="Calibri"/>
          <w:sz w:val="17"/>
          <w:szCs w:val="17"/>
          <w:color w:val="333333"/>
        </w:rPr>
        <w:t>contnuity of executve management by delivering opportunites for our CEO and other NEOs to earn compettve compensaton.</w:t>
      </w:r>
    </w:p>
    <w:p>
      <w:pPr>
        <w:spacing w:after="0" w:line="131" w:lineRule="exact"/>
        <w:rPr>
          <w:rFonts w:ascii="MS PGothic" w:cs="MS PGothic" w:eastAsia="MS PGothic" w:hAnsi="MS PGothic"/>
          <w:sz w:val="17"/>
          <w:szCs w:val="17"/>
          <w:color w:val="0591DB"/>
        </w:rPr>
      </w:pPr>
    </w:p>
    <w:p>
      <w:pPr>
        <w:ind w:left="1020" w:right="540" w:hanging="318"/>
        <w:spacing w:after="0" w:line="233" w:lineRule="auto"/>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color w:val="333333"/>
        </w:rPr>
        <w:t xml:space="preserve">Structure our executve compensaton program to </w:t>
      </w:r>
      <w:r>
        <w:rPr>
          <w:rFonts w:ascii="Calibri" w:cs="Calibri" w:eastAsia="Calibri" w:hAnsi="Calibri"/>
          <w:sz w:val="17"/>
          <w:szCs w:val="17"/>
          <w:b w:val="1"/>
          <w:bCs w:val="1"/>
          <w:color w:val="333333"/>
        </w:rPr>
        <w:t>ALIGN THE INTERESTS</w:t>
      </w:r>
      <w:r>
        <w:rPr>
          <w:rFonts w:ascii="Calibri" w:cs="Calibri" w:eastAsia="Calibri" w:hAnsi="Calibri"/>
          <w:sz w:val="17"/>
          <w:szCs w:val="17"/>
          <w:color w:val="333333"/>
        </w:rPr>
        <w:t xml:space="preserve"> of our CEO and other NEOs with those of our </w:t>
      </w:r>
      <w:r>
        <w:rPr>
          <w:rFonts w:ascii="Calibri" w:cs="Calibri" w:eastAsia="Calibri" w:hAnsi="Calibri"/>
          <w:sz w:val="17"/>
          <w:szCs w:val="17"/>
          <w:b w:val="1"/>
          <w:bCs w:val="1"/>
          <w:color w:val="333333"/>
        </w:rPr>
        <w:t>shareholders</w:t>
      </w:r>
      <w:r>
        <w:rPr>
          <w:rFonts w:ascii="Calibri" w:cs="Calibri" w:eastAsia="Calibri" w:hAnsi="Calibri"/>
          <w:sz w:val="17"/>
          <w:szCs w:val="17"/>
          <w:color w:val="333333"/>
        </w:rPr>
        <w:t xml:space="preserve"> by encouraging solid corporate growth and the prudent management of risks and rewards.</w:t>
      </w:r>
    </w:p>
    <w:p>
      <w:pPr>
        <w:spacing w:after="0" w:line="118" w:lineRule="exact"/>
        <w:rPr>
          <w:rFonts w:ascii="MS PGothic" w:cs="MS PGothic" w:eastAsia="MS PGothic" w:hAnsi="MS PGothic"/>
          <w:sz w:val="17"/>
          <w:szCs w:val="17"/>
          <w:color w:val="0591DB"/>
        </w:rPr>
      </w:pPr>
    </w:p>
    <w:p>
      <w:pPr>
        <w:ind w:left="1020" w:right="140" w:hanging="318"/>
        <w:spacing w:after="0" w:line="233" w:lineRule="auto"/>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BALANCE </w:t>
      </w:r>
      <w:r>
        <w:rPr>
          <w:rFonts w:ascii="Calibri" w:cs="Calibri" w:eastAsia="Calibri" w:hAnsi="Calibri"/>
          <w:sz w:val="17"/>
          <w:szCs w:val="17"/>
          <w:color w:val="333333"/>
        </w:rPr>
        <w:t>the emphasis on short-term and long-term compensaton opportunites, focusing on the atainment of fnancial and strategic goals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that contribute to the creaton of shareholder value.</w:t>
      </w:r>
    </w:p>
    <w:p>
      <w:pPr>
        <w:spacing w:after="0" w:line="118" w:lineRule="exact"/>
        <w:rPr>
          <w:rFonts w:ascii="MS PGothic" w:cs="MS PGothic" w:eastAsia="MS PGothic" w:hAnsi="MS PGothic"/>
          <w:sz w:val="17"/>
          <w:szCs w:val="17"/>
          <w:color w:val="0591DB"/>
        </w:rPr>
      </w:pPr>
    </w:p>
    <w:p>
      <w:pPr>
        <w:ind w:left="1020" w:right="20" w:hanging="318"/>
        <w:spacing w:after="0" w:line="233" w:lineRule="auto"/>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color w:val="333333"/>
        </w:rPr>
        <w:t xml:space="preserve">Place a signifcant percentage of each NEO’s total compensaton opportunity </w:t>
      </w:r>
      <w:r>
        <w:rPr>
          <w:rFonts w:ascii="Calibri" w:cs="Calibri" w:eastAsia="Calibri" w:hAnsi="Calibri"/>
          <w:sz w:val="17"/>
          <w:szCs w:val="17"/>
          <w:b w:val="1"/>
          <w:bCs w:val="1"/>
          <w:color w:val="333333"/>
        </w:rPr>
        <w:t>AT-RISK</w:t>
      </w:r>
      <w:r>
        <w:rPr>
          <w:rFonts w:ascii="Calibri" w:cs="Calibri" w:eastAsia="Calibri" w:hAnsi="Calibri"/>
          <w:sz w:val="17"/>
          <w:szCs w:val="17"/>
          <w:color w:val="333333"/>
        </w:rPr>
        <w:t xml:space="preserve"> and subject to the atainment of fnancial goals that drive or measure the creaton of shareholder value.</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color w:val="333333"/>
        </w:rPr>
        <w:t>Pay-for-</w:t>
      </w:r>
      <w:r>
        <w:rPr>
          <w:rFonts w:ascii="Calibri" w:cs="Calibri" w:eastAsia="Calibri" w:hAnsi="Calibri"/>
          <w:sz w:val="17"/>
          <w:szCs w:val="17"/>
          <w:b w:val="1"/>
          <w:bCs w:val="1"/>
          <w:color w:val="333333"/>
        </w:rPr>
        <w:t>PERFORMANCE</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color w:val="333333"/>
        </w:rPr>
        <w:t xml:space="preserve">Manage our executve compensaton program </w:t>
      </w:r>
      <w:r>
        <w:rPr>
          <w:rFonts w:ascii="Calibri" w:cs="Calibri" w:eastAsia="Calibri" w:hAnsi="Calibri"/>
          <w:sz w:val="17"/>
          <w:szCs w:val="17"/>
          <w:b w:val="1"/>
          <w:bCs w:val="1"/>
          <w:color w:val="333333"/>
        </w:rPr>
        <w:t>CONSISTENTLY</w:t>
      </w:r>
      <w:r>
        <w:rPr>
          <w:rFonts w:ascii="Calibri" w:cs="Calibri" w:eastAsia="Calibri" w:hAnsi="Calibri"/>
          <w:sz w:val="17"/>
          <w:szCs w:val="17"/>
          <w:color w:val="333333"/>
        </w:rPr>
        <w:t xml:space="preserve"> among our CEO and other partcipatng NEOs.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1"/>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LIMIT </w:t>
      </w:r>
      <w:r>
        <w:rPr>
          <w:rFonts w:ascii="Calibri" w:cs="Calibri" w:eastAsia="Calibri" w:hAnsi="Calibri"/>
          <w:sz w:val="17"/>
          <w:szCs w:val="17"/>
          <w:color w:val="333333"/>
        </w:rPr>
        <w:t>perquisites and other non-performance-based enttlements.</w:t>
      </w:r>
    </w:p>
    <w:p>
      <w:pPr>
        <w:spacing w:after="0" w:line="225" w:lineRule="exact"/>
        <w:rPr>
          <w:sz w:val="20"/>
          <w:szCs w:val="20"/>
          <w:color w:val="auto"/>
        </w:rPr>
      </w:pPr>
    </w:p>
    <w:p>
      <w:pPr>
        <w:ind w:left="160" w:right="160"/>
        <w:spacing w:after="0" w:line="233" w:lineRule="auto"/>
        <w:rPr>
          <w:sz w:val="20"/>
          <w:szCs w:val="20"/>
          <w:color w:val="auto"/>
        </w:rPr>
      </w:pPr>
      <w:r>
        <w:rPr>
          <w:rFonts w:ascii="Calibri" w:cs="Calibri" w:eastAsia="Calibri" w:hAnsi="Calibri"/>
          <w:sz w:val="17"/>
          <w:szCs w:val="17"/>
          <w:color w:val="333333"/>
        </w:rPr>
        <w:t>The say-on-pay vote is not intended to address any specifc item of compensaton but rather the overall compensaton of our NEOs for 2025 as described in the Proxy Statement for the Annual Meetng.</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42</w:t>
      </w:r>
    </w:p>
    <w:p>
      <w:pPr>
        <w:sectPr>
          <w:pgSz w:w="11900" w:h="16838" w:orient="portrait"/>
          <w:cols w:equalWidth="0" w:num="1">
            <w:col w:w="11080"/>
          </w:cols>
          <w:pgMar w:left="320" w:top="478"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The say-on-pay vote being presented pursuant to Secton 14A of the Exchange Act is advisory and not binding on the Company, the Compensaton Commitee or the Board. Although the vote is non-binding, the Commitee will review the votng results in connecton with its ongoing evaluaton of the Company’s executve compensaton program, principles and objectves. At the 2023 Annual Meetng, our shareholders voted to have a say-on-pay vote each year. Accordingly, we intend to seek the advisory vote of our shareholders on say-on-pay annually.</w:t>
      </w:r>
    </w:p>
    <w:p>
      <w:pPr>
        <w:spacing w:after="0" w:line="214" w:lineRule="exact"/>
        <w:rPr>
          <w:sz w:val="20"/>
          <w:szCs w:val="20"/>
          <w:color w:val="auto"/>
        </w:rPr>
      </w:pPr>
    </w:p>
    <w:p>
      <w:pPr>
        <w:jc w:val="both"/>
        <w:ind w:left="160" w:right="120"/>
        <w:spacing w:after="0" w:line="232" w:lineRule="auto"/>
        <w:rPr>
          <w:sz w:val="20"/>
          <w:szCs w:val="20"/>
          <w:color w:val="auto"/>
        </w:rPr>
      </w:pPr>
      <w:r>
        <w:rPr>
          <w:rFonts w:ascii="Calibri" w:cs="Calibri" w:eastAsia="Calibri" w:hAnsi="Calibri"/>
          <w:sz w:val="17"/>
          <w:szCs w:val="17"/>
          <w:color w:val="333333"/>
        </w:rPr>
        <w:t>We believe that the informaton provided in this Proxy Statement demonstrates our commitment and the commitment of our Compensaton Commitee to our pay-for-performance philosophy. The Board recommends that you approve the 2025 compensaton of our NEOs for the year ended December 31, 2025 as described in the Proxy Statement by approving the following advisory (non-binding) resoluton:</w:t>
      </w:r>
    </w:p>
    <w:p>
      <w:pPr>
        <w:spacing w:after="0" w:line="214" w:lineRule="exact"/>
        <w:rPr>
          <w:sz w:val="20"/>
          <w:szCs w:val="20"/>
          <w:color w:val="auto"/>
        </w:rPr>
      </w:pPr>
    </w:p>
    <w:p>
      <w:pPr>
        <w:jc w:val="center"/>
        <w:ind w:left="540" w:right="60"/>
        <w:spacing w:after="0" w:line="233" w:lineRule="auto"/>
        <w:rPr>
          <w:sz w:val="20"/>
          <w:szCs w:val="20"/>
          <w:color w:val="auto"/>
        </w:rPr>
      </w:pPr>
      <w:r>
        <w:rPr>
          <w:rFonts w:ascii="Calibri" w:cs="Calibri" w:eastAsia="Calibri" w:hAnsi="Calibri"/>
          <w:sz w:val="17"/>
          <w:szCs w:val="17"/>
          <w:b w:val="1"/>
          <w:bCs w:val="1"/>
          <w:color w:val="333333"/>
        </w:rPr>
        <w:t>“RESOLVED, that the shareholders approve, on an advisory (non-binding) basis, the compensaton of the Company’s named executve ofcers for the year ended December 31, 2025 as described in the Proxy Statement for the Annual Meetng.”</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b w:val="1"/>
          <w:bCs w:val="1"/>
          <w:i w:val="1"/>
          <w:iCs w:val="1"/>
          <w:color w:val="333333"/>
        </w:rPr>
        <w:t xml:space="preserve">Shareholder Approval Required. </w:t>
      </w:r>
      <w:r>
        <w:rPr>
          <w:rFonts w:ascii="Calibri" w:cs="Calibri" w:eastAsia="Calibri" w:hAnsi="Calibri"/>
          <w:sz w:val="17"/>
          <w:szCs w:val="17"/>
          <w:color w:val="333333"/>
        </w:rPr>
        <w:t>The approval of the advisory (non-binding) resoluton approving the compensaton of our NEOs for the year ended</w:t>
      </w:r>
      <w:r>
        <w:rPr>
          <w:rFonts w:ascii="Calibri" w:cs="Calibri" w:eastAsia="Calibri" w:hAnsi="Calibri"/>
          <w:sz w:val="17"/>
          <w:szCs w:val="17"/>
          <w:b w:val="1"/>
          <w:bCs w:val="1"/>
          <w:i w:val="1"/>
          <w:iCs w:val="1"/>
          <w:color w:val="333333"/>
        </w:rPr>
        <w:t xml:space="preserve"> </w:t>
      </w:r>
      <w:r>
        <w:rPr>
          <w:rFonts w:ascii="Calibri" w:cs="Calibri" w:eastAsia="Calibri" w:hAnsi="Calibri"/>
          <w:sz w:val="17"/>
          <w:szCs w:val="17"/>
          <w:color w:val="333333"/>
        </w:rPr>
        <w:t>December 31, 2025 as described in this Proxy Statement requires a majority of the votes cast on this proposal at the Annual Meetng to be voted “FOR” this proposal. Any abstentons and broker non-votes will not be counted as votes cast either “FOR” or “AGAINST” Proposal No. 3 and will have no efect on the results of the vote on this proposal.</w:t>
      </w:r>
    </w:p>
    <w:p>
      <w:pPr>
        <w:spacing w:after="0" w:line="209"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b w:val="1"/>
          <w:bCs w:val="1"/>
          <w:color w:val="333333"/>
        </w:rPr>
        <w:t>The Board of Directors Unanimously Recommends That You Vote FOR Proposal No. 3.</w:t>
      </w:r>
    </w:p>
    <w:p>
      <w:pPr>
        <w:spacing w:after="0" w:line="140"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color w:val="333333"/>
        </w:rPr>
        <w:t>43</w:t>
      </w:r>
    </w:p>
    <w:p>
      <w:pPr>
        <w:sectPr>
          <w:pgSz w:w="11900" w:h="16838" w:orient="portrait"/>
          <w:cols w:equalWidth="0" w:num="1">
            <w:col w:w="11020"/>
          </w:cols>
          <w:pgMar w:left="320" w:top="478"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SECURITY OWNERSHIP OF CERTAIN BENEFICIAL OWNERS AND MANAGEMENT</w:t>
      </w:r>
    </w:p>
    <w:p>
      <w:pPr>
        <w:spacing w:after="0" w:line="215" w:lineRule="exact"/>
        <w:rPr>
          <w:sz w:val="20"/>
          <w:szCs w:val="20"/>
          <w:color w:val="auto"/>
        </w:rPr>
      </w:pPr>
    </w:p>
    <w:p>
      <w:pPr>
        <w:ind w:left="160" w:right="40"/>
        <w:spacing w:after="0" w:line="233" w:lineRule="auto"/>
        <w:rPr>
          <w:sz w:val="20"/>
          <w:szCs w:val="20"/>
          <w:color w:val="auto"/>
        </w:rPr>
      </w:pPr>
      <w:r>
        <w:rPr>
          <w:rFonts w:ascii="Calibri" w:cs="Calibri" w:eastAsia="Calibri" w:hAnsi="Calibri"/>
          <w:sz w:val="17"/>
          <w:szCs w:val="17"/>
          <w:color w:val="333333"/>
        </w:rPr>
        <w:t>There were 30,118,488 shares of our Common Stock issued and outstanding as of the close of business on the Record Date. The following table shows the benefcial ownership of our Common Stock by:</w:t>
      </w:r>
    </w:p>
    <w:p>
      <w:pPr>
        <w:spacing w:after="0" w:line="114" w:lineRule="exact"/>
        <w:rPr>
          <w:sz w:val="20"/>
          <w:szCs w:val="20"/>
          <w:color w:val="auto"/>
        </w:rPr>
      </w:pPr>
    </w:p>
    <w:p>
      <w:pPr>
        <w:ind w:left="1020" w:hanging="318"/>
        <w:spacing w:after="0"/>
        <w:tabs>
          <w:tab w:leader="none" w:pos="1020" w:val="left"/>
        </w:tabs>
        <w:numPr>
          <w:ilvl w:val="0"/>
          <w:numId w:val="62"/>
        </w:numPr>
        <w:rPr>
          <w:rFonts w:ascii="MS PGothic" w:cs="MS PGothic" w:eastAsia="MS PGothic" w:hAnsi="MS PGothic"/>
          <w:sz w:val="17"/>
          <w:szCs w:val="17"/>
          <w:color w:val="0591DB"/>
        </w:rPr>
      </w:pPr>
      <w:r>
        <w:rPr>
          <w:rFonts w:ascii="Calibri" w:cs="Calibri" w:eastAsia="Calibri" w:hAnsi="Calibri"/>
          <w:sz w:val="17"/>
          <w:szCs w:val="17"/>
          <w:color w:val="333333"/>
        </w:rPr>
        <w:t>each of the NEOs named in this Proxy Statement;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2"/>
        </w:numPr>
        <w:rPr>
          <w:rFonts w:ascii="MS PGothic" w:cs="MS PGothic" w:eastAsia="MS PGothic" w:hAnsi="MS PGothic"/>
          <w:sz w:val="17"/>
          <w:szCs w:val="17"/>
          <w:color w:val="0591DB"/>
        </w:rPr>
      </w:pPr>
      <w:r>
        <w:rPr>
          <w:rFonts w:ascii="Calibri" w:cs="Calibri" w:eastAsia="Calibri" w:hAnsi="Calibri"/>
          <w:sz w:val="17"/>
          <w:szCs w:val="17"/>
          <w:color w:val="333333"/>
        </w:rPr>
        <w:t>each person known by us to own benefcially more than 5% of our outstanding shares of Common Stock;</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2"/>
        </w:numPr>
        <w:rPr>
          <w:rFonts w:ascii="MS PGothic" w:cs="MS PGothic" w:eastAsia="MS PGothic" w:hAnsi="MS PGothic"/>
          <w:sz w:val="17"/>
          <w:szCs w:val="17"/>
          <w:color w:val="0591DB"/>
        </w:rPr>
      </w:pPr>
      <w:r>
        <w:rPr>
          <w:rFonts w:ascii="Calibri" w:cs="Calibri" w:eastAsia="Calibri" w:hAnsi="Calibri"/>
          <w:sz w:val="17"/>
          <w:szCs w:val="17"/>
          <w:color w:val="333333"/>
        </w:rPr>
        <w:t>each of our directors and director nominees; and</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2"/>
        </w:numPr>
        <w:rPr>
          <w:rFonts w:ascii="MS PGothic" w:cs="MS PGothic" w:eastAsia="MS PGothic" w:hAnsi="MS PGothic"/>
          <w:sz w:val="17"/>
          <w:szCs w:val="17"/>
          <w:color w:val="0591DB"/>
        </w:rPr>
      </w:pPr>
      <w:r>
        <w:rPr>
          <w:rFonts w:ascii="Calibri" w:cs="Calibri" w:eastAsia="Calibri" w:hAnsi="Calibri"/>
          <w:sz w:val="17"/>
          <w:szCs w:val="17"/>
          <w:color w:val="333333"/>
        </w:rPr>
        <w:t>all of our current executve ofcers and directors as a group.</w:t>
      </w:r>
    </w:p>
    <w:p>
      <w:pPr>
        <w:spacing w:after="0" w:line="225"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For the executve ofcers, directors and director nominees, the benefcial ownership informaton is presented as of the close of business on the Record Date, except as otherwise noted. For the shareholders who own benefcially more than 5% of our outstanding shares of Common Stock, the informaton is presented as of the date of the most recent Schedule 13G/A fled by each such shareholder with the SEC as of the date of this Proxy Statement.</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amounts and percentages of shares of Common Stock benefcially owned are reported on the basis of SEC regulatons governing the determinaton of benefcial ownership of securites. Under SEC rules, a person is deemed to be a “benefcial owner” of a security if that person has or shares votng power or investment power, which includes the power to dispose of or to direct the dispositon of such security. A person is also deemed to be a benefcial owner of any securites with respect to which that person has a right to acquire benefcial ownership within 60 days. Securites that can be so acquired are deemed to be outstanding for purposes of computng such person’s ownership percentage but not for purposes of computng any other person’s percentage. Under these rules, more than one person may be deemed to be a benefcial owner of the same securites, and a person may be deemed to be a benefcial owner of securites as to which such person has no economic interest. Except as otherwise indicated in the footnotes to this table, each of the benefcial owners listed has, to our knowledge, sole votng and investment power with respect to the indicated shares of Common Stock and has not pledged any of our securites to secure or serve as collateral for any indebtedness or other obligatons.</w:t>
      </w:r>
    </w:p>
    <w:p>
      <w:pPr>
        <w:spacing w:after="0" w:line="143"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44</w:t>
      </w:r>
    </w:p>
    <w:p>
      <w:pPr>
        <w:sectPr>
          <w:pgSz w:w="11900" w:h="16838" w:orient="portrait"/>
          <w:cols w:equalWidth="0" w:num="1">
            <w:col w:w="11040"/>
          </w:cols>
          <w:pgMar w:left="320" w:top="478"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2960" w:type="dxa"/>
            <w:vAlign w:val="bottom"/>
            <w:tcBorders>
              <w:top w:val="single" w:sz="8" w:color="0591DB"/>
              <w:left w:val="single" w:sz="8" w:color="0591DB"/>
              <w:right w:val="single" w:sz="8" w:color="0591DB"/>
            </w:tcBorders>
          </w:tcPr>
          <w:p>
            <w:pPr>
              <w:spacing w:after="0"/>
              <w:rPr>
                <w:sz w:val="19"/>
                <w:szCs w:val="19"/>
                <w:color w:val="auto"/>
              </w:rPr>
            </w:pPr>
          </w:p>
        </w:tc>
        <w:tc>
          <w:tcPr>
            <w:tcW w:w="1540" w:type="dxa"/>
            <w:vAlign w:val="bottom"/>
            <w:tcBorders>
              <w:top w:val="single" w:sz="8" w:color="0591DB"/>
              <w:right w:val="single" w:sz="8" w:color="0591DB"/>
            </w:tcBorders>
          </w:tcPr>
          <w:p>
            <w:pPr>
              <w:spacing w:after="0"/>
              <w:rPr>
                <w:sz w:val="19"/>
                <w:szCs w:val="19"/>
                <w:color w:val="auto"/>
              </w:rPr>
            </w:pPr>
          </w:p>
        </w:tc>
        <w:tc>
          <w:tcPr>
            <w:tcW w:w="152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5"/>
              </w:rPr>
              <w:t>UNVESTED</w:t>
            </w:r>
          </w:p>
        </w:tc>
        <w:tc>
          <w:tcPr>
            <w:tcW w:w="1640" w:type="dxa"/>
            <w:vAlign w:val="bottom"/>
            <w:tcBorders>
              <w:top w:val="single" w:sz="8" w:color="0591DB"/>
              <w:right w:val="single" w:sz="8" w:color="0591DB"/>
            </w:tcBorders>
          </w:tcPr>
          <w:p>
            <w:pPr>
              <w:spacing w:after="0"/>
              <w:rPr>
                <w:sz w:val="19"/>
                <w:szCs w:val="19"/>
                <w:color w:val="auto"/>
              </w:rPr>
            </w:pPr>
          </w:p>
        </w:tc>
        <w:tc>
          <w:tcPr>
            <w:tcW w:w="1640" w:type="dxa"/>
            <w:vAlign w:val="bottom"/>
            <w:tcBorders>
              <w:top w:val="single" w:sz="8" w:color="0591DB"/>
              <w:right w:val="single" w:sz="8" w:color="0591DB"/>
            </w:tcBorders>
          </w:tcPr>
          <w:p>
            <w:pPr>
              <w:spacing w:after="0"/>
              <w:rPr>
                <w:sz w:val="19"/>
                <w:szCs w:val="19"/>
                <w:color w:val="auto"/>
              </w:rPr>
            </w:pPr>
          </w:p>
        </w:tc>
        <w:tc>
          <w:tcPr>
            <w:tcW w:w="162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shd w:val="clear" w:color="auto" w:fill="0591DB"/>
          </w:tcPr>
          <w:p>
            <w:pPr>
              <w:spacing w:after="0"/>
              <w:rPr>
                <w:sz w:val="19"/>
                <w:szCs w:val="19"/>
                <w:color w:val="auto"/>
              </w:rPr>
            </w:pPr>
          </w:p>
        </w:tc>
      </w:tr>
      <w:tr>
        <w:trPr>
          <w:trHeight w:val="241"/>
        </w:trPr>
        <w:tc>
          <w:tcPr>
            <w:tcW w:w="2960" w:type="dxa"/>
            <w:vAlign w:val="bottom"/>
            <w:tcBorders>
              <w:left w:val="single" w:sz="8" w:color="0591DB"/>
              <w:right w:val="single" w:sz="8" w:color="0591DB"/>
            </w:tcBorders>
          </w:tcPr>
          <w:p>
            <w:pPr>
              <w:spacing w:after="0"/>
              <w:rPr>
                <w:sz w:val="20"/>
                <w:szCs w:val="20"/>
                <w:color w:val="auto"/>
              </w:rPr>
            </w:pPr>
          </w:p>
        </w:tc>
        <w:tc>
          <w:tcPr>
            <w:tcW w:w="1540" w:type="dxa"/>
            <w:vAlign w:val="bottom"/>
            <w:tcBorders>
              <w:right w:val="single" w:sz="8" w:color="0591DB"/>
            </w:tcBorders>
          </w:tcPr>
          <w:p>
            <w:pPr>
              <w:spacing w:after="0"/>
              <w:rPr>
                <w:sz w:val="20"/>
                <w:szCs w:val="20"/>
                <w:color w:val="auto"/>
              </w:rPr>
            </w:pPr>
          </w:p>
        </w:tc>
        <w:tc>
          <w:tcPr>
            <w:tcW w:w="15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RESTRICTED</w:t>
            </w:r>
          </w:p>
        </w:tc>
        <w:tc>
          <w:tcPr>
            <w:tcW w:w="1640" w:type="dxa"/>
            <w:vAlign w:val="bottom"/>
            <w:tcBorders>
              <w:right w:val="single" w:sz="8" w:color="0591DB"/>
            </w:tcBorders>
          </w:tcPr>
          <w:p>
            <w:pPr>
              <w:spacing w:after="0"/>
              <w:rPr>
                <w:sz w:val="20"/>
                <w:szCs w:val="20"/>
                <w:color w:val="auto"/>
              </w:rPr>
            </w:pPr>
          </w:p>
        </w:tc>
        <w:tc>
          <w:tcPr>
            <w:tcW w:w="1640" w:type="dxa"/>
            <w:vAlign w:val="bottom"/>
            <w:tcBorders>
              <w:right w:val="single" w:sz="8" w:color="0591DB"/>
            </w:tcBorders>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r>
      <w:tr>
        <w:trPr>
          <w:trHeight w:val="241"/>
        </w:trPr>
        <w:tc>
          <w:tcPr>
            <w:tcW w:w="2960" w:type="dxa"/>
            <w:vAlign w:val="bottom"/>
            <w:tcBorders>
              <w:left w:val="single" w:sz="8" w:color="0591DB"/>
              <w:right w:val="single" w:sz="8" w:color="0591DB"/>
            </w:tcBorders>
          </w:tcPr>
          <w:p>
            <w:pPr>
              <w:spacing w:after="0"/>
              <w:rPr>
                <w:sz w:val="20"/>
                <w:szCs w:val="20"/>
                <w:color w:val="auto"/>
              </w:rPr>
            </w:pP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NUMBER OF</w:t>
            </w:r>
          </w:p>
        </w:tc>
        <w:tc>
          <w:tcPr>
            <w:tcW w:w="15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7"/>
              </w:rPr>
              <w:t>SHARES</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7"/>
              </w:rPr>
              <w:t>SHARES</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1"/>
              </w:rPr>
              <w:t>TOTAL</w:t>
            </w:r>
          </w:p>
        </w:tc>
        <w:tc>
          <w:tcPr>
            <w:tcW w:w="1620" w:type="dxa"/>
            <w:vAlign w:val="bottom"/>
          </w:tcPr>
          <w:p>
            <w:pPr>
              <w:jc w:val="center"/>
              <w:spacing w:after="0" w:line="241" w:lineRule="exact"/>
              <w:rPr>
                <w:sz w:val="20"/>
                <w:szCs w:val="20"/>
                <w:color w:val="auto"/>
              </w:rPr>
            </w:pPr>
            <w:r>
              <w:rPr>
                <w:rFonts w:ascii="Calibri" w:cs="Calibri" w:eastAsia="Calibri" w:hAnsi="Calibri"/>
                <w:sz w:val="21"/>
                <w:szCs w:val="21"/>
                <w:b w:val="1"/>
                <w:bCs w:val="1"/>
                <w:color w:val="0591DB"/>
                <w:w w:val="93"/>
              </w:rPr>
              <w:t>PERCENTAGE</w:t>
            </w:r>
          </w:p>
        </w:tc>
        <w:tc>
          <w:tcPr>
            <w:tcW w:w="20" w:type="dxa"/>
            <w:vAlign w:val="bottom"/>
            <w:shd w:val="clear" w:color="auto" w:fill="0591DB"/>
          </w:tcPr>
          <w:p>
            <w:pPr>
              <w:spacing w:after="0"/>
              <w:rPr>
                <w:sz w:val="20"/>
                <w:szCs w:val="20"/>
                <w:color w:val="auto"/>
              </w:rPr>
            </w:pPr>
          </w:p>
        </w:tc>
      </w:tr>
      <w:tr>
        <w:trPr>
          <w:trHeight w:val="241"/>
        </w:trPr>
        <w:tc>
          <w:tcPr>
            <w:tcW w:w="2960" w:type="dxa"/>
            <w:vAlign w:val="bottom"/>
            <w:tcBorders>
              <w:left w:val="single" w:sz="8" w:color="0591DB"/>
              <w:right w:val="single" w:sz="8" w:color="0591DB"/>
            </w:tcBorders>
          </w:tcPr>
          <w:p>
            <w:pPr>
              <w:spacing w:after="0"/>
              <w:rPr>
                <w:sz w:val="20"/>
                <w:szCs w:val="20"/>
                <w:color w:val="auto"/>
              </w:rPr>
            </w:pP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COMMON</w:t>
            </w:r>
          </w:p>
        </w:tc>
        <w:tc>
          <w:tcPr>
            <w:tcW w:w="15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VESTING</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UNDERLYING</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SHARES</w:t>
            </w:r>
          </w:p>
        </w:tc>
        <w:tc>
          <w:tcPr>
            <w:tcW w:w="1620" w:type="dxa"/>
            <w:vAlign w:val="bottom"/>
          </w:tcPr>
          <w:p>
            <w:pPr>
              <w:jc w:val="center"/>
              <w:spacing w:after="0" w:line="241" w:lineRule="exact"/>
              <w:rPr>
                <w:sz w:val="20"/>
                <w:szCs w:val="20"/>
                <w:color w:val="auto"/>
              </w:rPr>
            </w:pPr>
            <w:r>
              <w:rPr>
                <w:rFonts w:ascii="Calibri" w:cs="Calibri" w:eastAsia="Calibri" w:hAnsi="Calibri"/>
                <w:sz w:val="21"/>
                <w:szCs w:val="21"/>
                <w:b w:val="1"/>
                <w:bCs w:val="1"/>
                <w:color w:val="0591DB"/>
                <w:w w:val="95"/>
              </w:rPr>
              <w:t>OF SHARES</w:t>
            </w:r>
          </w:p>
        </w:tc>
        <w:tc>
          <w:tcPr>
            <w:tcW w:w="20" w:type="dxa"/>
            <w:vAlign w:val="bottom"/>
            <w:shd w:val="clear" w:color="auto" w:fill="0591DB"/>
          </w:tcPr>
          <w:p>
            <w:pPr>
              <w:spacing w:after="0"/>
              <w:rPr>
                <w:sz w:val="20"/>
                <w:szCs w:val="20"/>
                <w:color w:val="auto"/>
              </w:rPr>
            </w:pPr>
          </w:p>
        </w:tc>
      </w:tr>
      <w:tr>
        <w:trPr>
          <w:trHeight w:val="241"/>
        </w:trPr>
        <w:tc>
          <w:tcPr>
            <w:tcW w:w="2960" w:type="dxa"/>
            <w:vAlign w:val="bottom"/>
            <w:tcBorders>
              <w:left w:val="single" w:sz="8" w:color="0591DB"/>
              <w:right w:val="single" w:sz="8" w:color="0591DB"/>
            </w:tcBorders>
          </w:tcPr>
          <w:p>
            <w:pPr>
              <w:ind w:left="160"/>
              <w:spacing w:after="0" w:line="241" w:lineRule="exact"/>
              <w:rPr>
                <w:sz w:val="20"/>
                <w:szCs w:val="20"/>
                <w:color w:val="auto"/>
              </w:rPr>
            </w:pPr>
            <w:r>
              <w:rPr>
                <w:rFonts w:ascii="Calibri" w:cs="Calibri" w:eastAsia="Calibri" w:hAnsi="Calibri"/>
                <w:sz w:val="21"/>
                <w:szCs w:val="21"/>
                <w:b w:val="1"/>
                <w:bCs w:val="1"/>
                <w:color w:val="0591DB"/>
              </w:rPr>
              <w:t>NAME OF BENEFICIAL</w:t>
            </w: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7"/>
              </w:rPr>
              <w:t>SHARES</w:t>
            </w:r>
          </w:p>
        </w:tc>
        <w:tc>
          <w:tcPr>
            <w:tcW w:w="15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WITHIN 60</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OPTIONS</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3"/>
              </w:rPr>
              <w:t>BENEFICIALLY</w:t>
            </w:r>
          </w:p>
        </w:tc>
        <w:tc>
          <w:tcPr>
            <w:tcW w:w="1620" w:type="dxa"/>
            <w:vAlign w:val="bottom"/>
          </w:tcPr>
          <w:p>
            <w:pPr>
              <w:jc w:val="center"/>
              <w:spacing w:after="0" w:line="241" w:lineRule="exact"/>
              <w:rPr>
                <w:sz w:val="20"/>
                <w:szCs w:val="20"/>
                <w:color w:val="auto"/>
              </w:rPr>
            </w:pPr>
            <w:r>
              <w:rPr>
                <w:rFonts w:ascii="Calibri" w:cs="Calibri" w:eastAsia="Calibri" w:hAnsi="Calibri"/>
                <w:sz w:val="21"/>
                <w:szCs w:val="21"/>
                <w:b w:val="1"/>
                <w:bCs w:val="1"/>
                <w:color w:val="0591DB"/>
                <w:w w:val="93"/>
              </w:rPr>
              <w:t>BENEFICIALLY</w:t>
            </w:r>
          </w:p>
        </w:tc>
        <w:tc>
          <w:tcPr>
            <w:tcW w:w="20" w:type="dxa"/>
            <w:vAlign w:val="bottom"/>
            <w:shd w:val="clear" w:color="auto" w:fill="0591DB"/>
          </w:tcPr>
          <w:p>
            <w:pPr>
              <w:spacing w:after="0"/>
              <w:rPr>
                <w:sz w:val="20"/>
                <w:szCs w:val="20"/>
                <w:color w:val="auto"/>
              </w:rPr>
            </w:pPr>
          </w:p>
        </w:tc>
      </w:tr>
      <w:tr>
        <w:trPr>
          <w:trHeight w:val="244"/>
        </w:trPr>
        <w:tc>
          <w:tcPr>
            <w:tcW w:w="2960" w:type="dxa"/>
            <w:vAlign w:val="bottom"/>
            <w:tcBorders>
              <w:left w:val="single" w:sz="8" w:color="0591DB"/>
              <w:right w:val="single" w:sz="8" w:color="0591DB"/>
            </w:tcBorders>
          </w:tcPr>
          <w:p>
            <w:pPr>
              <w:ind w:left="160"/>
              <w:spacing w:after="0" w:line="244" w:lineRule="exact"/>
              <w:rPr>
                <w:sz w:val="20"/>
                <w:szCs w:val="20"/>
                <w:color w:val="auto"/>
              </w:rPr>
            </w:pPr>
            <w:r>
              <w:rPr>
                <w:rFonts w:ascii="Calibri" w:cs="Calibri" w:eastAsia="Calibri" w:hAnsi="Calibri"/>
                <w:sz w:val="21"/>
                <w:szCs w:val="21"/>
                <w:b w:val="1"/>
                <w:bCs w:val="1"/>
                <w:color w:val="0591DB"/>
              </w:rPr>
              <w:t xml:space="preserve">OWNER </w:t>
            </w:r>
            <w:r>
              <w:rPr>
                <w:rFonts w:ascii="Calibri" w:cs="Calibri" w:eastAsia="Calibri" w:hAnsi="Calibri"/>
                <w:sz w:val="15"/>
                <w:szCs w:val="15"/>
                <w:b w:val="1"/>
                <w:bCs w:val="1"/>
                <w:color w:val="0591DB"/>
              </w:rPr>
              <w:t>(1)</w:t>
            </w:r>
          </w:p>
        </w:tc>
        <w:tc>
          <w:tcPr>
            <w:tcW w:w="154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6"/>
              </w:rPr>
              <w:t>OWNED</w:t>
            </w:r>
          </w:p>
        </w:tc>
        <w:tc>
          <w:tcPr>
            <w:tcW w:w="152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89"/>
              </w:rPr>
              <w:t>DAYS</w:t>
            </w:r>
          </w:p>
        </w:tc>
        <w:tc>
          <w:tcPr>
            <w:tcW w:w="164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6"/>
              </w:rPr>
              <w:t>EXERCISABLE</w:t>
            </w:r>
          </w:p>
        </w:tc>
        <w:tc>
          <w:tcPr>
            <w:tcW w:w="164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6"/>
              </w:rPr>
              <w:t>OWNED</w:t>
            </w:r>
          </w:p>
        </w:tc>
        <w:tc>
          <w:tcPr>
            <w:tcW w:w="1620" w:type="dxa"/>
            <w:vAlign w:val="bottom"/>
          </w:tcPr>
          <w:p>
            <w:pPr>
              <w:jc w:val="center"/>
              <w:spacing w:after="0" w:line="244" w:lineRule="exact"/>
              <w:rPr>
                <w:sz w:val="20"/>
                <w:szCs w:val="20"/>
                <w:color w:val="auto"/>
              </w:rPr>
            </w:pPr>
            <w:r>
              <w:rPr>
                <w:rFonts w:ascii="Calibri" w:cs="Calibri" w:eastAsia="Calibri" w:hAnsi="Calibri"/>
                <w:sz w:val="21"/>
                <w:szCs w:val="21"/>
                <w:b w:val="1"/>
                <w:bCs w:val="1"/>
                <w:color w:val="0591DB"/>
                <w:w w:val="96"/>
              </w:rPr>
              <w:t>OWNED (%)</w:t>
            </w:r>
          </w:p>
        </w:tc>
        <w:tc>
          <w:tcPr>
            <w:tcW w:w="20" w:type="dxa"/>
            <w:vAlign w:val="bottom"/>
            <w:shd w:val="clear" w:color="auto" w:fill="0591DB"/>
          </w:tcPr>
          <w:p>
            <w:pPr>
              <w:spacing w:after="0"/>
              <w:rPr>
                <w:sz w:val="21"/>
                <w:szCs w:val="21"/>
                <w:color w:val="auto"/>
              </w:rPr>
            </w:pPr>
          </w:p>
        </w:tc>
      </w:tr>
      <w:tr>
        <w:trPr>
          <w:trHeight w:val="97"/>
        </w:trPr>
        <w:tc>
          <w:tcPr>
            <w:tcW w:w="2960" w:type="dxa"/>
            <w:vAlign w:val="bottom"/>
            <w:tcBorders>
              <w:left w:val="single" w:sz="8" w:color="0591DB"/>
              <w:bottom w:val="single" w:sz="8" w:color="0591DB"/>
              <w:right w:val="single" w:sz="8" w:color="0591DB"/>
            </w:tcBorders>
          </w:tcPr>
          <w:p>
            <w:pPr>
              <w:spacing w:after="0"/>
              <w:rPr>
                <w:sz w:val="8"/>
                <w:szCs w:val="8"/>
                <w:color w:val="auto"/>
              </w:rPr>
            </w:pPr>
          </w:p>
        </w:tc>
        <w:tc>
          <w:tcPr>
            <w:tcW w:w="1540" w:type="dxa"/>
            <w:vAlign w:val="bottom"/>
            <w:tcBorders>
              <w:bottom w:val="single" w:sz="8" w:color="0591DB"/>
              <w:right w:val="single" w:sz="8" w:color="0591DB"/>
            </w:tcBorders>
          </w:tcPr>
          <w:p>
            <w:pPr>
              <w:spacing w:after="0"/>
              <w:rPr>
                <w:sz w:val="8"/>
                <w:szCs w:val="8"/>
                <w:color w:val="auto"/>
              </w:rPr>
            </w:pPr>
          </w:p>
        </w:tc>
        <w:tc>
          <w:tcPr>
            <w:tcW w:w="1520" w:type="dxa"/>
            <w:vAlign w:val="bottom"/>
            <w:tcBorders>
              <w:bottom w:val="single" w:sz="8" w:color="0591DB"/>
              <w:right w:val="single" w:sz="8" w:color="0591DB"/>
            </w:tcBorders>
          </w:tcPr>
          <w:p>
            <w:pPr>
              <w:spacing w:after="0"/>
              <w:rPr>
                <w:sz w:val="8"/>
                <w:szCs w:val="8"/>
                <w:color w:val="auto"/>
              </w:rPr>
            </w:pPr>
          </w:p>
        </w:tc>
        <w:tc>
          <w:tcPr>
            <w:tcW w:w="1640" w:type="dxa"/>
            <w:vAlign w:val="bottom"/>
            <w:tcBorders>
              <w:bottom w:val="single" w:sz="8" w:color="0591DB"/>
              <w:right w:val="single" w:sz="8" w:color="0591DB"/>
            </w:tcBorders>
          </w:tcPr>
          <w:p>
            <w:pPr>
              <w:spacing w:after="0"/>
              <w:rPr>
                <w:sz w:val="8"/>
                <w:szCs w:val="8"/>
                <w:color w:val="auto"/>
              </w:rPr>
            </w:pPr>
          </w:p>
        </w:tc>
        <w:tc>
          <w:tcPr>
            <w:tcW w:w="1640" w:type="dxa"/>
            <w:vAlign w:val="bottom"/>
            <w:tcBorders>
              <w:bottom w:val="single" w:sz="8" w:color="0591DB"/>
              <w:right w:val="single" w:sz="8" w:color="0591DB"/>
            </w:tcBorders>
          </w:tcPr>
          <w:p>
            <w:pPr>
              <w:spacing w:after="0"/>
              <w:rPr>
                <w:sz w:val="8"/>
                <w:szCs w:val="8"/>
                <w:color w:val="auto"/>
              </w:rPr>
            </w:pPr>
          </w:p>
        </w:tc>
        <w:tc>
          <w:tcPr>
            <w:tcW w:w="162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r>
      <w:tr>
        <w:trPr>
          <w:trHeight w:val="196"/>
        </w:trPr>
        <w:tc>
          <w:tcPr>
            <w:tcW w:w="2960" w:type="dxa"/>
            <w:vAlign w:val="bottom"/>
          </w:tcPr>
          <w:p>
            <w:pPr>
              <w:ind w:left="100"/>
              <w:spacing w:after="0" w:line="197" w:lineRule="exact"/>
              <w:rPr>
                <w:sz w:val="20"/>
                <w:szCs w:val="20"/>
                <w:color w:val="auto"/>
              </w:rPr>
            </w:pPr>
            <w:r>
              <w:rPr>
                <w:rFonts w:ascii="Calibri" w:cs="Calibri" w:eastAsia="Calibri" w:hAnsi="Calibri"/>
                <w:sz w:val="17"/>
                <w:szCs w:val="17"/>
                <w:b w:val="1"/>
                <w:bCs w:val="1"/>
                <w:color w:val="0591DB"/>
              </w:rPr>
              <w:t xml:space="preserve">Steven H. Gunby </w:t>
            </w:r>
            <w:r>
              <w:rPr>
                <w:rFonts w:ascii="Calibri" w:cs="Calibri" w:eastAsia="Calibri" w:hAnsi="Calibri"/>
                <w:sz w:val="12"/>
                <w:szCs w:val="12"/>
                <w:b w:val="1"/>
                <w:bCs w:val="1"/>
                <w:color w:val="0591DB"/>
              </w:rPr>
              <w:t>(2)</w:t>
            </w:r>
          </w:p>
        </w:tc>
        <w:tc>
          <w:tcPr>
            <w:tcW w:w="1540" w:type="dxa"/>
            <w:vAlign w:val="bottom"/>
          </w:tcPr>
          <w:p>
            <w:pPr>
              <w:jc w:val="center"/>
              <w:spacing w:after="0" w:line="197" w:lineRule="exact"/>
              <w:rPr>
                <w:sz w:val="20"/>
                <w:szCs w:val="20"/>
                <w:color w:val="auto"/>
              </w:rPr>
            </w:pPr>
            <w:r>
              <w:rPr>
                <w:rFonts w:ascii="Calibri" w:cs="Calibri" w:eastAsia="Calibri" w:hAnsi="Calibri"/>
                <w:sz w:val="17"/>
                <w:szCs w:val="17"/>
                <w:color w:val="333333"/>
                <w:w w:val="99"/>
              </w:rPr>
              <w:t>285,296</w:t>
            </w:r>
          </w:p>
        </w:tc>
        <w:tc>
          <w:tcPr>
            <w:tcW w:w="1520" w:type="dxa"/>
            <w:vAlign w:val="bottom"/>
          </w:tcPr>
          <w:p>
            <w:pPr>
              <w:jc w:val="center"/>
              <w:spacing w:after="0" w:line="197" w:lineRule="exact"/>
              <w:rPr>
                <w:sz w:val="20"/>
                <w:szCs w:val="20"/>
                <w:color w:val="auto"/>
              </w:rPr>
            </w:pPr>
            <w:r>
              <w:rPr>
                <w:rFonts w:ascii="Calibri" w:cs="Calibri" w:eastAsia="Calibri" w:hAnsi="Calibri"/>
                <w:sz w:val="17"/>
                <w:szCs w:val="17"/>
                <w:color w:val="333333"/>
                <w:w w:val="90"/>
              </w:rPr>
              <w:t>—</w:t>
            </w:r>
          </w:p>
        </w:tc>
        <w:tc>
          <w:tcPr>
            <w:tcW w:w="1640" w:type="dxa"/>
            <w:vAlign w:val="bottom"/>
          </w:tcPr>
          <w:p>
            <w:pPr>
              <w:jc w:val="center"/>
              <w:spacing w:after="0" w:line="197" w:lineRule="exact"/>
              <w:rPr>
                <w:sz w:val="20"/>
                <w:szCs w:val="20"/>
                <w:color w:val="auto"/>
              </w:rPr>
            </w:pPr>
            <w:r>
              <w:rPr>
                <w:rFonts w:ascii="Calibri" w:cs="Calibri" w:eastAsia="Calibri" w:hAnsi="Calibri"/>
                <w:sz w:val="17"/>
                <w:szCs w:val="17"/>
                <w:color w:val="333333"/>
                <w:w w:val="97"/>
              </w:rPr>
              <w:t>2,477</w:t>
            </w:r>
          </w:p>
        </w:tc>
        <w:tc>
          <w:tcPr>
            <w:tcW w:w="1640" w:type="dxa"/>
            <w:vAlign w:val="bottom"/>
          </w:tcPr>
          <w:p>
            <w:pPr>
              <w:jc w:val="center"/>
              <w:spacing w:after="0" w:line="197" w:lineRule="exact"/>
              <w:rPr>
                <w:sz w:val="20"/>
                <w:szCs w:val="20"/>
                <w:color w:val="auto"/>
              </w:rPr>
            </w:pPr>
            <w:r>
              <w:rPr>
                <w:rFonts w:ascii="Calibri" w:cs="Calibri" w:eastAsia="Calibri" w:hAnsi="Calibri"/>
                <w:sz w:val="17"/>
                <w:szCs w:val="17"/>
                <w:color w:val="333333"/>
              </w:rPr>
              <w:t>287,773</w:t>
            </w:r>
          </w:p>
        </w:tc>
        <w:tc>
          <w:tcPr>
            <w:tcW w:w="1620" w:type="dxa"/>
            <w:vAlign w:val="bottom"/>
          </w:tcPr>
          <w:p>
            <w:pPr>
              <w:jc w:val="center"/>
              <w:ind w:left="12"/>
              <w:spacing w:after="0" w:line="197"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Ajay Sabherwal</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21,069</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21,069</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Paul Linton</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rPr>
              <w:t>79,777</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8,685</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10,855</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99,317</w:t>
            </w:r>
          </w:p>
        </w:tc>
        <w:tc>
          <w:tcPr>
            <w:tcW w:w="1620" w:type="dxa"/>
            <w:vAlign w:val="bottom"/>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Curts P. Lu</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30,934</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14,349</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8,710</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53,993</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Holly Paul</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rPr>
              <w:t>19,893</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2,108</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22,001</w:t>
            </w:r>
          </w:p>
        </w:tc>
        <w:tc>
          <w:tcPr>
            <w:tcW w:w="1620" w:type="dxa"/>
            <w:vAlign w:val="bottom"/>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Brendan J. Keatng </w:t>
            </w:r>
            <w:r>
              <w:rPr>
                <w:rFonts w:ascii="Calibri" w:cs="Calibri" w:eastAsia="Calibri" w:hAnsi="Calibri"/>
                <w:sz w:val="12"/>
                <w:szCs w:val="12"/>
                <w:b w:val="1"/>
                <w:bCs w:val="1"/>
                <w:color w:val="0591DB"/>
              </w:rPr>
              <w:t>(3)</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6,133</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6,133</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Mark S. Bartlet</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rPr>
              <w:t>26,099</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1,529</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27,628</w:t>
            </w:r>
          </w:p>
        </w:tc>
        <w:tc>
          <w:tcPr>
            <w:tcW w:w="1620" w:type="dxa"/>
            <w:vAlign w:val="bottom"/>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Elsy Boglioli</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2,331</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2,331</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Claudio Costamagna</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rPr>
              <w:t>33,591</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33,591</w:t>
            </w:r>
          </w:p>
        </w:tc>
        <w:tc>
          <w:tcPr>
            <w:tcW w:w="1620" w:type="dxa"/>
            <w:vAlign w:val="bottom"/>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Nicholas C. Fanandakis </w:t>
            </w:r>
            <w:r>
              <w:rPr>
                <w:rFonts w:ascii="Calibri" w:cs="Calibri" w:eastAsia="Calibri" w:hAnsi="Calibri"/>
                <w:sz w:val="12"/>
                <w:szCs w:val="12"/>
                <w:b w:val="1"/>
                <w:bCs w:val="1"/>
                <w:color w:val="0591DB"/>
              </w:rPr>
              <w:t>(4)</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12,134</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1,529</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13,663</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Stephen C. Robinson</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rPr>
              <w:t>4,283</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1,529</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5,812</w:t>
            </w:r>
          </w:p>
        </w:tc>
        <w:tc>
          <w:tcPr>
            <w:tcW w:w="1620" w:type="dxa"/>
            <w:vAlign w:val="bottom"/>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 xml:space="preserve">Laureen E. Seeger </w:t>
            </w:r>
            <w:r>
              <w:rPr>
                <w:rFonts w:ascii="Calibri" w:cs="Calibri" w:eastAsia="Calibri" w:hAnsi="Calibri"/>
                <w:sz w:val="12"/>
                <w:szCs w:val="12"/>
                <w:b w:val="1"/>
                <w:bCs w:val="1"/>
                <w:color w:val="0591DB"/>
              </w:rPr>
              <w:t>(5)</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8,794</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8,794</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Eric T. Steigerwalt</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1,816</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1,816</w:t>
            </w:r>
          </w:p>
        </w:tc>
        <w:tc>
          <w:tcPr>
            <w:tcW w:w="1620" w:type="dxa"/>
            <w:vAlign w:val="bottom"/>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96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Janet H. Zelenka</w:t>
            </w:r>
          </w:p>
        </w:tc>
        <w:tc>
          <w:tcPr>
            <w:tcW w:w="15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52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1,816</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64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1,816</w:t>
            </w:r>
          </w:p>
        </w:tc>
        <w:tc>
          <w:tcPr>
            <w:tcW w:w="1620" w:type="dxa"/>
            <w:vAlign w:val="bottom"/>
            <w:shd w:val="clear" w:color="auto" w:fill="EFF2EF"/>
          </w:tcPr>
          <w:p>
            <w:pPr>
              <w:jc w:val="center"/>
              <w:ind w:left="12"/>
              <w:spacing w:after="0" w:line="203" w:lineRule="exact"/>
              <w:rPr>
                <w:sz w:val="20"/>
                <w:szCs w:val="20"/>
                <w:color w:val="auto"/>
              </w:rPr>
            </w:pPr>
            <w:r>
              <w:rPr>
                <w:rFonts w:ascii="Calibri" w:cs="Calibri" w:eastAsia="Calibri" w:hAnsi="Calibri"/>
                <w:sz w:val="17"/>
                <w:szCs w:val="17"/>
                <w:color w:val="333333"/>
                <w:w w:val="93"/>
              </w:rPr>
              <w:t>*</w:t>
            </w:r>
          </w:p>
        </w:tc>
        <w:tc>
          <w:tcPr>
            <w:tcW w:w="20" w:type="dxa"/>
            <w:vAlign w:val="bottom"/>
          </w:tcPr>
          <w:p>
            <w:pPr>
              <w:spacing w:after="0"/>
              <w:rPr>
                <w:sz w:val="17"/>
                <w:szCs w:val="17"/>
                <w:color w:val="auto"/>
              </w:rPr>
            </w:pPr>
          </w:p>
        </w:tc>
      </w:tr>
      <w:tr>
        <w:trPr>
          <w:trHeight w:val="64"/>
        </w:trPr>
        <w:tc>
          <w:tcPr>
            <w:tcW w:w="2960" w:type="dxa"/>
            <w:vAlign w:val="bottom"/>
            <w:tcBorders>
              <w:left w:val="single" w:sz="8" w:color="EFF2EF"/>
              <w:right w:val="single" w:sz="8" w:color="EFF2EF"/>
            </w:tcBorders>
            <w:shd w:val="clear" w:color="auto" w:fill="EFF2EF"/>
          </w:tcPr>
          <w:p>
            <w:pPr>
              <w:spacing w:after="0"/>
              <w:rPr>
                <w:sz w:val="5"/>
                <w:szCs w:val="5"/>
                <w:color w:val="auto"/>
              </w:rPr>
            </w:pPr>
          </w:p>
        </w:tc>
        <w:tc>
          <w:tcPr>
            <w:tcW w:w="1540" w:type="dxa"/>
            <w:vAlign w:val="bottom"/>
            <w:tcBorders>
              <w:right w:val="single" w:sz="8" w:color="EFF2EF"/>
            </w:tcBorders>
            <w:shd w:val="clear" w:color="auto" w:fill="EFF2EF"/>
          </w:tcPr>
          <w:p>
            <w:pPr>
              <w:spacing w:after="0"/>
              <w:rPr>
                <w:sz w:val="5"/>
                <w:szCs w:val="5"/>
                <w:color w:val="auto"/>
              </w:rPr>
            </w:pPr>
          </w:p>
        </w:tc>
        <w:tc>
          <w:tcPr>
            <w:tcW w:w="152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40" w:type="dxa"/>
            <w:vAlign w:val="bottom"/>
            <w:tcBorders>
              <w:right w:val="single" w:sz="8" w:color="EFF2EF"/>
            </w:tcBorders>
            <w:shd w:val="clear" w:color="auto" w:fill="EFF2EF"/>
          </w:tcPr>
          <w:p>
            <w:pPr>
              <w:spacing w:after="0"/>
              <w:rPr>
                <w:sz w:val="5"/>
                <w:szCs w:val="5"/>
                <w:color w:val="auto"/>
              </w:rPr>
            </w:pPr>
          </w:p>
        </w:tc>
        <w:tc>
          <w:tcPr>
            <w:tcW w:w="16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173"/>
        </w:trPr>
        <w:tc>
          <w:tcPr>
            <w:tcW w:w="2960" w:type="dxa"/>
            <w:vAlign w:val="bottom"/>
          </w:tcPr>
          <w:p>
            <w:pPr>
              <w:ind w:left="100"/>
              <w:spacing w:after="0" w:line="173" w:lineRule="exact"/>
              <w:rPr>
                <w:sz w:val="20"/>
                <w:szCs w:val="20"/>
                <w:color w:val="auto"/>
              </w:rPr>
            </w:pPr>
            <w:r>
              <w:rPr>
                <w:rFonts w:ascii="Calibri" w:cs="Calibri" w:eastAsia="Calibri" w:hAnsi="Calibri"/>
                <w:sz w:val="17"/>
                <w:szCs w:val="17"/>
                <w:b w:val="1"/>
                <w:bCs w:val="1"/>
                <w:color w:val="333333"/>
              </w:rPr>
              <w:t>All current directors and executve</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96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333333"/>
              </w:rPr>
              <w:t xml:space="preserve">ofcers as a group (14 persons) </w:t>
            </w:r>
            <w:r>
              <w:rPr>
                <w:rFonts w:ascii="Calibri" w:cs="Calibri" w:eastAsia="Calibri" w:hAnsi="Calibri"/>
                <w:sz w:val="12"/>
                <w:szCs w:val="12"/>
                <w:b w:val="1"/>
                <w:bCs w:val="1"/>
                <w:color w:val="333333"/>
              </w:rPr>
              <w:t>(6)</w:t>
            </w:r>
          </w:p>
        </w:tc>
        <w:tc>
          <w:tcPr>
            <w:tcW w:w="1540" w:type="dxa"/>
            <w:vAlign w:val="bottom"/>
          </w:tcPr>
          <w:p>
            <w:pPr>
              <w:jc w:val="center"/>
              <w:spacing w:after="0" w:line="203" w:lineRule="exact"/>
              <w:rPr>
                <w:sz w:val="20"/>
                <w:szCs w:val="20"/>
                <w:color w:val="auto"/>
              </w:rPr>
            </w:pPr>
            <w:r>
              <w:rPr>
                <w:rFonts w:ascii="Calibri" w:cs="Calibri" w:eastAsia="Calibri" w:hAnsi="Calibri"/>
                <w:sz w:val="17"/>
                <w:szCs w:val="17"/>
                <w:color w:val="333333"/>
                <w:w w:val="99"/>
              </w:rPr>
              <w:t>491,313</w:t>
            </w:r>
          </w:p>
        </w:tc>
        <w:tc>
          <w:tcPr>
            <w:tcW w:w="1520" w:type="dxa"/>
            <w:vAlign w:val="bottom"/>
          </w:tcPr>
          <w:p>
            <w:pPr>
              <w:jc w:val="center"/>
              <w:spacing w:after="0" w:line="203" w:lineRule="exact"/>
              <w:rPr>
                <w:sz w:val="20"/>
                <w:szCs w:val="20"/>
                <w:color w:val="auto"/>
              </w:rPr>
            </w:pPr>
            <w:r>
              <w:rPr>
                <w:rFonts w:ascii="Calibri" w:cs="Calibri" w:eastAsia="Calibri" w:hAnsi="Calibri"/>
                <w:sz w:val="17"/>
                <w:szCs w:val="17"/>
                <w:color w:val="333333"/>
              </w:rPr>
              <w:t>31,724</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22,042</w:t>
            </w:r>
          </w:p>
        </w:tc>
        <w:tc>
          <w:tcPr>
            <w:tcW w:w="1640" w:type="dxa"/>
            <w:vAlign w:val="bottom"/>
          </w:tcPr>
          <w:p>
            <w:pPr>
              <w:jc w:val="center"/>
              <w:spacing w:after="0" w:line="203" w:lineRule="exact"/>
              <w:rPr>
                <w:sz w:val="20"/>
                <w:szCs w:val="20"/>
                <w:color w:val="auto"/>
              </w:rPr>
            </w:pPr>
            <w:r>
              <w:rPr>
                <w:rFonts w:ascii="Calibri" w:cs="Calibri" w:eastAsia="Calibri" w:hAnsi="Calibri"/>
                <w:sz w:val="17"/>
                <w:szCs w:val="17"/>
                <w:color w:val="333333"/>
              </w:rPr>
              <w:t>545,079</w:t>
            </w:r>
          </w:p>
        </w:tc>
        <w:tc>
          <w:tcPr>
            <w:tcW w:w="1620" w:type="dxa"/>
            <w:vAlign w:val="bottom"/>
          </w:tcPr>
          <w:p>
            <w:pPr>
              <w:jc w:val="center"/>
              <w:spacing w:after="0" w:line="203" w:lineRule="exact"/>
              <w:rPr>
                <w:sz w:val="20"/>
                <w:szCs w:val="20"/>
                <w:color w:val="auto"/>
              </w:rPr>
            </w:pPr>
            <w:r>
              <w:rPr>
                <w:rFonts w:ascii="Calibri" w:cs="Calibri" w:eastAsia="Calibri" w:hAnsi="Calibri"/>
                <w:sz w:val="17"/>
                <w:szCs w:val="17"/>
                <w:color w:val="333333"/>
              </w:rPr>
              <w:t>1.8</w:t>
            </w:r>
          </w:p>
        </w:tc>
        <w:tc>
          <w:tcPr>
            <w:tcW w:w="20" w:type="dxa"/>
            <w:vAlign w:val="bottom"/>
          </w:tcPr>
          <w:p>
            <w:pPr>
              <w:spacing w:after="0"/>
              <w:rPr>
                <w:sz w:val="17"/>
                <w:szCs w:val="17"/>
                <w:color w:val="auto"/>
              </w:rPr>
            </w:pPr>
          </w:p>
        </w:tc>
      </w:tr>
      <w:tr>
        <w:trPr>
          <w:trHeight w:val="415"/>
        </w:trPr>
        <w:tc>
          <w:tcPr>
            <w:tcW w:w="2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jc w:val="right"/>
              <w:ind w:right="390"/>
              <w:spacing w:after="0"/>
              <w:rPr>
                <w:sz w:val="20"/>
                <w:szCs w:val="20"/>
                <w:color w:val="auto"/>
              </w:rPr>
            </w:pPr>
            <w:r>
              <w:rPr>
                <w:rFonts w:ascii="Calibri" w:cs="Calibri" w:eastAsia="Calibri" w:hAnsi="Calibri"/>
                <w:sz w:val="17"/>
                <w:szCs w:val="17"/>
                <w:color w:val="333333"/>
              </w:rPr>
              <w:t>45</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78"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80" w:type="dxa"/>
            <w:vAlign w:val="bottom"/>
            <w:tcBorders>
              <w:top w:val="single" w:sz="8" w:color="0591DB"/>
              <w:left w:val="single" w:sz="8" w:color="0591DB"/>
            </w:tcBorders>
          </w:tcPr>
          <w:p>
            <w:pPr>
              <w:spacing w:after="0"/>
              <w:rPr>
                <w:sz w:val="19"/>
                <w:szCs w:val="19"/>
                <w:color w:val="auto"/>
              </w:rPr>
            </w:pPr>
          </w:p>
        </w:tc>
        <w:tc>
          <w:tcPr>
            <w:tcW w:w="1000" w:type="dxa"/>
            <w:vAlign w:val="bottom"/>
            <w:tcBorders>
              <w:top w:val="single" w:sz="8" w:color="0591DB"/>
              <w:right w:val="single" w:sz="8" w:color="0591DB"/>
            </w:tcBorders>
          </w:tcPr>
          <w:p>
            <w:pPr>
              <w:spacing w:after="0"/>
              <w:rPr>
                <w:sz w:val="19"/>
                <w:szCs w:val="19"/>
                <w:color w:val="auto"/>
              </w:rPr>
            </w:pPr>
          </w:p>
        </w:tc>
        <w:tc>
          <w:tcPr>
            <w:tcW w:w="1400" w:type="dxa"/>
            <w:vAlign w:val="bottom"/>
            <w:tcBorders>
              <w:top w:val="single" w:sz="8" w:color="0591DB"/>
              <w:right w:val="single" w:sz="8" w:color="0591DB"/>
            </w:tcBorders>
          </w:tcPr>
          <w:p>
            <w:pPr>
              <w:spacing w:after="0"/>
              <w:rPr>
                <w:sz w:val="19"/>
                <w:szCs w:val="19"/>
                <w:color w:val="auto"/>
              </w:rPr>
            </w:pPr>
          </w:p>
        </w:tc>
        <w:tc>
          <w:tcPr>
            <w:tcW w:w="1420" w:type="dxa"/>
            <w:vAlign w:val="bottom"/>
            <w:tcBorders>
              <w:top w:val="single" w:sz="8" w:color="0591DB"/>
              <w:right w:val="single" w:sz="8" w:color="0591DB"/>
            </w:tcBorders>
          </w:tcPr>
          <w:p>
            <w:pPr>
              <w:spacing w:after="0"/>
              <w:rPr>
                <w:sz w:val="19"/>
                <w:szCs w:val="19"/>
                <w:color w:val="auto"/>
              </w:rPr>
            </w:pPr>
          </w:p>
        </w:tc>
        <w:tc>
          <w:tcPr>
            <w:tcW w:w="1540" w:type="dxa"/>
            <w:vAlign w:val="bottom"/>
            <w:tcBorders>
              <w:top w:val="single" w:sz="8" w:color="0591DB"/>
              <w:right w:val="single" w:sz="8" w:color="0591DB"/>
            </w:tcBorders>
          </w:tcPr>
          <w:p>
            <w:pPr>
              <w:jc w:val="center"/>
              <w:spacing w:after="0" w:line="229" w:lineRule="exact"/>
              <w:rPr>
                <w:sz w:val="20"/>
                <w:szCs w:val="20"/>
                <w:color w:val="auto"/>
              </w:rPr>
            </w:pPr>
            <w:r>
              <w:rPr>
                <w:rFonts w:ascii="Calibri" w:cs="Calibri" w:eastAsia="Calibri" w:hAnsi="Calibri"/>
                <w:sz w:val="20"/>
                <w:szCs w:val="20"/>
                <w:b w:val="1"/>
                <w:bCs w:val="1"/>
                <w:color w:val="0591DB"/>
              </w:rPr>
              <w:t>RIGHT TO</w:t>
            </w:r>
          </w:p>
        </w:tc>
        <w:tc>
          <w:tcPr>
            <w:tcW w:w="1640" w:type="dxa"/>
            <w:vAlign w:val="bottom"/>
            <w:tcBorders>
              <w:top w:val="single" w:sz="8" w:color="0591DB"/>
              <w:right w:val="single" w:sz="8" w:color="0591DB"/>
            </w:tcBorders>
          </w:tcPr>
          <w:p>
            <w:pPr>
              <w:spacing w:after="0"/>
              <w:rPr>
                <w:sz w:val="19"/>
                <w:szCs w:val="19"/>
                <w:color w:val="auto"/>
              </w:rPr>
            </w:pPr>
          </w:p>
        </w:tc>
        <w:tc>
          <w:tcPr>
            <w:tcW w:w="162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1000" w:type="dxa"/>
            <w:vAlign w:val="bottom"/>
            <w:tcBorders>
              <w:right w:val="single" w:sz="8" w:color="0591DB"/>
            </w:tcBorders>
          </w:tcPr>
          <w:p>
            <w:pPr>
              <w:spacing w:after="0"/>
              <w:rPr>
                <w:sz w:val="20"/>
                <w:szCs w:val="20"/>
                <w:color w:val="auto"/>
              </w:rPr>
            </w:pPr>
          </w:p>
        </w:tc>
        <w:tc>
          <w:tcPr>
            <w:tcW w:w="1400" w:type="dxa"/>
            <w:vAlign w:val="bottom"/>
            <w:tcBorders>
              <w:right w:val="single" w:sz="8" w:color="0591DB"/>
            </w:tcBorders>
          </w:tcPr>
          <w:p>
            <w:pPr>
              <w:spacing w:after="0"/>
              <w:rPr>
                <w:sz w:val="20"/>
                <w:szCs w:val="20"/>
                <w:color w:val="auto"/>
              </w:rPr>
            </w:pPr>
          </w:p>
        </w:tc>
        <w:tc>
          <w:tcPr>
            <w:tcW w:w="1420" w:type="dxa"/>
            <w:vAlign w:val="bottom"/>
            <w:tcBorders>
              <w:right w:val="single" w:sz="8" w:color="0591DB"/>
            </w:tcBorders>
          </w:tcPr>
          <w:p>
            <w:pPr>
              <w:spacing w:after="0"/>
              <w:rPr>
                <w:sz w:val="20"/>
                <w:szCs w:val="20"/>
                <w:color w:val="auto"/>
              </w:rPr>
            </w:pPr>
          </w:p>
        </w:tc>
        <w:tc>
          <w:tcPr>
            <w:tcW w:w="1540" w:type="dxa"/>
            <w:vAlign w:val="bottom"/>
            <w:tcBorders>
              <w:right w:val="single" w:sz="8" w:color="0591DB"/>
            </w:tcBorders>
          </w:tcPr>
          <w:p>
            <w:pPr>
              <w:jc w:val="center"/>
              <w:spacing w:after="0" w:line="233" w:lineRule="exact"/>
              <w:rPr>
                <w:sz w:val="20"/>
                <w:szCs w:val="20"/>
                <w:color w:val="auto"/>
              </w:rPr>
            </w:pPr>
            <w:r>
              <w:rPr>
                <w:rFonts w:ascii="Calibri" w:cs="Calibri" w:eastAsia="Calibri" w:hAnsi="Calibri"/>
                <w:sz w:val="20"/>
                <w:szCs w:val="20"/>
                <w:b w:val="1"/>
                <w:bCs w:val="1"/>
                <w:color w:val="0591DB"/>
              </w:rPr>
              <w:t>ACQUIRE</w:t>
            </w:r>
          </w:p>
        </w:tc>
        <w:tc>
          <w:tcPr>
            <w:tcW w:w="1640" w:type="dxa"/>
            <w:vAlign w:val="bottom"/>
            <w:tcBorders>
              <w:right w:val="single" w:sz="8" w:color="0591DB"/>
            </w:tcBorders>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1000" w:type="dxa"/>
            <w:vAlign w:val="bottom"/>
            <w:tcBorders>
              <w:right w:val="single" w:sz="8" w:color="0591DB"/>
            </w:tcBorders>
          </w:tcPr>
          <w:p>
            <w:pPr>
              <w:spacing w:after="0"/>
              <w:rPr>
                <w:sz w:val="20"/>
                <w:szCs w:val="20"/>
                <w:color w:val="auto"/>
              </w:rPr>
            </w:pPr>
          </w:p>
        </w:tc>
        <w:tc>
          <w:tcPr>
            <w:tcW w:w="1400" w:type="dxa"/>
            <w:vAlign w:val="bottom"/>
            <w:tcBorders>
              <w:right w:val="single" w:sz="8" w:color="0591DB"/>
            </w:tcBorders>
          </w:tcPr>
          <w:p>
            <w:pPr>
              <w:spacing w:after="0"/>
              <w:rPr>
                <w:sz w:val="20"/>
                <w:szCs w:val="20"/>
                <w:color w:val="auto"/>
              </w:rPr>
            </w:pPr>
          </w:p>
        </w:tc>
        <w:tc>
          <w:tcPr>
            <w:tcW w:w="1420" w:type="dxa"/>
            <w:vAlign w:val="bottom"/>
            <w:tcBorders>
              <w:right w:val="single" w:sz="8" w:color="0591DB"/>
            </w:tcBorders>
          </w:tcPr>
          <w:p>
            <w:pPr>
              <w:spacing w:after="0"/>
              <w:rPr>
                <w:sz w:val="20"/>
                <w:szCs w:val="20"/>
                <w:color w:val="auto"/>
              </w:rPr>
            </w:pP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VESTED AND</w:t>
            </w:r>
          </w:p>
        </w:tc>
        <w:tc>
          <w:tcPr>
            <w:tcW w:w="1640" w:type="dxa"/>
            <w:vAlign w:val="bottom"/>
            <w:tcBorders>
              <w:right w:val="single" w:sz="8" w:color="0591DB"/>
            </w:tcBorders>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1000" w:type="dxa"/>
            <w:vAlign w:val="bottom"/>
            <w:tcBorders>
              <w:right w:val="single" w:sz="8" w:color="0591DB"/>
            </w:tcBorders>
          </w:tcPr>
          <w:p>
            <w:pPr>
              <w:spacing w:after="0"/>
              <w:rPr>
                <w:sz w:val="20"/>
                <w:szCs w:val="20"/>
                <w:color w:val="auto"/>
              </w:rPr>
            </w:pPr>
          </w:p>
        </w:tc>
        <w:tc>
          <w:tcPr>
            <w:tcW w:w="14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rPr>
              <w:t>NUMBER OF</w:t>
            </w:r>
          </w:p>
        </w:tc>
        <w:tc>
          <w:tcPr>
            <w:tcW w:w="1420" w:type="dxa"/>
            <w:vAlign w:val="bottom"/>
            <w:tcBorders>
              <w:right w:val="single" w:sz="8" w:color="0591DB"/>
            </w:tcBorders>
          </w:tcPr>
          <w:p>
            <w:pPr>
              <w:spacing w:after="0"/>
              <w:rPr>
                <w:sz w:val="20"/>
                <w:szCs w:val="20"/>
                <w:color w:val="auto"/>
              </w:rPr>
            </w:pP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9"/>
              </w:rPr>
              <w:t>EXERCISABLE</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2"/>
              </w:rPr>
              <w:t>TOTAL</w:t>
            </w:r>
          </w:p>
        </w:tc>
        <w:tc>
          <w:tcPr>
            <w:tcW w:w="1620" w:type="dxa"/>
            <w:vAlign w:val="bottom"/>
          </w:tcPr>
          <w:p>
            <w:pPr>
              <w:jc w:val="center"/>
              <w:spacing w:after="0" w:line="241" w:lineRule="exact"/>
              <w:rPr>
                <w:sz w:val="20"/>
                <w:szCs w:val="20"/>
                <w:color w:val="auto"/>
              </w:rPr>
            </w:pPr>
            <w:r>
              <w:rPr>
                <w:rFonts w:ascii="Calibri" w:cs="Calibri" w:eastAsia="Calibri" w:hAnsi="Calibri"/>
                <w:sz w:val="20"/>
                <w:szCs w:val="20"/>
                <w:b w:val="1"/>
                <w:bCs w:val="1"/>
                <w:color w:val="0591DB"/>
                <w:w w:val="98"/>
              </w:rPr>
              <w:t>PERCENTAGE</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1000" w:type="dxa"/>
            <w:vAlign w:val="bottom"/>
            <w:tcBorders>
              <w:right w:val="single" w:sz="8" w:color="0591DB"/>
            </w:tcBorders>
          </w:tcPr>
          <w:p>
            <w:pPr>
              <w:spacing w:after="0"/>
              <w:rPr>
                <w:sz w:val="20"/>
                <w:szCs w:val="20"/>
                <w:color w:val="auto"/>
              </w:rPr>
            </w:pPr>
          </w:p>
        </w:tc>
        <w:tc>
          <w:tcPr>
            <w:tcW w:w="14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rPr>
              <w:t>COMMON</w:t>
            </w:r>
          </w:p>
        </w:tc>
        <w:tc>
          <w:tcPr>
            <w:tcW w:w="14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UNVESTED</w:t>
            </w: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9"/>
              </w:rPr>
              <w:t>STOCK-</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SHARES</w:t>
            </w:r>
          </w:p>
        </w:tc>
        <w:tc>
          <w:tcPr>
            <w:tcW w:w="1620" w:type="dxa"/>
            <w:vAlign w:val="bottom"/>
          </w:tcPr>
          <w:p>
            <w:pPr>
              <w:jc w:val="center"/>
              <w:spacing w:after="0" w:line="241" w:lineRule="exact"/>
              <w:rPr>
                <w:sz w:val="20"/>
                <w:szCs w:val="20"/>
                <w:color w:val="auto"/>
              </w:rPr>
            </w:pPr>
            <w:r>
              <w:rPr>
                <w:rFonts w:ascii="Calibri" w:cs="Calibri" w:eastAsia="Calibri" w:hAnsi="Calibri"/>
                <w:sz w:val="20"/>
                <w:szCs w:val="20"/>
                <w:b w:val="1"/>
                <w:bCs w:val="1"/>
                <w:color w:val="0591DB"/>
              </w:rPr>
              <w:t>OF SHARES</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80" w:type="dxa"/>
            <w:vAlign w:val="bottom"/>
            <w:tcBorders>
              <w:left w:val="single" w:sz="8" w:color="0591DB"/>
              <w:right w:val="single" w:sz="8" w:color="0591DB"/>
            </w:tcBorders>
            <w:gridSpan w:val="2"/>
          </w:tcPr>
          <w:p>
            <w:pPr>
              <w:ind w:left="140"/>
              <w:spacing w:after="0" w:line="241" w:lineRule="exact"/>
              <w:rPr>
                <w:sz w:val="20"/>
                <w:szCs w:val="20"/>
                <w:color w:val="auto"/>
              </w:rPr>
            </w:pPr>
            <w:r>
              <w:rPr>
                <w:rFonts w:ascii="Calibri" w:cs="Calibri" w:eastAsia="Calibri" w:hAnsi="Calibri"/>
                <w:sz w:val="20"/>
                <w:szCs w:val="20"/>
                <w:b w:val="1"/>
                <w:bCs w:val="1"/>
                <w:color w:val="0591DB"/>
              </w:rPr>
              <w:t>NAME OF BENEFICIAL</w:t>
            </w:r>
          </w:p>
        </w:tc>
        <w:tc>
          <w:tcPr>
            <w:tcW w:w="14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SHARES</w:t>
            </w:r>
          </w:p>
        </w:tc>
        <w:tc>
          <w:tcPr>
            <w:tcW w:w="14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rPr>
              <w:t>RESTRICTED</w:t>
            </w: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rPr>
              <w:t>BASED</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BENEFICIALLY</w:t>
            </w:r>
          </w:p>
        </w:tc>
        <w:tc>
          <w:tcPr>
            <w:tcW w:w="1620" w:type="dxa"/>
            <w:vAlign w:val="bottom"/>
          </w:tcPr>
          <w:p>
            <w:pPr>
              <w:jc w:val="center"/>
              <w:spacing w:after="0" w:line="241" w:lineRule="exact"/>
              <w:rPr>
                <w:sz w:val="20"/>
                <w:szCs w:val="20"/>
                <w:color w:val="auto"/>
              </w:rPr>
            </w:pPr>
            <w:r>
              <w:rPr>
                <w:rFonts w:ascii="Calibri" w:cs="Calibri" w:eastAsia="Calibri" w:hAnsi="Calibri"/>
                <w:sz w:val="20"/>
                <w:szCs w:val="20"/>
                <w:b w:val="1"/>
                <w:bCs w:val="1"/>
                <w:color w:val="0591DB"/>
                <w:w w:val="98"/>
              </w:rPr>
              <w:t>BENEFICIALLY</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80" w:type="dxa"/>
            <w:vAlign w:val="bottom"/>
            <w:tcBorders>
              <w:left w:val="single" w:sz="8" w:color="0591DB"/>
              <w:right w:val="single" w:sz="8" w:color="0591DB"/>
            </w:tcBorders>
            <w:gridSpan w:val="2"/>
          </w:tcPr>
          <w:p>
            <w:pPr>
              <w:ind w:left="140"/>
              <w:spacing w:after="0" w:line="241" w:lineRule="exact"/>
              <w:rPr>
                <w:sz w:val="20"/>
                <w:szCs w:val="20"/>
                <w:color w:val="auto"/>
              </w:rPr>
            </w:pPr>
            <w:r>
              <w:rPr>
                <w:rFonts w:ascii="Calibri" w:cs="Calibri" w:eastAsia="Calibri" w:hAnsi="Calibri"/>
                <w:sz w:val="20"/>
                <w:szCs w:val="20"/>
                <w:b w:val="1"/>
                <w:bCs w:val="1"/>
                <w:color w:val="0591DB"/>
              </w:rPr>
              <w:t>OWNER</w:t>
            </w:r>
          </w:p>
        </w:tc>
        <w:tc>
          <w:tcPr>
            <w:tcW w:w="14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OWNED</w:t>
            </w:r>
          </w:p>
        </w:tc>
        <w:tc>
          <w:tcPr>
            <w:tcW w:w="142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SHARES</w:t>
            </w:r>
          </w:p>
        </w:tc>
        <w:tc>
          <w:tcPr>
            <w:tcW w:w="15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rPr>
              <w:t>OPTIONS</w:t>
            </w:r>
          </w:p>
        </w:tc>
        <w:tc>
          <w:tcPr>
            <w:tcW w:w="164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0"/>
                <w:szCs w:val="20"/>
                <w:b w:val="1"/>
                <w:bCs w:val="1"/>
                <w:color w:val="0591DB"/>
                <w:w w:val="98"/>
              </w:rPr>
              <w:t>OWNED</w:t>
            </w:r>
          </w:p>
        </w:tc>
        <w:tc>
          <w:tcPr>
            <w:tcW w:w="1620" w:type="dxa"/>
            <w:vAlign w:val="bottom"/>
          </w:tcPr>
          <w:p>
            <w:pPr>
              <w:jc w:val="center"/>
              <w:spacing w:after="0" w:line="241" w:lineRule="exact"/>
              <w:rPr>
                <w:sz w:val="20"/>
                <w:szCs w:val="20"/>
                <w:color w:val="auto"/>
              </w:rPr>
            </w:pPr>
            <w:r>
              <w:rPr>
                <w:rFonts w:ascii="Calibri" w:cs="Calibri" w:eastAsia="Calibri" w:hAnsi="Calibri"/>
                <w:sz w:val="20"/>
                <w:szCs w:val="20"/>
                <w:b w:val="1"/>
                <w:bCs w:val="1"/>
                <w:color w:val="0591DB"/>
              </w:rPr>
              <w:t>OWNED (%)</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280" w:type="dxa"/>
            <w:vAlign w:val="bottom"/>
            <w:tcBorders>
              <w:left w:val="single" w:sz="8" w:color="0591DB"/>
              <w:bottom w:val="single" w:sz="8" w:color="0591DB"/>
            </w:tcBorders>
          </w:tcPr>
          <w:p>
            <w:pPr>
              <w:spacing w:after="0"/>
              <w:rPr>
                <w:sz w:val="8"/>
                <w:szCs w:val="8"/>
                <w:color w:val="auto"/>
              </w:rPr>
            </w:pPr>
          </w:p>
        </w:tc>
        <w:tc>
          <w:tcPr>
            <w:tcW w:w="1000" w:type="dxa"/>
            <w:vAlign w:val="bottom"/>
            <w:tcBorders>
              <w:bottom w:val="single" w:sz="8" w:color="0591DB"/>
              <w:right w:val="single" w:sz="8" w:color="0591DB"/>
            </w:tcBorders>
          </w:tcPr>
          <w:p>
            <w:pPr>
              <w:spacing w:after="0"/>
              <w:rPr>
                <w:sz w:val="8"/>
                <w:szCs w:val="8"/>
                <w:color w:val="auto"/>
              </w:rPr>
            </w:pPr>
          </w:p>
        </w:tc>
        <w:tc>
          <w:tcPr>
            <w:tcW w:w="1400" w:type="dxa"/>
            <w:vAlign w:val="bottom"/>
            <w:tcBorders>
              <w:bottom w:val="single" w:sz="8" w:color="0591DB"/>
              <w:right w:val="single" w:sz="8" w:color="0591DB"/>
            </w:tcBorders>
          </w:tcPr>
          <w:p>
            <w:pPr>
              <w:spacing w:after="0"/>
              <w:rPr>
                <w:sz w:val="8"/>
                <w:szCs w:val="8"/>
                <w:color w:val="auto"/>
              </w:rPr>
            </w:pPr>
          </w:p>
        </w:tc>
        <w:tc>
          <w:tcPr>
            <w:tcW w:w="1420" w:type="dxa"/>
            <w:vAlign w:val="bottom"/>
            <w:tcBorders>
              <w:bottom w:val="single" w:sz="8" w:color="0591DB"/>
              <w:right w:val="single" w:sz="8" w:color="0591DB"/>
            </w:tcBorders>
          </w:tcPr>
          <w:p>
            <w:pPr>
              <w:spacing w:after="0"/>
              <w:rPr>
                <w:sz w:val="8"/>
                <w:szCs w:val="8"/>
                <w:color w:val="auto"/>
              </w:rPr>
            </w:pPr>
          </w:p>
        </w:tc>
        <w:tc>
          <w:tcPr>
            <w:tcW w:w="1540" w:type="dxa"/>
            <w:vAlign w:val="bottom"/>
            <w:tcBorders>
              <w:bottom w:val="single" w:sz="8" w:color="0591DB"/>
              <w:right w:val="single" w:sz="8" w:color="0591DB"/>
            </w:tcBorders>
          </w:tcPr>
          <w:p>
            <w:pPr>
              <w:spacing w:after="0"/>
              <w:rPr>
                <w:sz w:val="8"/>
                <w:szCs w:val="8"/>
                <w:color w:val="auto"/>
              </w:rPr>
            </w:pPr>
          </w:p>
        </w:tc>
        <w:tc>
          <w:tcPr>
            <w:tcW w:w="1640" w:type="dxa"/>
            <w:vAlign w:val="bottom"/>
            <w:tcBorders>
              <w:bottom w:val="single" w:sz="8" w:color="0591DB"/>
              <w:right w:val="single" w:sz="8" w:color="0591DB"/>
            </w:tcBorders>
          </w:tcPr>
          <w:p>
            <w:pPr>
              <w:spacing w:after="0"/>
              <w:rPr>
                <w:sz w:val="8"/>
                <w:szCs w:val="8"/>
                <w:color w:val="auto"/>
              </w:rPr>
            </w:pPr>
          </w:p>
        </w:tc>
        <w:tc>
          <w:tcPr>
            <w:tcW w:w="162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80" w:type="dxa"/>
            <w:vAlign w:val="bottom"/>
            <w:gridSpan w:val="2"/>
          </w:tcPr>
          <w:p>
            <w:pPr>
              <w:spacing w:after="0" w:line="175" w:lineRule="exact"/>
              <w:rPr>
                <w:sz w:val="20"/>
                <w:szCs w:val="20"/>
                <w:color w:val="auto"/>
              </w:rPr>
            </w:pPr>
            <w:r>
              <w:rPr>
                <w:rFonts w:ascii="Calibri" w:cs="Calibri" w:eastAsia="Calibri" w:hAnsi="Calibri"/>
                <w:sz w:val="13"/>
                <w:szCs w:val="13"/>
                <w:b w:val="1"/>
                <w:bCs w:val="1"/>
                <w:color w:val="0591DB"/>
              </w:rPr>
              <w:t xml:space="preserve">BlackRock, Inc. </w:t>
            </w:r>
            <w:r>
              <w:rPr>
                <w:rFonts w:ascii="Calibri" w:cs="Calibri" w:eastAsia="Calibri" w:hAnsi="Calibri"/>
                <w:sz w:val="19"/>
                <w:szCs w:val="19"/>
                <w:color w:val="0591DB"/>
                <w:vertAlign w:val="superscript"/>
              </w:rPr>
              <w:t>(7)</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00" w:type="dxa"/>
            <w:vAlign w:val="bottom"/>
            <w:gridSpan w:val="3"/>
          </w:tcPr>
          <w:p>
            <w:pPr>
              <w:spacing w:after="0" w:line="193" w:lineRule="exact"/>
              <w:rPr>
                <w:sz w:val="20"/>
                <w:szCs w:val="20"/>
                <w:color w:val="auto"/>
              </w:rPr>
            </w:pPr>
            <w:r>
              <w:rPr>
                <w:rFonts w:ascii="Calibri" w:cs="Calibri" w:eastAsia="Calibri" w:hAnsi="Calibri"/>
                <w:sz w:val="16"/>
                <w:szCs w:val="16"/>
                <w:color w:val="333333"/>
              </w:rPr>
              <w:t>50 Hudson Yards</w:t>
            </w: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gridSpan w:val="3"/>
          </w:tcPr>
          <w:p>
            <w:pPr>
              <w:spacing w:after="0"/>
              <w:rPr>
                <w:sz w:val="20"/>
                <w:szCs w:val="20"/>
                <w:color w:val="auto"/>
              </w:rPr>
            </w:pPr>
            <w:r>
              <w:rPr>
                <w:rFonts w:ascii="Calibri" w:cs="Calibri" w:eastAsia="Calibri" w:hAnsi="Calibri"/>
                <w:sz w:val="16"/>
                <w:szCs w:val="16"/>
                <w:color w:val="333333"/>
              </w:rPr>
              <w:t>New York, NY 10001</w:t>
            </w:r>
          </w:p>
        </w:tc>
        <w:tc>
          <w:tcPr>
            <w:tcW w:w="1400" w:type="dxa"/>
            <w:vAlign w:val="bottom"/>
          </w:tcPr>
          <w:p>
            <w:pPr>
              <w:jc w:val="center"/>
              <w:spacing w:after="0"/>
              <w:rPr>
                <w:sz w:val="20"/>
                <w:szCs w:val="20"/>
                <w:color w:val="auto"/>
              </w:rPr>
            </w:pPr>
            <w:r>
              <w:rPr>
                <w:rFonts w:ascii="Calibri" w:cs="Calibri" w:eastAsia="Calibri" w:hAnsi="Calibri"/>
                <w:sz w:val="16"/>
                <w:szCs w:val="16"/>
                <w:color w:val="333333"/>
              </w:rPr>
              <w:t>3,076,672</w:t>
            </w:r>
          </w:p>
        </w:tc>
        <w:tc>
          <w:tcPr>
            <w:tcW w:w="1420" w:type="dxa"/>
            <w:vAlign w:val="bottom"/>
          </w:tcPr>
          <w:p>
            <w:pPr>
              <w:jc w:val="center"/>
              <w:spacing w:after="0"/>
              <w:rPr>
                <w:sz w:val="20"/>
                <w:szCs w:val="20"/>
                <w:color w:val="auto"/>
              </w:rPr>
            </w:pPr>
            <w:r>
              <w:rPr>
                <w:rFonts w:ascii="Calibri" w:cs="Calibri" w:eastAsia="Calibri" w:hAnsi="Calibri"/>
                <w:sz w:val="16"/>
                <w:szCs w:val="16"/>
                <w:color w:val="333333"/>
                <w:w w:val="96"/>
              </w:rPr>
              <w:t>—</w:t>
            </w:r>
          </w:p>
        </w:tc>
        <w:tc>
          <w:tcPr>
            <w:tcW w:w="1540" w:type="dxa"/>
            <w:vAlign w:val="bottom"/>
          </w:tcPr>
          <w:p>
            <w:pPr>
              <w:jc w:val="center"/>
              <w:spacing w:after="0"/>
              <w:rPr>
                <w:sz w:val="20"/>
                <w:szCs w:val="20"/>
                <w:color w:val="auto"/>
              </w:rPr>
            </w:pPr>
            <w:r>
              <w:rPr>
                <w:rFonts w:ascii="Calibri" w:cs="Calibri" w:eastAsia="Calibri" w:hAnsi="Calibri"/>
                <w:sz w:val="16"/>
                <w:szCs w:val="16"/>
                <w:color w:val="333333"/>
              </w:rPr>
              <w:t>—</w:t>
            </w:r>
          </w:p>
        </w:tc>
        <w:tc>
          <w:tcPr>
            <w:tcW w:w="1640" w:type="dxa"/>
            <w:vAlign w:val="bottom"/>
          </w:tcPr>
          <w:p>
            <w:pPr>
              <w:jc w:val="center"/>
              <w:spacing w:after="0"/>
              <w:rPr>
                <w:sz w:val="20"/>
                <w:szCs w:val="20"/>
                <w:color w:val="auto"/>
              </w:rPr>
            </w:pPr>
            <w:r>
              <w:rPr>
                <w:rFonts w:ascii="Calibri" w:cs="Calibri" w:eastAsia="Calibri" w:hAnsi="Calibri"/>
                <w:sz w:val="16"/>
                <w:szCs w:val="16"/>
                <w:color w:val="333333"/>
              </w:rPr>
              <w:t>3,076,672</w:t>
            </w:r>
          </w:p>
        </w:tc>
        <w:tc>
          <w:tcPr>
            <w:tcW w:w="1620" w:type="dxa"/>
            <w:vAlign w:val="bottom"/>
          </w:tcPr>
          <w:p>
            <w:pPr>
              <w:jc w:val="center"/>
              <w:ind w:left="11"/>
              <w:spacing w:after="0"/>
              <w:rPr>
                <w:sz w:val="20"/>
                <w:szCs w:val="20"/>
                <w:color w:val="auto"/>
              </w:rPr>
            </w:pPr>
            <w:r>
              <w:rPr>
                <w:rFonts w:ascii="Calibri" w:cs="Calibri" w:eastAsia="Calibri" w:hAnsi="Calibri"/>
                <w:sz w:val="16"/>
                <w:szCs w:val="16"/>
                <w:color w:val="333333"/>
                <w:w w:val="98"/>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80" w:type="dxa"/>
            <w:vAlign w:val="bottom"/>
            <w:tcBorders>
              <w:left w:val="single" w:sz="8" w:color="EFF2EF"/>
              <w:right w:val="single" w:sz="8" w:color="EFF2EF"/>
            </w:tcBorders>
            <w:gridSpan w:val="2"/>
            <w:shd w:val="clear" w:color="auto" w:fill="EFF2EF"/>
          </w:tcPr>
          <w:p>
            <w:pPr>
              <w:spacing w:after="0" w:line="182" w:lineRule="exact"/>
              <w:rPr>
                <w:sz w:val="20"/>
                <w:szCs w:val="20"/>
                <w:color w:val="auto"/>
              </w:rPr>
            </w:pPr>
            <w:r>
              <w:rPr>
                <w:rFonts w:ascii="Calibri" w:cs="Calibri" w:eastAsia="Calibri" w:hAnsi="Calibri"/>
                <w:sz w:val="16"/>
                <w:szCs w:val="16"/>
                <w:b w:val="1"/>
                <w:bCs w:val="1"/>
                <w:color w:val="0591DB"/>
              </w:rPr>
              <w:t>Kayne Anderson Rudnick Investment</w:t>
            </w:r>
          </w:p>
        </w:tc>
        <w:tc>
          <w:tcPr>
            <w:tcW w:w="1400" w:type="dxa"/>
            <w:vAlign w:val="bottom"/>
            <w:tcBorders>
              <w:right w:val="single" w:sz="8" w:color="EFF2EF"/>
            </w:tcBorders>
            <w:shd w:val="clear" w:color="auto" w:fill="EFF2EF"/>
          </w:tcPr>
          <w:p>
            <w:pPr>
              <w:spacing w:after="0"/>
              <w:rPr>
                <w:sz w:val="15"/>
                <w:szCs w:val="15"/>
                <w:color w:val="auto"/>
              </w:rPr>
            </w:pPr>
          </w:p>
        </w:tc>
        <w:tc>
          <w:tcPr>
            <w:tcW w:w="1420" w:type="dxa"/>
            <w:vAlign w:val="bottom"/>
            <w:tcBorders>
              <w:right w:val="single" w:sz="8" w:color="EFF2EF"/>
            </w:tcBorders>
            <w:shd w:val="clear" w:color="auto" w:fill="EFF2EF"/>
          </w:tcPr>
          <w:p>
            <w:pPr>
              <w:spacing w:after="0"/>
              <w:rPr>
                <w:sz w:val="15"/>
                <w:szCs w:val="15"/>
                <w:color w:val="auto"/>
              </w:rPr>
            </w:pPr>
          </w:p>
        </w:tc>
        <w:tc>
          <w:tcPr>
            <w:tcW w:w="1540" w:type="dxa"/>
            <w:vAlign w:val="bottom"/>
            <w:tcBorders>
              <w:right w:val="single" w:sz="8" w:color="EFF2EF"/>
            </w:tcBorders>
            <w:shd w:val="clear" w:color="auto" w:fill="EFF2EF"/>
          </w:tcPr>
          <w:p>
            <w:pPr>
              <w:spacing w:after="0"/>
              <w:rPr>
                <w:sz w:val="15"/>
                <w:szCs w:val="15"/>
                <w:color w:val="auto"/>
              </w:rPr>
            </w:pPr>
          </w:p>
        </w:tc>
        <w:tc>
          <w:tcPr>
            <w:tcW w:w="1640" w:type="dxa"/>
            <w:vAlign w:val="bottom"/>
            <w:tcBorders>
              <w:right w:val="single" w:sz="8" w:color="EFF2EF"/>
            </w:tcBorders>
            <w:shd w:val="clear" w:color="auto" w:fill="EFF2EF"/>
          </w:tcPr>
          <w:p>
            <w:pPr>
              <w:spacing w:after="0"/>
              <w:rPr>
                <w:sz w:val="15"/>
                <w:szCs w:val="15"/>
                <w:color w:val="auto"/>
              </w:rPr>
            </w:pPr>
          </w:p>
        </w:tc>
        <w:tc>
          <w:tcPr>
            <w:tcW w:w="162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80" w:type="dxa"/>
            <w:vAlign w:val="bottom"/>
            <w:tcBorders>
              <w:left w:val="single" w:sz="8" w:color="EFF2EF"/>
              <w:right w:val="single" w:sz="8" w:color="EFF2EF"/>
            </w:tcBorders>
            <w:gridSpan w:val="2"/>
            <w:shd w:val="clear" w:color="auto" w:fill="EFF2EF"/>
          </w:tcPr>
          <w:p>
            <w:pPr>
              <w:spacing w:after="0" w:line="200" w:lineRule="exact"/>
              <w:rPr>
                <w:sz w:val="20"/>
                <w:szCs w:val="20"/>
                <w:color w:val="auto"/>
              </w:rPr>
            </w:pPr>
            <w:r>
              <w:rPr>
                <w:rFonts w:ascii="Calibri" w:cs="Calibri" w:eastAsia="Calibri" w:hAnsi="Calibri"/>
                <w:sz w:val="14"/>
                <w:szCs w:val="14"/>
                <w:b w:val="1"/>
                <w:bCs w:val="1"/>
                <w:color w:val="0591DB"/>
              </w:rPr>
              <w:t xml:space="preserve">Management, LLC </w:t>
            </w:r>
            <w:r>
              <w:rPr>
                <w:rFonts w:ascii="Calibri" w:cs="Calibri" w:eastAsia="Calibri" w:hAnsi="Calibri"/>
                <w:sz w:val="21"/>
                <w:szCs w:val="21"/>
                <w:color w:val="0591DB"/>
                <w:vertAlign w:val="superscript"/>
              </w:rPr>
              <w:t>(8)</w:t>
            </w:r>
          </w:p>
        </w:tc>
        <w:tc>
          <w:tcPr>
            <w:tcW w:w="1400" w:type="dxa"/>
            <w:vAlign w:val="bottom"/>
            <w:tcBorders>
              <w:right w:val="single" w:sz="8" w:color="EFF2EF"/>
            </w:tcBorders>
            <w:shd w:val="clear" w:color="auto" w:fill="EFF2EF"/>
          </w:tcPr>
          <w:p>
            <w:pPr>
              <w:spacing w:after="0"/>
              <w:rPr>
                <w:sz w:val="17"/>
                <w:szCs w:val="17"/>
                <w:color w:val="auto"/>
              </w:rPr>
            </w:pPr>
          </w:p>
        </w:tc>
        <w:tc>
          <w:tcPr>
            <w:tcW w:w="1420" w:type="dxa"/>
            <w:vAlign w:val="bottom"/>
            <w:tcBorders>
              <w:right w:val="single" w:sz="8" w:color="EFF2EF"/>
            </w:tcBorders>
            <w:shd w:val="clear" w:color="auto" w:fill="EFF2EF"/>
          </w:tcPr>
          <w:p>
            <w:pPr>
              <w:spacing w:after="0"/>
              <w:rPr>
                <w:sz w:val="17"/>
                <w:szCs w:val="17"/>
                <w:color w:val="auto"/>
              </w:rPr>
            </w:pPr>
          </w:p>
        </w:tc>
        <w:tc>
          <w:tcPr>
            <w:tcW w:w="1540" w:type="dxa"/>
            <w:vAlign w:val="bottom"/>
            <w:tcBorders>
              <w:right w:val="single" w:sz="8" w:color="EFF2EF"/>
            </w:tcBorders>
            <w:shd w:val="clear" w:color="auto" w:fill="EFF2EF"/>
          </w:tcPr>
          <w:p>
            <w:pPr>
              <w:spacing w:after="0"/>
              <w:rPr>
                <w:sz w:val="17"/>
                <w:szCs w:val="17"/>
                <w:color w:val="auto"/>
              </w:rPr>
            </w:pPr>
          </w:p>
        </w:tc>
        <w:tc>
          <w:tcPr>
            <w:tcW w:w="1640" w:type="dxa"/>
            <w:vAlign w:val="bottom"/>
            <w:tcBorders>
              <w:right w:val="single" w:sz="8" w:color="EFF2EF"/>
            </w:tcBorders>
            <w:shd w:val="clear" w:color="auto" w:fill="EFF2EF"/>
          </w:tcPr>
          <w:p>
            <w:pPr>
              <w:spacing w:after="0"/>
              <w:rPr>
                <w:sz w:val="17"/>
                <w:szCs w:val="17"/>
                <w:color w:val="auto"/>
              </w:rPr>
            </w:pPr>
          </w:p>
        </w:tc>
        <w:tc>
          <w:tcPr>
            <w:tcW w:w="162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80" w:type="dxa"/>
            <w:vAlign w:val="bottom"/>
            <w:tcBorders>
              <w:left w:val="single" w:sz="8" w:color="EFF2EF"/>
              <w:right w:val="single" w:sz="8" w:color="EFF2EF"/>
            </w:tcBorders>
            <w:gridSpan w:val="2"/>
            <w:shd w:val="clear" w:color="auto" w:fill="EFF2EF"/>
          </w:tcPr>
          <w:p>
            <w:pPr>
              <w:spacing w:after="0" w:line="200" w:lineRule="exact"/>
              <w:rPr>
                <w:sz w:val="20"/>
                <w:szCs w:val="20"/>
                <w:color w:val="auto"/>
              </w:rPr>
            </w:pPr>
            <w:r>
              <w:rPr>
                <w:rFonts w:ascii="Calibri" w:cs="Calibri" w:eastAsia="Calibri" w:hAnsi="Calibri"/>
                <w:sz w:val="14"/>
                <w:szCs w:val="14"/>
                <w:color w:val="333333"/>
              </w:rPr>
              <w:t>2000 Avenue of the Stars, 2</w:t>
            </w:r>
            <w:r>
              <w:rPr>
                <w:rFonts w:ascii="Calibri" w:cs="Calibri" w:eastAsia="Calibri" w:hAnsi="Calibri"/>
                <w:sz w:val="21"/>
                <w:szCs w:val="21"/>
                <w:color w:val="333333"/>
                <w:vertAlign w:val="superscript"/>
              </w:rPr>
              <w:t>nd</w:t>
            </w:r>
            <w:r>
              <w:rPr>
                <w:rFonts w:ascii="Calibri" w:cs="Calibri" w:eastAsia="Calibri" w:hAnsi="Calibri"/>
                <w:sz w:val="14"/>
                <w:szCs w:val="14"/>
                <w:color w:val="333333"/>
              </w:rPr>
              <w:t xml:space="preserve"> Floor</w:t>
            </w:r>
          </w:p>
        </w:tc>
        <w:tc>
          <w:tcPr>
            <w:tcW w:w="1400" w:type="dxa"/>
            <w:vAlign w:val="bottom"/>
            <w:tcBorders>
              <w:right w:val="single" w:sz="8" w:color="EFF2EF"/>
            </w:tcBorders>
            <w:shd w:val="clear" w:color="auto" w:fill="EFF2EF"/>
          </w:tcPr>
          <w:p>
            <w:pPr>
              <w:spacing w:after="0"/>
              <w:rPr>
                <w:sz w:val="17"/>
                <w:szCs w:val="17"/>
                <w:color w:val="auto"/>
              </w:rPr>
            </w:pPr>
          </w:p>
        </w:tc>
        <w:tc>
          <w:tcPr>
            <w:tcW w:w="1420" w:type="dxa"/>
            <w:vAlign w:val="bottom"/>
            <w:tcBorders>
              <w:right w:val="single" w:sz="8" w:color="EFF2EF"/>
            </w:tcBorders>
            <w:shd w:val="clear" w:color="auto" w:fill="EFF2EF"/>
          </w:tcPr>
          <w:p>
            <w:pPr>
              <w:spacing w:after="0"/>
              <w:rPr>
                <w:sz w:val="17"/>
                <w:szCs w:val="17"/>
                <w:color w:val="auto"/>
              </w:rPr>
            </w:pPr>
          </w:p>
        </w:tc>
        <w:tc>
          <w:tcPr>
            <w:tcW w:w="1540" w:type="dxa"/>
            <w:vAlign w:val="bottom"/>
            <w:tcBorders>
              <w:right w:val="single" w:sz="8" w:color="EFF2EF"/>
            </w:tcBorders>
            <w:shd w:val="clear" w:color="auto" w:fill="EFF2EF"/>
          </w:tcPr>
          <w:p>
            <w:pPr>
              <w:spacing w:after="0"/>
              <w:rPr>
                <w:sz w:val="17"/>
                <w:szCs w:val="17"/>
                <w:color w:val="auto"/>
              </w:rPr>
            </w:pPr>
          </w:p>
        </w:tc>
        <w:tc>
          <w:tcPr>
            <w:tcW w:w="1640" w:type="dxa"/>
            <w:vAlign w:val="bottom"/>
            <w:tcBorders>
              <w:right w:val="single" w:sz="8" w:color="EFF2EF"/>
            </w:tcBorders>
            <w:shd w:val="clear" w:color="auto" w:fill="EFF2EF"/>
          </w:tcPr>
          <w:p>
            <w:pPr>
              <w:spacing w:after="0"/>
              <w:rPr>
                <w:sz w:val="17"/>
                <w:szCs w:val="17"/>
                <w:color w:val="auto"/>
              </w:rPr>
            </w:pPr>
          </w:p>
        </w:tc>
        <w:tc>
          <w:tcPr>
            <w:tcW w:w="162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Suite 1110</w:t>
            </w:r>
          </w:p>
        </w:tc>
        <w:tc>
          <w:tcPr>
            <w:tcW w:w="1400" w:type="dxa"/>
            <w:vAlign w:val="bottom"/>
            <w:tcBorders>
              <w:right w:val="single" w:sz="8" w:color="EFF2EF"/>
            </w:tcBorders>
            <w:shd w:val="clear" w:color="auto" w:fill="EFF2EF"/>
          </w:tcPr>
          <w:p>
            <w:pPr>
              <w:spacing w:after="0"/>
              <w:rPr>
                <w:sz w:val="16"/>
                <w:szCs w:val="16"/>
                <w:color w:val="auto"/>
              </w:rPr>
            </w:pPr>
          </w:p>
        </w:tc>
        <w:tc>
          <w:tcPr>
            <w:tcW w:w="1420" w:type="dxa"/>
            <w:vAlign w:val="bottom"/>
            <w:tcBorders>
              <w:right w:val="single" w:sz="8" w:color="EFF2EF"/>
            </w:tcBorders>
            <w:shd w:val="clear" w:color="auto" w:fill="EFF2EF"/>
          </w:tcPr>
          <w:p>
            <w:pPr>
              <w:spacing w:after="0"/>
              <w:rPr>
                <w:sz w:val="16"/>
                <w:szCs w:val="16"/>
                <w:color w:val="auto"/>
              </w:rPr>
            </w:pPr>
          </w:p>
        </w:tc>
        <w:tc>
          <w:tcPr>
            <w:tcW w:w="1540" w:type="dxa"/>
            <w:vAlign w:val="bottom"/>
            <w:tcBorders>
              <w:right w:val="single" w:sz="8" w:color="EFF2EF"/>
            </w:tcBorders>
            <w:shd w:val="clear" w:color="auto" w:fill="EFF2EF"/>
          </w:tcPr>
          <w:p>
            <w:pPr>
              <w:spacing w:after="0"/>
              <w:rPr>
                <w:sz w:val="16"/>
                <w:szCs w:val="16"/>
                <w:color w:val="auto"/>
              </w:rPr>
            </w:pPr>
          </w:p>
        </w:tc>
        <w:tc>
          <w:tcPr>
            <w:tcW w:w="1640" w:type="dxa"/>
            <w:vAlign w:val="bottom"/>
            <w:tcBorders>
              <w:right w:val="single" w:sz="8" w:color="EFF2EF"/>
            </w:tcBorders>
            <w:shd w:val="clear" w:color="auto" w:fill="EFF2EF"/>
          </w:tcPr>
          <w:p>
            <w:pPr>
              <w:spacing w:after="0"/>
              <w:rPr>
                <w:sz w:val="16"/>
                <w:szCs w:val="16"/>
                <w:color w:val="auto"/>
              </w:rPr>
            </w:pPr>
          </w:p>
        </w:tc>
        <w:tc>
          <w:tcPr>
            <w:tcW w:w="1620" w:type="dxa"/>
            <w:vAlign w:val="bottom"/>
            <w:shd w:val="clear" w:color="auto" w:fill="EFF2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Borders>
              <w:left w:val="single" w:sz="8" w:color="EFF2EF"/>
              <w:right w:val="single" w:sz="8" w:color="EFF2EF"/>
            </w:tcBorders>
            <w:gridSpan w:val="2"/>
            <w:shd w:val="clear" w:color="auto" w:fill="EFF2EF"/>
          </w:tcPr>
          <w:p>
            <w:pPr>
              <w:spacing w:after="0"/>
              <w:rPr>
                <w:sz w:val="20"/>
                <w:szCs w:val="20"/>
                <w:color w:val="auto"/>
              </w:rPr>
            </w:pPr>
            <w:r>
              <w:rPr>
                <w:rFonts w:ascii="Calibri" w:cs="Calibri" w:eastAsia="Calibri" w:hAnsi="Calibri"/>
                <w:sz w:val="16"/>
                <w:szCs w:val="16"/>
                <w:color w:val="333333"/>
              </w:rPr>
              <w:t>Los Angeles, CA 90067</w:t>
            </w:r>
          </w:p>
        </w:tc>
        <w:tc>
          <w:tcPr>
            <w:tcW w:w="14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3,373,453</w:t>
            </w:r>
          </w:p>
        </w:tc>
        <w:tc>
          <w:tcPr>
            <w:tcW w:w="14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w w:val="96"/>
              </w:rPr>
              <w:t>—</w:t>
            </w:r>
          </w:p>
        </w:tc>
        <w:tc>
          <w:tcPr>
            <w:tcW w:w="15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w:t>
            </w:r>
          </w:p>
        </w:tc>
        <w:tc>
          <w:tcPr>
            <w:tcW w:w="16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3,373,453</w:t>
            </w:r>
          </w:p>
        </w:tc>
        <w:tc>
          <w:tcPr>
            <w:tcW w:w="1620" w:type="dxa"/>
            <w:vAlign w:val="bottom"/>
            <w:shd w:val="clear" w:color="auto" w:fill="EFF2EF"/>
          </w:tcPr>
          <w:p>
            <w:pPr>
              <w:jc w:val="center"/>
              <w:ind w:left="11"/>
              <w:spacing w:after="0"/>
              <w:rPr>
                <w:sz w:val="20"/>
                <w:szCs w:val="20"/>
                <w:color w:val="auto"/>
              </w:rPr>
            </w:pPr>
            <w:r>
              <w:rPr>
                <w:rFonts w:ascii="Calibri" w:cs="Calibri" w:eastAsia="Calibri" w:hAnsi="Calibri"/>
                <w:sz w:val="16"/>
                <w:szCs w:val="16"/>
                <w:color w:val="333333"/>
                <w:w w:val="98"/>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280" w:type="dxa"/>
            <w:vAlign w:val="bottom"/>
            <w:tcBorders>
              <w:left w:val="single" w:sz="8" w:color="EFF2EF"/>
            </w:tcBorders>
            <w:shd w:val="clear" w:color="auto" w:fill="EFF2EF"/>
          </w:tcPr>
          <w:p>
            <w:pPr>
              <w:spacing w:after="0"/>
              <w:rPr>
                <w:sz w:val="8"/>
                <w:szCs w:val="8"/>
                <w:color w:val="auto"/>
              </w:rPr>
            </w:pPr>
          </w:p>
        </w:tc>
        <w:tc>
          <w:tcPr>
            <w:tcW w:w="1000" w:type="dxa"/>
            <w:vAlign w:val="bottom"/>
            <w:tcBorders>
              <w:right w:val="single" w:sz="8" w:color="EFF2EF"/>
            </w:tcBorders>
            <w:shd w:val="clear" w:color="auto" w:fill="EFF2EF"/>
          </w:tcPr>
          <w:p>
            <w:pPr>
              <w:spacing w:after="0"/>
              <w:rPr>
                <w:sz w:val="8"/>
                <w:szCs w:val="8"/>
                <w:color w:val="auto"/>
              </w:rPr>
            </w:pPr>
          </w:p>
        </w:tc>
        <w:tc>
          <w:tcPr>
            <w:tcW w:w="1400" w:type="dxa"/>
            <w:vAlign w:val="bottom"/>
            <w:tcBorders>
              <w:right w:val="single" w:sz="8" w:color="EFF2EF"/>
            </w:tcBorders>
            <w:shd w:val="clear" w:color="auto" w:fill="EFF2EF"/>
          </w:tcPr>
          <w:p>
            <w:pPr>
              <w:spacing w:after="0"/>
              <w:rPr>
                <w:sz w:val="8"/>
                <w:szCs w:val="8"/>
                <w:color w:val="auto"/>
              </w:rPr>
            </w:pPr>
          </w:p>
        </w:tc>
        <w:tc>
          <w:tcPr>
            <w:tcW w:w="1420" w:type="dxa"/>
            <w:vAlign w:val="bottom"/>
            <w:tcBorders>
              <w:right w:val="single" w:sz="8" w:color="EFF2EF"/>
            </w:tcBorders>
            <w:shd w:val="clear" w:color="auto" w:fill="EFF2EF"/>
          </w:tcPr>
          <w:p>
            <w:pPr>
              <w:spacing w:after="0"/>
              <w:rPr>
                <w:sz w:val="8"/>
                <w:szCs w:val="8"/>
                <w:color w:val="auto"/>
              </w:rPr>
            </w:pPr>
          </w:p>
        </w:tc>
        <w:tc>
          <w:tcPr>
            <w:tcW w:w="1540" w:type="dxa"/>
            <w:vAlign w:val="bottom"/>
            <w:tcBorders>
              <w:right w:val="single" w:sz="8" w:color="EFF2EF"/>
            </w:tcBorders>
            <w:shd w:val="clear" w:color="auto" w:fill="EFF2EF"/>
          </w:tcPr>
          <w:p>
            <w:pPr>
              <w:spacing w:after="0"/>
              <w:rPr>
                <w:sz w:val="8"/>
                <w:szCs w:val="8"/>
                <w:color w:val="auto"/>
              </w:rPr>
            </w:pPr>
          </w:p>
        </w:tc>
        <w:tc>
          <w:tcPr>
            <w:tcW w:w="1640" w:type="dxa"/>
            <w:vAlign w:val="bottom"/>
            <w:tcBorders>
              <w:right w:val="single" w:sz="8" w:color="EFF2EF"/>
            </w:tcBorders>
            <w:shd w:val="clear" w:color="auto" w:fill="EFF2EF"/>
          </w:tcPr>
          <w:p>
            <w:pPr>
              <w:spacing w:after="0"/>
              <w:rPr>
                <w:sz w:val="8"/>
                <w:szCs w:val="8"/>
                <w:color w:val="auto"/>
              </w:rPr>
            </w:pPr>
          </w:p>
        </w:tc>
        <w:tc>
          <w:tcPr>
            <w:tcW w:w="1620" w:type="dxa"/>
            <w:vAlign w:val="bottom"/>
            <w:shd w:val="clear" w:color="auto" w:fill="EFF2E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80" w:type="dxa"/>
            <w:vAlign w:val="bottom"/>
            <w:gridSpan w:val="2"/>
          </w:tcPr>
          <w:p>
            <w:pPr>
              <w:spacing w:after="0" w:line="182" w:lineRule="exact"/>
              <w:rPr>
                <w:sz w:val="20"/>
                <w:szCs w:val="20"/>
                <w:color w:val="auto"/>
              </w:rPr>
            </w:pPr>
            <w:r>
              <w:rPr>
                <w:rFonts w:ascii="Calibri" w:cs="Calibri" w:eastAsia="Calibri" w:hAnsi="Calibri"/>
                <w:sz w:val="13"/>
                <w:szCs w:val="13"/>
                <w:b w:val="1"/>
                <w:bCs w:val="1"/>
                <w:color w:val="0591DB"/>
              </w:rPr>
              <w:t xml:space="preserve">Mawer Investment Management Ltd. </w:t>
            </w:r>
            <w:r>
              <w:rPr>
                <w:rFonts w:ascii="Calibri" w:cs="Calibri" w:eastAsia="Calibri" w:hAnsi="Calibri"/>
                <w:sz w:val="19"/>
                <w:szCs w:val="19"/>
                <w:color w:val="0591DB"/>
                <w:vertAlign w:val="superscript"/>
              </w:rPr>
              <w:t>(9)</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00" w:type="dxa"/>
            <w:vAlign w:val="bottom"/>
            <w:gridSpan w:val="3"/>
          </w:tcPr>
          <w:p>
            <w:pPr>
              <w:spacing w:after="0" w:line="200" w:lineRule="exact"/>
              <w:rPr>
                <w:sz w:val="20"/>
                <w:szCs w:val="20"/>
                <w:color w:val="auto"/>
              </w:rPr>
            </w:pPr>
            <w:r>
              <w:rPr>
                <w:rFonts w:ascii="Calibri" w:cs="Calibri" w:eastAsia="Calibri" w:hAnsi="Calibri"/>
                <w:sz w:val="14"/>
                <w:szCs w:val="14"/>
                <w:color w:val="333333"/>
              </w:rPr>
              <w:t>600, 517 – 10</w:t>
            </w:r>
            <w:r>
              <w:rPr>
                <w:rFonts w:ascii="Calibri" w:cs="Calibri" w:eastAsia="Calibri" w:hAnsi="Calibri"/>
                <w:sz w:val="21"/>
                <w:szCs w:val="21"/>
                <w:color w:val="333333"/>
                <w:vertAlign w:val="superscript"/>
              </w:rPr>
              <w:t>th</w:t>
            </w:r>
            <w:r>
              <w:rPr>
                <w:rFonts w:ascii="Calibri" w:cs="Calibri" w:eastAsia="Calibri" w:hAnsi="Calibri"/>
                <w:sz w:val="14"/>
                <w:szCs w:val="14"/>
                <w:color w:val="333333"/>
              </w:rPr>
              <w:t xml:space="preserve"> Avenue SW Calgary, Alberta,</w:t>
            </w: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gridSpan w:val="3"/>
          </w:tcPr>
          <w:p>
            <w:pPr>
              <w:spacing w:after="0" w:line="193" w:lineRule="exact"/>
              <w:rPr>
                <w:sz w:val="20"/>
                <w:szCs w:val="20"/>
                <w:color w:val="auto"/>
              </w:rPr>
            </w:pPr>
            <w:r>
              <w:rPr>
                <w:rFonts w:ascii="Calibri" w:cs="Calibri" w:eastAsia="Calibri" w:hAnsi="Calibri"/>
                <w:sz w:val="16"/>
                <w:szCs w:val="16"/>
                <w:color w:val="333333"/>
              </w:rPr>
              <w:t>Canada T2R 0A8</w:t>
            </w:r>
          </w:p>
        </w:tc>
        <w:tc>
          <w:tcPr>
            <w:tcW w:w="1400" w:type="dxa"/>
            <w:vAlign w:val="bottom"/>
          </w:tcPr>
          <w:p>
            <w:pPr>
              <w:jc w:val="center"/>
              <w:spacing w:after="0"/>
              <w:rPr>
                <w:sz w:val="20"/>
                <w:szCs w:val="20"/>
                <w:color w:val="auto"/>
              </w:rPr>
            </w:pPr>
            <w:r>
              <w:rPr>
                <w:rFonts w:ascii="Calibri" w:cs="Calibri" w:eastAsia="Calibri" w:hAnsi="Calibri"/>
                <w:sz w:val="16"/>
                <w:szCs w:val="16"/>
                <w:color w:val="333333"/>
              </w:rPr>
              <w:t>2,305,748</w:t>
            </w:r>
          </w:p>
        </w:tc>
        <w:tc>
          <w:tcPr>
            <w:tcW w:w="1420" w:type="dxa"/>
            <w:vAlign w:val="bottom"/>
          </w:tcPr>
          <w:p>
            <w:pPr>
              <w:jc w:val="center"/>
              <w:spacing w:after="0"/>
              <w:rPr>
                <w:sz w:val="20"/>
                <w:szCs w:val="20"/>
                <w:color w:val="auto"/>
              </w:rPr>
            </w:pPr>
            <w:r>
              <w:rPr>
                <w:rFonts w:ascii="Calibri" w:cs="Calibri" w:eastAsia="Calibri" w:hAnsi="Calibri"/>
                <w:sz w:val="16"/>
                <w:szCs w:val="16"/>
                <w:color w:val="333333"/>
                <w:w w:val="96"/>
              </w:rPr>
              <w:t>—</w:t>
            </w:r>
          </w:p>
        </w:tc>
        <w:tc>
          <w:tcPr>
            <w:tcW w:w="1540" w:type="dxa"/>
            <w:vAlign w:val="bottom"/>
          </w:tcPr>
          <w:p>
            <w:pPr>
              <w:jc w:val="center"/>
              <w:spacing w:after="0"/>
              <w:rPr>
                <w:sz w:val="20"/>
                <w:szCs w:val="20"/>
                <w:color w:val="auto"/>
              </w:rPr>
            </w:pPr>
            <w:r>
              <w:rPr>
                <w:rFonts w:ascii="Calibri" w:cs="Calibri" w:eastAsia="Calibri" w:hAnsi="Calibri"/>
                <w:sz w:val="16"/>
                <w:szCs w:val="16"/>
                <w:color w:val="333333"/>
              </w:rPr>
              <w:t>—</w:t>
            </w:r>
          </w:p>
        </w:tc>
        <w:tc>
          <w:tcPr>
            <w:tcW w:w="1640" w:type="dxa"/>
            <w:vAlign w:val="bottom"/>
          </w:tcPr>
          <w:p>
            <w:pPr>
              <w:jc w:val="center"/>
              <w:spacing w:after="0"/>
              <w:rPr>
                <w:sz w:val="20"/>
                <w:szCs w:val="20"/>
                <w:color w:val="auto"/>
              </w:rPr>
            </w:pPr>
            <w:r>
              <w:rPr>
                <w:rFonts w:ascii="Calibri" w:cs="Calibri" w:eastAsia="Calibri" w:hAnsi="Calibri"/>
                <w:sz w:val="16"/>
                <w:szCs w:val="16"/>
                <w:color w:val="333333"/>
              </w:rPr>
              <w:t>2,305,748</w:t>
            </w:r>
          </w:p>
        </w:tc>
        <w:tc>
          <w:tcPr>
            <w:tcW w:w="1620" w:type="dxa"/>
            <w:vAlign w:val="bottom"/>
          </w:tcPr>
          <w:p>
            <w:pPr>
              <w:jc w:val="center"/>
              <w:ind w:left="11"/>
              <w:spacing w:after="0"/>
              <w:rPr>
                <w:sz w:val="20"/>
                <w:szCs w:val="20"/>
                <w:color w:val="auto"/>
              </w:rPr>
            </w:pPr>
            <w:r>
              <w:rPr>
                <w:rFonts w:ascii="Calibri" w:cs="Calibri" w:eastAsia="Calibri" w:hAnsi="Calibri"/>
                <w:sz w:val="16"/>
                <w:szCs w:val="16"/>
                <w:color w:val="333333"/>
                <w:w w:val="98"/>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80" w:type="dxa"/>
            <w:vAlign w:val="bottom"/>
            <w:tcBorders>
              <w:left w:val="single" w:sz="8" w:color="EFF2EF"/>
              <w:right w:val="single" w:sz="8" w:color="EFF2EF"/>
            </w:tcBorders>
            <w:gridSpan w:val="2"/>
            <w:shd w:val="clear" w:color="auto" w:fill="EFF2EF"/>
          </w:tcPr>
          <w:p>
            <w:pPr>
              <w:spacing w:after="0" w:line="182" w:lineRule="exact"/>
              <w:rPr>
                <w:sz w:val="20"/>
                <w:szCs w:val="20"/>
                <w:color w:val="auto"/>
              </w:rPr>
            </w:pPr>
            <w:r>
              <w:rPr>
                <w:rFonts w:ascii="Calibri" w:cs="Calibri" w:eastAsia="Calibri" w:hAnsi="Calibri"/>
                <w:sz w:val="13"/>
                <w:szCs w:val="13"/>
                <w:b w:val="1"/>
                <w:bCs w:val="1"/>
                <w:color w:val="0591DB"/>
              </w:rPr>
              <w:t xml:space="preserve">The Vanguard Group, Inc. </w:t>
            </w:r>
            <w:r>
              <w:rPr>
                <w:rFonts w:ascii="Calibri" w:cs="Calibri" w:eastAsia="Calibri" w:hAnsi="Calibri"/>
                <w:sz w:val="19"/>
                <w:szCs w:val="19"/>
                <w:color w:val="0591DB"/>
                <w:vertAlign w:val="superscript"/>
              </w:rPr>
              <w:t>(10)</w:t>
            </w:r>
          </w:p>
        </w:tc>
        <w:tc>
          <w:tcPr>
            <w:tcW w:w="1400" w:type="dxa"/>
            <w:vAlign w:val="bottom"/>
            <w:tcBorders>
              <w:right w:val="single" w:sz="8" w:color="EFF2EF"/>
            </w:tcBorders>
            <w:shd w:val="clear" w:color="auto" w:fill="EFF2EF"/>
          </w:tcPr>
          <w:p>
            <w:pPr>
              <w:spacing w:after="0"/>
              <w:rPr>
                <w:sz w:val="15"/>
                <w:szCs w:val="15"/>
                <w:color w:val="auto"/>
              </w:rPr>
            </w:pPr>
          </w:p>
        </w:tc>
        <w:tc>
          <w:tcPr>
            <w:tcW w:w="1420" w:type="dxa"/>
            <w:vAlign w:val="bottom"/>
            <w:tcBorders>
              <w:right w:val="single" w:sz="8" w:color="EFF2EF"/>
            </w:tcBorders>
            <w:shd w:val="clear" w:color="auto" w:fill="EFF2EF"/>
          </w:tcPr>
          <w:p>
            <w:pPr>
              <w:spacing w:after="0"/>
              <w:rPr>
                <w:sz w:val="15"/>
                <w:szCs w:val="15"/>
                <w:color w:val="auto"/>
              </w:rPr>
            </w:pPr>
          </w:p>
        </w:tc>
        <w:tc>
          <w:tcPr>
            <w:tcW w:w="1540" w:type="dxa"/>
            <w:vAlign w:val="bottom"/>
            <w:tcBorders>
              <w:right w:val="single" w:sz="8" w:color="EFF2EF"/>
            </w:tcBorders>
            <w:shd w:val="clear" w:color="auto" w:fill="EFF2EF"/>
          </w:tcPr>
          <w:p>
            <w:pPr>
              <w:spacing w:after="0"/>
              <w:rPr>
                <w:sz w:val="15"/>
                <w:szCs w:val="15"/>
                <w:color w:val="auto"/>
              </w:rPr>
            </w:pPr>
          </w:p>
        </w:tc>
        <w:tc>
          <w:tcPr>
            <w:tcW w:w="1640" w:type="dxa"/>
            <w:vAlign w:val="bottom"/>
            <w:tcBorders>
              <w:right w:val="single" w:sz="8" w:color="EFF2EF"/>
            </w:tcBorders>
            <w:shd w:val="clear" w:color="auto" w:fill="EFF2EF"/>
          </w:tcPr>
          <w:p>
            <w:pPr>
              <w:spacing w:after="0"/>
              <w:rPr>
                <w:sz w:val="15"/>
                <w:szCs w:val="15"/>
                <w:color w:val="auto"/>
              </w:rPr>
            </w:pPr>
          </w:p>
        </w:tc>
        <w:tc>
          <w:tcPr>
            <w:tcW w:w="162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100 Vanguard Blvd.</w:t>
            </w:r>
          </w:p>
        </w:tc>
        <w:tc>
          <w:tcPr>
            <w:tcW w:w="1400" w:type="dxa"/>
            <w:vAlign w:val="bottom"/>
            <w:tcBorders>
              <w:right w:val="single" w:sz="8" w:color="EFF2EF"/>
            </w:tcBorders>
            <w:shd w:val="clear" w:color="auto" w:fill="EFF2EF"/>
          </w:tcPr>
          <w:p>
            <w:pPr>
              <w:spacing w:after="0"/>
              <w:rPr>
                <w:sz w:val="16"/>
                <w:szCs w:val="16"/>
                <w:color w:val="auto"/>
              </w:rPr>
            </w:pPr>
          </w:p>
        </w:tc>
        <w:tc>
          <w:tcPr>
            <w:tcW w:w="1420" w:type="dxa"/>
            <w:vAlign w:val="bottom"/>
            <w:tcBorders>
              <w:right w:val="single" w:sz="8" w:color="EFF2EF"/>
            </w:tcBorders>
            <w:shd w:val="clear" w:color="auto" w:fill="EFF2EF"/>
          </w:tcPr>
          <w:p>
            <w:pPr>
              <w:spacing w:after="0"/>
              <w:rPr>
                <w:sz w:val="16"/>
                <w:szCs w:val="16"/>
                <w:color w:val="auto"/>
              </w:rPr>
            </w:pPr>
          </w:p>
        </w:tc>
        <w:tc>
          <w:tcPr>
            <w:tcW w:w="1540" w:type="dxa"/>
            <w:vAlign w:val="bottom"/>
            <w:tcBorders>
              <w:right w:val="single" w:sz="8" w:color="EFF2EF"/>
            </w:tcBorders>
            <w:shd w:val="clear" w:color="auto" w:fill="EFF2EF"/>
          </w:tcPr>
          <w:p>
            <w:pPr>
              <w:spacing w:after="0"/>
              <w:rPr>
                <w:sz w:val="16"/>
                <w:szCs w:val="16"/>
                <w:color w:val="auto"/>
              </w:rPr>
            </w:pPr>
          </w:p>
        </w:tc>
        <w:tc>
          <w:tcPr>
            <w:tcW w:w="1640" w:type="dxa"/>
            <w:vAlign w:val="bottom"/>
            <w:tcBorders>
              <w:right w:val="single" w:sz="8" w:color="EFF2EF"/>
            </w:tcBorders>
            <w:shd w:val="clear" w:color="auto" w:fill="EFF2EF"/>
          </w:tcPr>
          <w:p>
            <w:pPr>
              <w:spacing w:after="0"/>
              <w:rPr>
                <w:sz w:val="16"/>
                <w:szCs w:val="16"/>
                <w:color w:val="auto"/>
              </w:rPr>
            </w:pPr>
          </w:p>
        </w:tc>
        <w:tc>
          <w:tcPr>
            <w:tcW w:w="1620" w:type="dxa"/>
            <w:vAlign w:val="bottom"/>
            <w:shd w:val="clear" w:color="auto" w:fill="EFF2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Borders>
              <w:left w:val="single" w:sz="8" w:color="EFF2EF"/>
              <w:right w:val="single" w:sz="8" w:color="EFF2EF"/>
            </w:tcBorders>
            <w:gridSpan w:val="2"/>
            <w:shd w:val="clear" w:color="auto" w:fill="EFF2EF"/>
          </w:tcPr>
          <w:p>
            <w:pPr>
              <w:spacing w:after="0"/>
              <w:rPr>
                <w:sz w:val="20"/>
                <w:szCs w:val="20"/>
                <w:color w:val="auto"/>
              </w:rPr>
            </w:pPr>
            <w:r>
              <w:rPr>
                <w:rFonts w:ascii="Calibri" w:cs="Calibri" w:eastAsia="Calibri" w:hAnsi="Calibri"/>
                <w:sz w:val="16"/>
                <w:szCs w:val="16"/>
                <w:color w:val="333333"/>
              </w:rPr>
              <w:t>Malvern, PA 19355</w:t>
            </w:r>
          </w:p>
        </w:tc>
        <w:tc>
          <w:tcPr>
            <w:tcW w:w="14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3,554,398</w:t>
            </w:r>
          </w:p>
        </w:tc>
        <w:tc>
          <w:tcPr>
            <w:tcW w:w="14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w w:val="96"/>
              </w:rPr>
              <w:t>—</w:t>
            </w:r>
          </w:p>
        </w:tc>
        <w:tc>
          <w:tcPr>
            <w:tcW w:w="15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w:t>
            </w:r>
          </w:p>
        </w:tc>
        <w:tc>
          <w:tcPr>
            <w:tcW w:w="16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3,554,398</w:t>
            </w:r>
          </w:p>
        </w:tc>
        <w:tc>
          <w:tcPr>
            <w:tcW w:w="1620" w:type="dxa"/>
            <w:vAlign w:val="bottom"/>
            <w:shd w:val="clear" w:color="auto" w:fill="EFF2EF"/>
          </w:tcPr>
          <w:p>
            <w:pPr>
              <w:jc w:val="center"/>
              <w:ind w:left="11"/>
              <w:spacing w:after="0"/>
              <w:rPr>
                <w:sz w:val="20"/>
                <w:szCs w:val="20"/>
                <w:color w:val="auto"/>
              </w:rPr>
            </w:pPr>
            <w:r>
              <w:rPr>
                <w:rFonts w:ascii="Calibri" w:cs="Calibri" w:eastAsia="Calibri" w:hAnsi="Calibri"/>
                <w:sz w:val="16"/>
                <w:szCs w:val="16"/>
                <w:color w:val="333333"/>
                <w:w w:val="98"/>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80" w:type="dxa"/>
            <w:vAlign w:val="bottom"/>
            <w:tcBorders>
              <w:left w:val="single" w:sz="8" w:color="EFF2EF"/>
            </w:tcBorders>
            <w:shd w:val="clear" w:color="auto" w:fill="EFF2EF"/>
          </w:tcPr>
          <w:p>
            <w:pPr>
              <w:spacing w:after="0"/>
              <w:rPr>
                <w:sz w:val="8"/>
                <w:szCs w:val="8"/>
                <w:color w:val="auto"/>
              </w:rPr>
            </w:pPr>
          </w:p>
        </w:tc>
        <w:tc>
          <w:tcPr>
            <w:tcW w:w="1000" w:type="dxa"/>
            <w:vAlign w:val="bottom"/>
            <w:tcBorders>
              <w:right w:val="single" w:sz="8" w:color="EFF2EF"/>
            </w:tcBorders>
            <w:shd w:val="clear" w:color="auto" w:fill="EFF2EF"/>
          </w:tcPr>
          <w:p>
            <w:pPr>
              <w:spacing w:after="0"/>
              <w:rPr>
                <w:sz w:val="8"/>
                <w:szCs w:val="8"/>
                <w:color w:val="auto"/>
              </w:rPr>
            </w:pPr>
          </w:p>
        </w:tc>
        <w:tc>
          <w:tcPr>
            <w:tcW w:w="1400" w:type="dxa"/>
            <w:vAlign w:val="bottom"/>
            <w:tcBorders>
              <w:right w:val="single" w:sz="8" w:color="EFF2EF"/>
            </w:tcBorders>
            <w:shd w:val="clear" w:color="auto" w:fill="EFF2EF"/>
          </w:tcPr>
          <w:p>
            <w:pPr>
              <w:spacing w:after="0"/>
              <w:rPr>
                <w:sz w:val="8"/>
                <w:szCs w:val="8"/>
                <w:color w:val="auto"/>
              </w:rPr>
            </w:pPr>
          </w:p>
        </w:tc>
        <w:tc>
          <w:tcPr>
            <w:tcW w:w="1420" w:type="dxa"/>
            <w:vAlign w:val="bottom"/>
            <w:tcBorders>
              <w:right w:val="single" w:sz="8" w:color="EFF2EF"/>
            </w:tcBorders>
            <w:shd w:val="clear" w:color="auto" w:fill="EFF2EF"/>
          </w:tcPr>
          <w:p>
            <w:pPr>
              <w:spacing w:after="0"/>
              <w:rPr>
                <w:sz w:val="8"/>
                <w:szCs w:val="8"/>
                <w:color w:val="auto"/>
              </w:rPr>
            </w:pPr>
          </w:p>
        </w:tc>
        <w:tc>
          <w:tcPr>
            <w:tcW w:w="1540" w:type="dxa"/>
            <w:vAlign w:val="bottom"/>
            <w:tcBorders>
              <w:right w:val="single" w:sz="8" w:color="EFF2EF"/>
            </w:tcBorders>
            <w:shd w:val="clear" w:color="auto" w:fill="EFF2EF"/>
          </w:tcPr>
          <w:p>
            <w:pPr>
              <w:spacing w:after="0"/>
              <w:rPr>
                <w:sz w:val="8"/>
                <w:szCs w:val="8"/>
                <w:color w:val="auto"/>
              </w:rPr>
            </w:pPr>
          </w:p>
        </w:tc>
        <w:tc>
          <w:tcPr>
            <w:tcW w:w="1640" w:type="dxa"/>
            <w:vAlign w:val="bottom"/>
            <w:tcBorders>
              <w:right w:val="single" w:sz="8" w:color="EFF2EF"/>
            </w:tcBorders>
            <w:shd w:val="clear" w:color="auto" w:fill="EFF2EF"/>
          </w:tcPr>
          <w:p>
            <w:pPr>
              <w:spacing w:after="0"/>
              <w:rPr>
                <w:sz w:val="8"/>
                <w:szCs w:val="8"/>
                <w:color w:val="auto"/>
              </w:rPr>
            </w:pPr>
          </w:p>
        </w:tc>
        <w:tc>
          <w:tcPr>
            <w:tcW w:w="1620" w:type="dxa"/>
            <w:vAlign w:val="bottom"/>
            <w:shd w:val="clear" w:color="auto" w:fill="EFF2E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bottom w:val="single" w:sz="8" w:color="333333"/>
            </w:tcBorders>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60"/>
        <w:spacing w:after="0"/>
        <w:rPr>
          <w:sz w:val="20"/>
          <w:szCs w:val="20"/>
          <w:color w:val="auto"/>
        </w:rPr>
      </w:pPr>
      <w:r>
        <w:rPr>
          <w:rFonts w:ascii="Calibri" w:cs="Calibri" w:eastAsia="Calibri" w:hAnsi="Calibri"/>
          <w:sz w:val="14"/>
          <w:szCs w:val="14"/>
          <w:color w:val="333333"/>
        </w:rPr>
        <w:t>* = Less than 1%</w:t>
      </w:r>
    </w:p>
    <w:p>
      <w:pPr>
        <w:spacing w:after="0" w:line="123" w:lineRule="exact"/>
        <w:rPr>
          <w:sz w:val="20"/>
          <w:szCs w:val="20"/>
          <w:color w:val="auto"/>
        </w:rPr>
      </w:pPr>
    </w:p>
    <w:p>
      <w:pPr>
        <w:ind w:left="600" w:hanging="433"/>
        <w:spacing w:after="0"/>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Unless otherwise specifed, the address of these persons is c/o FTI Consultng, Inc.’s executve ofce at 555 12</w:t>
      </w:r>
      <w:r>
        <w:rPr>
          <w:rFonts w:ascii="Calibri" w:cs="Calibri" w:eastAsia="Calibri" w:hAnsi="Calibri"/>
          <w:sz w:val="21"/>
          <w:szCs w:val="21"/>
          <w:color w:val="333333"/>
          <w:vertAlign w:val="superscript"/>
        </w:rPr>
        <w:t>th</w:t>
      </w:r>
      <w:r>
        <w:rPr>
          <w:rFonts w:ascii="Calibri" w:cs="Calibri" w:eastAsia="Calibri" w:hAnsi="Calibri"/>
          <w:sz w:val="14"/>
          <w:szCs w:val="14"/>
          <w:color w:val="333333"/>
        </w:rPr>
        <w:t xml:space="preserve"> Street NW, Suite 700, Washington, D.C. 20004.</w:t>
      </w:r>
    </w:p>
    <w:p>
      <w:pPr>
        <w:spacing w:after="0" w:line="39" w:lineRule="exact"/>
        <w:rPr>
          <w:rFonts w:ascii="Calibri" w:cs="Calibri" w:eastAsia="Calibri" w:hAnsi="Calibri"/>
          <w:sz w:val="21"/>
          <w:szCs w:val="21"/>
          <w:color w:val="333333"/>
          <w:vertAlign w:val="superscript"/>
        </w:rPr>
      </w:pPr>
    </w:p>
    <w:p>
      <w:pPr>
        <w:ind w:left="600" w:right="240" w:hanging="433"/>
        <w:spacing w:after="0" w:line="192"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reported benefcial ownership of Steven H. Gunby includes 6,918 shares of Common Stock issuable on account of underlying unvested restricted stock units scheduled to vest within 60 days of the date of this table.</w:t>
      </w:r>
    </w:p>
    <w:p>
      <w:pPr>
        <w:spacing w:after="0" w:line="126" w:lineRule="exact"/>
        <w:rPr>
          <w:rFonts w:ascii="Calibri" w:cs="Calibri" w:eastAsia="Calibri" w:hAnsi="Calibri"/>
          <w:sz w:val="21"/>
          <w:szCs w:val="21"/>
          <w:color w:val="333333"/>
          <w:vertAlign w:val="superscript"/>
        </w:rPr>
      </w:pPr>
    </w:p>
    <w:p>
      <w:pPr>
        <w:ind w:left="600" w:right="240" w:hanging="433"/>
        <w:spacing w:after="0" w:line="192"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reported benefcial ownership of Brendan J. Keatng includes 641 shares of Common Stock issuable on account of underlying unvested restricted stock units scheduled to vest within 60 days of the date of this table.</w:t>
      </w:r>
    </w:p>
    <w:p>
      <w:pPr>
        <w:spacing w:after="0" w:line="38" w:lineRule="exact"/>
        <w:rPr>
          <w:rFonts w:ascii="Calibri" w:cs="Calibri" w:eastAsia="Calibri" w:hAnsi="Calibri"/>
          <w:sz w:val="21"/>
          <w:szCs w:val="21"/>
          <w:color w:val="333333"/>
          <w:vertAlign w:val="superscript"/>
        </w:rPr>
      </w:pPr>
    </w:p>
    <w:p>
      <w:pPr>
        <w:ind w:left="600" w:hanging="433"/>
        <w:spacing w:after="0"/>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reported benefcial ownership of Nicholas C. Fanandakis excludes 2,474 shares of Common Stock issuable on account of vested deferred stock units.</w:t>
      </w:r>
    </w:p>
    <w:p>
      <w:pPr>
        <w:spacing w:after="0" w:line="85" w:lineRule="exact"/>
        <w:rPr>
          <w:rFonts w:ascii="Calibri" w:cs="Calibri" w:eastAsia="Calibri" w:hAnsi="Calibri"/>
          <w:sz w:val="21"/>
          <w:szCs w:val="21"/>
          <w:color w:val="333333"/>
          <w:vertAlign w:val="superscript"/>
        </w:rPr>
      </w:pPr>
    </w:p>
    <w:p>
      <w:pPr>
        <w:ind w:left="600" w:hanging="433"/>
        <w:spacing w:after="0" w:line="195"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reported benefcial ownership of Laureen E. Seeger excludes 7,326 shares of Common Stock issuable on account of vested deferred stock units.</w:t>
      </w:r>
    </w:p>
    <w:p>
      <w:pPr>
        <w:spacing w:after="0" w:line="125" w:lineRule="exact"/>
        <w:rPr>
          <w:rFonts w:ascii="Calibri" w:cs="Calibri" w:eastAsia="Calibri" w:hAnsi="Calibri"/>
          <w:sz w:val="21"/>
          <w:szCs w:val="21"/>
          <w:color w:val="333333"/>
          <w:vertAlign w:val="superscript"/>
        </w:rPr>
      </w:pPr>
    </w:p>
    <w:p>
      <w:pPr>
        <w:ind w:left="600" w:right="120" w:hanging="433"/>
        <w:spacing w:after="0" w:line="192"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In accordance with SEC rules, this group consists of all current directors and executve ofcers, which includes the eight independent directors named in the table above, Mr. Gunby, Mr. Linton, Mr. Lu, Ms. Rabl, Mr. Keatng and Mr. Pachman.</w:t>
      </w:r>
    </w:p>
    <w:p>
      <w:pPr>
        <w:spacing w:after="0" w:line="126" w:lineRule="exact"/>
        <w:rPr>
          <w:rFonts w:ascii="Calibri" w:cs="Calibri" w:eastAsia="Calibri" w:hAnsi="Calibri"/>
          <w:sz w:val="21"/>
          <w:szCs w:val="21"/>
          <w:color w:val="333333"/>
          <w:vertAlign w:val="superscript"/>
        </w:rPr>
      </w:pPr>
    </w:p>
    <w:p>
      <w:pPr>
        <w:ind w:left="600" w:right="100" w:hanging="433"/>
        <w:spacing w:after="0" w:line="215"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Informaton is based on Schedule 13G/A fled with the SEC on June 4, 2025 reportng (i) sole power to vote or direct the vote of 2,965,210 shares, (ii) shared power to vote or direct the vote of zero shares, (iii) sole power to dispose or direct the dispositon of 3,076,672 shares and (iv) shared power to dispose or direct the dispositon of zero shares of the Company’s Common Stock. BlackRock, Inc. reports that various persons have the right to receive or the power to direct the receipt of dividends from, or the proceeds from the sale of, the Common Stock, and no one other person’s, except BlackRock Fund Advisors, interest in the Common Stock is more than 5% of the total outstanding shares of Common Stock.</w:t>
      </w:r>
    </w:p>
    <w:p>
      <w:pPr>
        <w:spacing w:after="0" w:line="126" w:lineRule="exact"/>
        <w:rPr>
          <w:rFonts w:ascii="Calibri" w:cs="Calibri" w:eastAsia="Calibri" w:hAnsi="Calibri"/>
          <w:sz w:val="21"/>
          <w:szCs w:val="21"/>
          <w:color w:val="333333"/>
          <w:vertAlign w:val="superscript"/>
        </w:rPr>
      </w:pPr>
    </w:p>
    <w:p>
      <w:pPr>
        <w:ind w:left="600" w:right="80" w:hanging="433"/>
        <w:spacing w:after="0" w:line="207"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Informaton is based on Schedule 13G/A fled with the SEC on May 6, 2025 reportng (i) sole power to vote or direct the vote of 2,327,562 shares, (ii) shared power to vote or direct the vote of 720,944 shares, (iii) sole power to dispose or direct the dispositon of 2,652,509 shares and (iv) shared power to dispose or direct the dispositon of 720,944 shares of the Company’s Common Stock.</w:t>
      </w:r>
    </w:p>
    <w:p>
      <w:pPr>
        <w:spacing w:after="0" w:line="126" w:lineRule="exact"/>
        <w:rPr>
          <w:rFonts w:ascii="Calibri" w:cs="Calibri" w:eastAsia="Calibri" w:hAnsi="Calibri"/>
          <w:sz w:val="21"/>
          <w:szCs w:val="21"/>
          <w:color w:val="333333"/>
          <w:vertAlign w:val="superscript"/>
        </w:rPr>
      </w:pPr>
    </w:p>
    <w:p>
      <w:pPr>
        <w:jc w:val="both"/>
        <w:ind w:left="600" w:right="160" w:hanging="433"/>
        <w:spacing w:after="0" w:line="207" w:lineRule="auto"/>
        <w:tabs>
          <w:tab w:leader="none" w:pos="600" w:val="left"/>
        </w:tabs>
        <w:numPr>
          <w:ilvl w:val="0"/>
          <w:numId w:val="63"/>
        </w:numPr>
        <w:rPr>
          <w:rFonts w:ascii="Calibri" w:cs="Calibri" w:eastAsia="Calibri" w:hAnsi="Calibri"/>
          <w:sz w:val="21"/>
          <w:szCs w:val="21"/>
          <w:color w:val="333333"/>
          <w:vertAlign w:val="superscript"/>
        </w:rPr>
      </w:pPr>
      <w:r>
        <w:rPr>
          <w:rFonts w:ascii="Calibri" w:cs="Calibri" w:eastAsia="Calibri" w:hAnsi="Calibri"/>
          <w:sz w:val="14"/>
          <w:szCs w:val="14"/>
          <w:color w:val="333333"/>
        </w:rPr>
        <w:t>Informaton is based on Schedule 13G/A fled with the SEC on February 11, 2026 reportng (i) sole power to vote or direct the vote of 2,272,038 shares, (ii) shared power to vote or direct the vote of zero shares, (iii) sole power to dispose or direct the dispositon of 2,305,748 shares and (iv) shared power to dispose or direct the dispositon of zero shares of the Company’s Common Stock.</w:t>
      </w:r>
    </w:p>
    <w:p>
      <w:pPr>
        <w:spacing w:after="0" w:line="13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46</w:t>
      </w:r>
    </w:p>
    <w:p>
      <w:pPr>
        <w:sectPr>
          <w:pgSz w:w="11900" w:h="16838" w:orient="portrait"/>
          <w:cols w:equalWidth="0" w:num="1">
            <w:col w:w="11100"/>
          </w:cols>
          <w:pgMar w:left="320" w:top="478"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2" w:lineRule="exact"/>
        <w:rPr>
          <w:sz w:val="20"/>
          <w:szCs w:val="20"/>
          <w:color w:val="auto"/>
        </w:rPr>
      </w:pPr>
    </w:p>
    <w:p>
      <w:pPr>
        <w:ind w:left="600" w:hanging="433"/>
        <w:spacing w:after="0" w:line="224" w:lineRule="auto"/>
        <w:tabs>
          <w:tab w:leader="none" w:pos="600" w:val="left"/>
        </w:tabs>
        <w:numPr>
          <w:ilvl w:val="0"/>
          <w:numId w:val="64"/>
        </w:numPr>
        <w:rPr>
          <w:rFonts w:ascii="Calibri" w:cs="Calibri" w:eastAsia="Calibri" w:hAnsi="Calibri"/>
          <w:sz w:val="21"/>
          <w:szCs w:val="21"/>
          <w:color w:val="333333"/>
          <w:vertAlign w:val="superscript"/>
        </w:rPr>
      </w:pPr>
      <w:r>
        <w:rPr>
          <w:rFonts w:ascii="Calibri" w:cs="Calibri" w:eastAsia="Calibri" w:hAnsi="Calibri"/>
          <w:sz w:val="14"/>
          <w:szCs w:val="14"/>
          <w:color w:val="333333"/>
        </w:rPr>
        <w:t>Informaton is based on Schedule 13G/A fled with the SEC on March 11, 2024 reportng (i) sole power to vote or direct the vote of zero shares, (ii) shared power to vote or direct the vote of 12,577 shares, (iii) sole power to dispose or direct the dispositon of 3,504,552 shares and (iv) shared power to dispose or direct the dispositon of 49,846 shares of the Company’s Common Stock. On a Schedule 13G/A fled on March 26, 2026, The Vanguard Group (“Vanguard”) subsequently reported that due to an internal realignment it no longer has, or is deemed to have, benefcial ownership over Company securites benefcially owned by various subsidiaries and/or business divisions. Vanguard also reported that certain subsidiaries or business divisions that formerly had, or were deemed to have, benefcial ownership with Vanguard, will report benefcial ownership separately (on a disaggregated basis).</w:t>
      </w:r>
    </w:p>
    <w:p>
      <w:pPr>
        <w:spacing w:after="0" w:line="136"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47</w:t>
      </w:r>
    </w:p>
    <w:p>
      <w:pPr>
        <w:sectPr>
          <w:pgSz w:w="11900" w:h="16838" w:orient="portrait"/>
          <w:cols w:equalWidth="0" w:num="1">
            <w:col w:w="11020"/>
          </w:cols>
          <w:pgMar w:left="320" w:top="478"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INFORMATION ABOUT OUR EXECUTIVE OFFICERS AND COMPENSATION</w:t>
      </w:r>
    </w:p>
    <w:p>
      <w:pPr>
        <w:spacing w:after="0" w:line="10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NON-DIRECTOR EXECUTIVE OFFICERS AND KEY EMPLOYEES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3960" w:type="dxa"/>
            <w:vAlign w:val="bottom"/>
            <w:tcBorders>
              <w:top w:val="single" w:sz="8" w:color="0591DB"/>
              <w:left w:val="single" w:sz="8" w:color="0591DB"/>
              <w:right w:val="single" w:sz="8" w:color="0591DB"/>
            </w:tcBorders>
          </w:tcPr>
          <w:p>
            <w:pPr>
              <w:ind w:left="160"/>
              <w:spacing w:after="0" w:line="221" w:lineRule="exact"/>
              <w:rPr>
                <w:sz w:val="20"/>
                <w:szCs w:val="20"/>
                <w:color w:val="auto"/>
              </w:rPr>
            </w:pPr>
            <w:r>
              <w:rPr>
                <w:rFonts w:ascii="Calibri" w:cs="Calibri" w:eastAsia="Calibri" w:hAnsi="Calibri"/>
                <w:sz w:val="21"/>
                <w:szCs w:val="21"/>
                <w:b w:val="1"/>
                <w:bCs w:val="1"/>
                <w:color w:val="0591DB"/>
              </w:rPr>
              <w:t>NON-DIRECTOR EXECUTIVE</w:t>
            </w:r>
          </w:p>
        </w:tc>
        <w:tc>
          <w:tcPr>
            <w:tcW w:w="6980" w:type="dxa"/>
            <w:vAlign w:val="bottom"/>
            <w:tcBorders>
              <w:top w:val="single" w:sz="8" w:color="0591DB"/>
              <w:right w:val="single" w:sz="8" w:color="0591DB"/>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Borders>
              <w:left w:val="single" w:sz="8" w:color="0591DB"/>
              <w:right w:val="single" w:sz="8" w:color="0591DB"/>
            </w:tcBorders>
          </w:tcPr>
          <w:p>
            <w:pPr>
              <w:ind w:left="160"/>
              <w:spacing w:after="0" w:line="244" w:lineRule="exact"/>
              <w:rPr>
                <w:sz w:val="20"/>
                <w:szCs w:val="20"/>
                <w:color w:val="auto"/>
              </w:rPr>
            </w:pPr>
            <w:r>
              <w:rPr>
                <w:rFonts w:ascii="Calibri" w:cs="Calibri" w:eastAsia="Calibri" w:hAnsi="Calibri"/>
                <w:sz w:val="21"/>
                <w:szCs w:val="21"/>
                <w:b w:val="1"/>
                <w:bCs w:val="1"/>
                <w:color w:val="0591DB"/>
              </w:rPr>
              <w:t>OFFICERS AND KEY EMPLOYEES</w:t>
            </w:r>
          </w:p>
        </w:tc>
        <w:tc>
          <w:tcPr>
            <w:tcW w:w="6980" w:type="dxa"/>
            <w:vAlign w:val="bottom"/>
            <w:tcBorders>
              <w:right w:val="single" w:sz="8" w:color="0591DB"/>
            </w:tcBorders>
          </w:tcPr>
          <w:p>
            <w:pPr>
              <w:ind w:left="80"/>
              <w:spacing w:after="0" w:line="244" w:lineRule="exact"/>
              <w:rPr>
                <w:sz w:val="20"/>
                <w:szCs w:val="20"/>
                <w:color w:val="auto"/>
              </w:rPr>
            </w:pPr>
            <w:r>
              <w:rPr>
                <w:rFonts w:ascii="Calibri" w:cs="Calibri" w:eastAsia="Calibri" w:hAnsi="Calibri"/>
                <w:sz w:val="21"/>
                <w:szCs w:val="21"/>
                <w:b w:val="1"/>
                <w:bCs w:val="1"/>
                <w:color w:val="0591DB"/>
              </w:rPr>
              <w:t>PRINCIPAL BUSINESS EXPERIENCE</w:t>
            </w:r>
          </w:p>
        </w:tc>
        <w:tc>
          <w:tcPr>
            <w:tcW w:w="0" w:type="dxa"/>
            <w:vAlign w:val="bottom"/>
          </w:tcPr>
          <w:p>
            <w:pPr>
              <w:spacing w:after="0"/>
              <w:rPr>
                <w:sz w:val="1"/>
                <w:szCs w:val="1"/>
                <w:color w:val="auto"/>
              </w:rPr>
            </w:pPr>
          </w:p>
        </w:tc>
      </w:tr>
      <w:tr>
        <w:trPr>
          <w:trHeight w:val="84"/>
        </w:trPr>
        <w:tc>
          <w:tcPr>
            <w:tcW w:w="3960" w:type="dxa"/>
            <w:vAlign w:val="bottom"/>
            <w:tcBorders>
              <w:left w:val="single" w:sz="8" w:color="0591DB"/>
              <w:bottom w:val="single" w:sz="8" w:color="0591DB"/>
              <w:right w:val="single" w:sz="8" w:color="0591DB"/>
            </w:tcBorders>
          </w:tcPr>
          <w:p>
            <w:pPr>
              <w:spacing w:after="0"/>
              <w:rPr>
                <w:sz w:val="7"/>
                <w:szCs w:val="7"/>
                <w:color w:val="auto"/>
              </w:rPr>
            </w:pPr>
          </w:p>
        </w:tc>
        <w:tc>
          <w:tcPr>
            <w:tcW w:w="6980" w:type="dxa"/>
            <w:vAlign w:val="bottom"/>
            <w:tcBorders>
              <w:bottom w:val="single" w:sz="8" w:color="0591DB"/>
              <w:right w:val="single" w:sz="8" w:color="0591DB"/>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1660"/>
              <w:spacing w:after="0"/>
              <w:rPr>
                <w:sz w:val="20"/>
                <w:szCs w:val="20"/>
                <w:color w:val="auto"/>
              </w:rPr>
            </w:pPr>
            <w:r>
              <w:rPr>
                <w:rFonts w:ascii="Calibri" w:cs="Calibri" w:eastAsia="Calibri" w:hAnsi="Calibri"/>
                <w:sz w:val="17"/>
                <w:szCs w:val="17"/>
                <w:b w:val="1"/>
                <w:bCs w:val="1"/>
                <w:color w:val="0591DB"/>
              </w:rPr>
              <w:t>Paul Linton</w:t>
            </w:r>
          </w:p>
        </w:tc>
        <w:tc>
          <w:tcPr>
            <w:tcW w:w="6980" w:type="dxa"/>
            <w:vAlign w:val="bottom"/>
          </w:tcPr>
          <w:p>
            <w:pPr>
              <w:ind w:left="80"/>
              <w:spacing w:after="0"/>
              <w:rPr>
                <w:sz w:val="20"/>
                <w:szCs w:val="20"/>
                <w:color w:val="auto"/>
              </w:rPr>
            </w:pPr>
            <w:r>
              <w:rPr>
                <w:rFonts w:ascii="Calibri" w:cs="Calibri" w:eastAsia="Calibri" w:hAnsi="Calibri"/>
                <w:sz w:val="17"/>
                <w:szCs w:val="17"/>
                <w:color w:val="333333"/>
              </w:rPr>
              <w:t>Paul Linton joined the Company in August 2014 as Chief Strategy and Transformaton Ofcer. In</w:t>
            </w:r>
          </w:p>
        </w:tc>
        <w:tc>
          <w:tcPr>
            <w:tcW w:w="0" w:type="dxa"/>
            <w:vAlign w:val="bottom"/>
          </w:tcPr>
          <w:p>
            <w:pPr>
              <w:spacing w:after="0"/>
              <w:rPr>
                <w:sz w:val="1"/>
                <w:szCs w:val="1"/>
                <w:color w:val="auto"/>
              </w:rPr>
            </w:pPr>
          </w:p>
        </w:tc>
      </w:tr>
      <w:tr>
        <w:trPr>
          <w:trHeight w:val="201"/>
        </w:trPr>
        <w:tc>
          <w:tcPr>
            <w:tcW w:w="3960" w:type="dxa"/>
            <w:vAlign w:val="bottom"/>
          </w:tcPr>
          <w:p>
            <w:pPr>
              <w:ind w:left="1660"/>
              <w:spacing w:after="0" w:line="201" w:lineRule="exact"/>
              <w:rPr>
                <w:sz w:val="20"/>
                <w:szCs w:val="20"/>
                <w:color w:val="auto"/>
              </w:rPr>
            </w:pPr>
            <w:r>
              <w:rPr>
                <w:rFonts w:ascii="Calibri" w:cs="Calibri" w:eastAsia="Calibri" w:hAnsi="Calibri"/>
                <w:sz w:val="17"/>
                <w:szCs w:val="17"/>
                <w:i w:val="1"/>
                <w:iCs w:val="1"/>
                <w:color w:val="333333"/>
              </w:rPr>
              <w:t>Chief Strategy and</w:t>
            </w:r>
          </w:p>
        </w:tc>
        <w:tc>
          <w:tcPr>
            <w:tcW w:w="6980" w:type="dxa"/>
            <w:vAlign w:val="bottom"/>
          </w:tcPr>
          <w:p>
            <w:pPr>
              <w:ind w:left="80"/>
              <w:spacing w:after="0" w:line="201" w:lineRule="exact"/>
              <w:rPr>
                <w:sz w:val="20"/>
                <w:szCs w:val="20"/>
                <w:color w:val="auto"/>
              </w:rPr>
            </w:pPr>
            <w:r>
              <w:rPr>
                <w:rFonts w:ascii="Calibri" w:cs="Calibri" w:eastAsia="Calibri" w:hAnsi="Calibri"/>
                <w:sz w:val="17"/>
                <w:szCs w:val="17"/>
                <w:color w:val="333333"/>
              </w:rPr>
              <w:t>September 2025, Mr. Linton was also appointed Interim Chief Financial Ofcer and is expected to</w:t>
            </w:r>
          </w:p>
        </w:tc>
        <w:tc>
          <w:tcPr>
            <w:tcW w:w="0" w:type="dxa"/>
            <w:vAlign w:val="bottom"/>
          </w:tcPr>
          <w:p>
            <w:pPr>
              <w:spacing w:after="0"/>
              <w:rPr>
                <w:sz w:val="1"/>
                <w:szCs w:val="1"/>
                <w:color w:val="auto"/>
              </w:rPr>
            </w:pPr>
          </w:p>
        </w:tc>
      </w:tr>
      <w:tr>
        <w:trPr>
          <w:trHeight w:val="201"/>
        </w:trPr>
        <w:tc>
          <w:tcPr>
            <w:tcW w:w="3960" w:type="dxa"/>
            <w:vAlign w:val="bottom"/>
          </w:tcPr>
          <w:p>
            <w:pPr>
              <w:ind w:left="1660"/>
              <w:spacing w:after="0" w:line="201" w:lineRule="exact"/>
              <w:rPr>
                <w:sz w:val="20"/>
                <w:szCs w:val="20"/>
                <w:color w:val="auto"/>
              </w:rPr>
            </w:pPr>
            <w:r>
              <w:rPr>
                <w:rFonts w:ascii="Calibri" w:cs="Calibri" w:eastAsia="Calibri" w:hAnsi="Calibri"/>
                <w:sz w:val="17"/>
                <w:szCs w:val="17"/>
                <w:i w:val="1"/>
                <w:iCs w:val="1"/>
                <w:color w:val="333333"/>
              </w:rPr>
              <w:t>Transformaton Ofcer and</w:t>
            </w:r>
          </w:p>
        </w:tc>
        <w:tc>
          <w:tcPr>
            <w:tcW w:w="6980" w:type="dxa"/>
            <w:vAlign w:val="bottom"/>
          </w:tcPr>
          <w:p>
            <w:pPr>
              <w:ind w:left="80"/>
              <w:spacing w:after="0" w:line="201" w:lineRule="exact"/>
              <w:rPr>
                <w:sz w:val="20"/>
                <w:szCs w:val="20"/>
                <w:color w:val="auto"/>
              </w:rPr>
            </w:pPr>
            <w:r>
              <w:rPr>
                <w:rFonts w:ascii="Calibri" w:cs="Calibri" w:eastAsia="Calibri" w:hAnsi="Calibri"/>
                <w:sz w:val="17"/>
                <w:szCs w:val="17"/>
                <w:color w:val="333333"/>
              </w:rPr>
              <w:t>serve in such role untl May 2026. From September 2000 to August 2014, Mr. Linton was a</w:t>
            </w:r>
          </w:p>
        </w:tc>
        <w:tc>
          <w:tcPr>
            <w:tcW w:w="0" w:type="dxa"/>
            <w:vAlign w:val="bottom"/>
          </w:tcPr>
          <w:p>
            <w:pPr>
              <w:spacing w:after="0"/>
              <w:rPr>
                <w:sz w:val="1"/>
                <w:szCs w:val="1"/>
                <w:color w:val="auto"/>
              </w:rPr>
            </w:pPr>
          </w:p>
        </w:tc>
      </w:tr>
      <w:tr>
        <w:trPr>
          <w:trHeight w:val="201"/>
        </w:trPr>
        <w:tc>
          <w:tcPr>
            <w:tcW w:w="3960" w:type="dxa"/>
            <w:vAlign w:val="bottom"/>
          </w:tcPr>
          <w:p>
            <w:pPr>
              <w:ind w:left="1660"/>
              <w:spacing w:after="0" w:line="201" w:lineRule="exact"/>
              <w:rPr>
                <w:sz w:val="20"/>
                <w:szCs w:val="20"/>
                <w:color w:val="auto"/>
              </w:rPr>
            </w:pPr>
            <w:r>
              <w:rPr>
                <w:rFonts w:ascii="Calibri" w:cs="Calibri" w:eastAsia="Calibri" w:hAnsi="Calibri"/>
                <w:sz w:val="17"/>
                <w:szCs w:val="17"/>
                <w:i w:val="1"/>
                <w:iCs w:val="1"/>
                <w:color w:val="333333"/>
              </w:rPr>
              <w:t>Interim Chief Financial Ofcer</w:t>
            </w:r>
          </w:p>
        </w:tc>
        <w:tc>
          <w:tcPr>
            <w:tcW w:w="6980" w:type="dxa"/>
            <w:vAlign w:val="bottom"/>
          </w:tcPr>
          <w:p>
            <w:pPr>
              <w:ind w:left="80"/>
              <w:spacing w:after="0" w:line="201" w:lineRule="exact"/>
              <w:rPr>
                <w:sz w:val="20"/>
                <w:szCs w:val="20"/>
                <w:color w:val="auto"/>
              </w:rPr>
            </w:pPr>
            <w:r>
              <w:rPr>
                <w:rFonts w:ascii="Calibri" w:cs="Calibri" w:eastAsia="Calibri" w:hAnsi="Calibri"/>
                <w:sz w:val="17"/>
                <w:szCs w:val="17"/>
                <w:color w:val="333333"/>
              </w:rPr>
              <w:t>management consultant with The Boston Consultng Group, a leading business strategy</w:t>
            </w:r>
          </w:p>
        </w:tc>
        <w:tc>
          <w:tcPr>
            <w:tcW w:w="0" w:type="dxa"/>
            <w:vAlign w:val="bottom"/>
          </w:tcPr>
          <w:p>
            <w:pPr>
              <w:spacing w:after="0"/>
              <w:rPr>
                <w:sz w:val="1"/>
                <w:szCs w:val="1"/>
                <w:color w:val="auto"/>
              </w:rPr>
            </w:pPr>
          </w:p>
        </w:tc>
      </w:tr>
      <w:tr>
        <w:trPr>
          <w:trHeight w:val="203"/>
        </w:trPr>
        <w:tc>
          <w:tcPr>
            <w:tcW w:w="3960" w:type="dxa"/>
            <w:vAlign w:val="bottom"/>
            <w:vMerge w:val="restart"/>
          </w:tcPr>
          <w:p>
            <w:pPr>
              <w:ind w:left="1660"/>
              <w:spacing w:after="0"/>
              <w:rPr>
                <w:sz w:val="20"/>
                <w:szCs w:val="20"/>
                <w:color w:val="auto"/>
              </w:rPr>
            </w:pPr>
            <w:r>
              <w:rPr>
                <w:rFonts w:ascii="Calibri" w:cs="Calibri" w:eastAsia="Calibri" w:hAnsi="Calibri"/>
                <w:sz w:val="17"/>
                <w:szCs w:val="17"/>
                <w:b w:val="1"/>
                <w:bCs w:val="1"/>
                <w:color w:val="333333"/>
              </w:rPr>
              <w:t xml:space="preserve">Ofcer Since: </w:t>
            </w:r>
            <w:r>
              <w:rPr>
                <w:rFonts w:ascii="Calibri" w:cs="Calibri" w:eastAsia="Calibri" w:hAnsi="Calibri"/>
                <w:sz w:val="17"/>
                <w:szCs w:val="17"/>
                <w:color w:val="333333"/>
              </w:rPr>
              <w:t>2014</w:t>
            </w:r>
          </w:p>
        </w:tc>
        <w:tc>
          <w:tcPr>
            <w:tcW w:w="6980" w:type="dxa"/>
            <w:vAlign w:val="bottom"/>
          </w:tcPr>
          <w:p>
            <w:pPr>
              <w:ind w:left="80"/>
              <w:spacing w:after="0" w:line="203" w:lineRule="exact"/>
              <w:rPr>
                <w:sz w:val="20"/>
                <w:szCs w:val="20"/>
                <w:color w:val="auto"/>
              </w:rPr>
            </w:pPr>
            <w:r>
              <w:rPr>
                <w:rFonts w:ascii="Calibri" w:cs="Calibri" w:eastAsia="Calibri" w:hAnsi="Calibri"/>
                <w:sz w:val="17"/>
                <w:szCs w:val="17"/>
                <w:color w:val="333333"/>
              </w:rPr>
              <w:t>consultng services frm, where he was most recently a Partner and Managing Director.</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6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960" w:type="dxa"/>
            <w:vAlign w:val="bottom"/>
          </w:tcPr>
          <w:p>
            <w:pPr>
              <w:ind w:left="166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55</w:t>
            </w: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-849630</wp:posOffset>
            </wp:positionV>
            <wp:extent cx="6929755" cy="258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2581910"/>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p>
      <w:pPr>
        <w:spacing w:after="0" w:line="220"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0591DB"/>
        </w:rPr>
        <w:t>Eun Angela Nam</w:t>
      </w:r>
    </w:p>
    <w:p>
      <w:pPr>
        <w:spacing w:after="0" w:line="131" w:lineRule="exact"/>
        <w:rPr>
          <w:sz w:val="20"/>
          <w:szCs w:val="20"/>
          <w:color w:val="auto"/>
        </w:rPr>
      </w:pPr>
    </w:p>
    <w:p>
      <w:pPr>
        <w:ind w:left="1820"/>
        <w:spacing w:after="0" w:line="319" w:lineRule="auto"/>
        <w:rPr>
          <w:sz w:val="20"/>
          <w:szCs w:val="20"/>
          <w:color w:val="auto"/>
        </w:rPr>
      </w:pPr>
      <w:r>
        <w:rPr>
          <w:rFonts w:ascii="Calibri" w:cs="Calibri" w:eastAsia="Calibri" w:hAnsi="Calibri"/>
          <w:sz w:val="17"/>
          <w:szCs w:val="17"/>
          <w:i w:val="1"/>
          <w:iCs w:val="1"/>
          <w:color w:val="333333"/>
        </w:rPr>
        <w:t xml:space="preserve">Incoming Chief Financial Ofcer </w:t>
      </w:r>
      <w:r>
        <w:rPr>
          <w:rFonts w:ascii="Calibri" w:cs="Calibri" w:eastAsia="Calibri" w:hAnsi="Calibri"/>
          <w:sz w:val="17"/>
          <w:szCs w:val="17"/>
          <w:b w:val="1"/>
          <w:bCs w:val="1"/>
          <w:color w:val="333333"/>
        </w:rPr>
        <w:t>Age</w:t>
      </w:r>
      <w:r>
        <w:rPr>
          <w:rFonts w:ascii="Calibri" w:cs="Calibri" w:eastAsia="Calibri" w:hAnsi="Calibri"/>
          <w:sz w:val="17"/>
          <w:szCs w:val="17"/>
          <w:color w:val="333333"/>
        </w:rPr>
        <w:t>: 44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rPr>
          <w:sz w:val="20"/>
          <w:szCs w:val="20"/>
          <w:color w:val="auto"/>
        </w:rPr>
      </w:pPr>
      <w:r>
        <w:rPr>
          <w:rFonts w:ascii="Calibri" w:cs="Calibri" w:eastAsia="Calibri" w:hAnsi="Calibri"/>
          <w:sz w:val="17"/>
          <w:szCs w:val="17"/>
          <w:color w:val="333333"/>
        </w:rPr>
        <w:t>On March 6, 2026, the Board elected Eun Angela Nam as Chief Financial Ofcer of the Company, efectve upon commencement of her employment, which is expected on or about May 1, 2026. Prior to joining the Company, Ms. Nam served as Chief Financial Ofcer and Chief Accountng Ofcer of FTAI Aviaton Ltd., an integrated, full-service provider specializing in the maintenance, repair and leasing of commercial jet engines and aircraf, where she was responsible for all aspects of fnance and accountng, including fnancial planning and analysis, fnancial reportng, accountng, tax and treasury, among other systems and controls. Ms. Nam served as Chief Accountng Ofcer of FTAI Aviaton Ltd., then an externally managed company of Fortress Investment Group LLC, beginning in August 2018 and was also appointed Chief Financial Ofcer in August 2022. From 2014 to May 2018, Ms. Nam served as a Senior Vice President of Private Equity at Fortress Investment Group LLC, an asset management frm. Ms. Nam began her career at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-1431290</wp:posOffset>
            </wp:positionV>
            <wp:extent cx="5953125" cy="1570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53125" cy="1570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160"/>
            <w:col w:w="6900"/>
          </w:cols>
          <w:pgMar w:left="320" w:top="478" w:right="479" w:bottom="1440" w:gutter="0" w:footer="0" w:header="0"/>
          <w:type w:val="continuous"/>
        </w:sectPr>
      </w:pPr>
    </w:p>
    <w:p>
      <w:pPr>
        <w:spacing w:after="0" w:line="54"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0591DB"/>
        </w:rPr>
        <w:t>Curts P.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721995" cy="925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995" cy="925830"/>
                    </a:xfrm>
                    <a:prstGeom prst="rect">
                      <a:avLst/>
                    </a:prstGeom>
                    <a:noFill/>
                  </pic:spPr>
                </pic:pic>
              </a:graphicData>
            </a:graphic>
          </wp:anchor>
        </w:drawing>
      </w:r>
    </w:p>
    <w:p>
      <w:pPr>
        <w:ind w:left="1820"/>
        <w:spacing w:after="0" w:line="232" w:lineRule="auto"/>
        <w:rPr>
          <w:sz w:val="20"/>
          <w:szCs w:val="20"/>
          <w:color w:val="auto"/>
        </w:rPr>
      </w:pPr>
      <w:r>
        <w:rPr>
          <w:rFonts w:ascii="Calibri" w:cs="Calibri" w:eastAsia="Calibri" w:hAnsi="Calibri"/>
          <w:sz w:val="17"/>
          <w:szCs w:val="17"/>
          <w:i w:val="1"/>
          <w:iCs w:val="1"/>
          <w:color w:val="333333"/>
        </w:rPr>
        <w:t>General Counsel</w:t>
      </w:r>
    </w:p>
    <w:p>
      <w:pPr>
        <w:spacing w:after="0" w:line="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333333"/>
        </w:rPr>
        <w:t xml:space="preserve">Ofcer Since: </w:t>
      </w:r>
      <w:r>
        <w:rPr>
          <w:rFonts w:ascii="Calibri" w:cs="Calibri" w:eastAsia="Calibri" w:hAnsi="Calibri"/>
          <w:sz w:val="17"/>
          <w:szCs w:val="17"/>
          <w:color w:val="333333"/>
        </w:rPr>
        <w:t>2015</w:t>
      </w:r>
    </w:p>
    <w:p>
      <w:pPr>
        <w:spacing w:after="0" w:line="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372745</wp:posOffset>
            </wp:positionV>
            <wp:extent cx="976630" cy="1010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76630" cy="1010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320"/>
        <w:spacing w:after="0" w:line="233" w:lineRule="auto"/>
        <w:rPr>
          <w:sz w:val="20"/>
          <w:szCs w:val="20"/>
          <w:color w:val="auto"/>
        </w:rPr>
      </w:pPr>
      <w:r>
        <w:rPr>
          <w:rFonts w:ascii="Calibri" w:cs="Calibri" w:eastAsia="Calibri" w:hAnsi="Calibri"/>
          <w:sz w:val="17"/>
          <w:szCs w:val="17"/>
          <w:color w:val="333333"/>
        </w:rPr>
        <w:t>Curts Lu joined the Company in June 2015 as General Counsel. From June 2010 to June 2015, Mr. Lu was the General Counsel of LightSquared, Inc., a wireless Internet services company.</w:t>
      </w:r>
    </w:p>
    <w:p>
      <w:pPr>
        <w:spacing w:after="0" w:line="1" w:lineRule="exact"/>
        <w:rPr>
          <w:sz w:val="20"/>
          <w:szCs w:val="20"/>
          <w:color w:val="auto"/>
        </w:rPr>
      </w:pPr>
    </w:p>
    <w:p>
      <w:pPr>
        <w:ind w:right="120"/>
        <w:spacing w:after="0" w:line="232" w:lineRule="auto"/>
        <w:rPr>
          <w:sz w:val="20"/>
          <w:szCs w:val="20"/>
          <w:color w:val="auto"/>
        </w:rPr>
      </w:pPr>
      <w:r>
        <w:rPr>
          <w:rFonts w:ascii="Calibri" w:cs="Calibri" w:eastAsia="Calibri" w:hAnsi="Calibri"/>
          <w:sz w:val="17"/>
          <w:szCs w:val="17"/>
          <w:color w:val="333333"/>
        </w:rPr>
        <w:t>Mr. Lu began his legal career at Latham &amp; Watkins LLP, an internatonal law frm, where he was a litgaton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474345</wp:posOffset>
            </wp:positionV>
            <wp:extent cx="59531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53125" cy="42545"/>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3480" w:space="720"/>
            <w:col w:w="6900"/>
          </w:cols>
          <w:pgMar w:left="320" w:top="478" w:right="47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0591DB"/>
        </w:rPr>
        <w:t>Rike Rabl</w:t>
      </w:r>
    </w:p>
    <w:p>
      <w:pPr>
        <w:ind w:left="1820"/>
        <w:spacing w:after="0" w:line="347" w:lineRule="auto"/>
        <w:rPr>
          <w:sz w:val="20"/>
          <w:szCs w:val="20"/>
          <w:color w:val="auto"/>
        </w:rPr>
      </w:pPr>
      <w:r>
        <w:rPr>
          <w:rFonts w:ascii="Calibri" w:cs="Calibri" w:eastAsia="Calibri" w:hAnsi="Calibri"/>
          <w:sz w:val="17"/>
          <w:szCs w:val="17"/>
          <w:i w:val="1"/>
          <w:iCs w:val="1"/>
          <w:color w:val="333333"/>
        </w:rPr>
        <w:t xml:space="preserve">Chief Human Resources Ofcer </w:t>
      </w:r>
      <w:r>
        <w:rPr>
          <w:rFonts w:ascii="Calibri" w:cs="Calibri" w:eastAsia="Calibri" w:hAnsi="Calibri"/>
          <w:sz w:val="17"/>
          <w:szCs w:val="17"/>
          <w:b w:val="1"/>
          <w:bCs w:val="1"/>
          <w:color w:val="333333"/>
        </w:rPr>
        <w:t xml:space="preserve">Ofcer Since: </w:t>
      </w:r>
      <w:r>
        <w:rPr>
          <w:rFonts w:ascii="Calibri" w:cs="Calibri" w:eastAsia="Calibri" w:hAnsi="Calibri"/>
          <w:sz w:val="17"/>
          <w:szCs w:val="17"/>
          <w:color w:val="333333"/>
        </w:rPr>
        <w:t>2026</w:t>
      </w:r>
      <w:r>
        <w:rPr>
          <w:rFonts w:ascii="Calibri" w:cs="Calibri" w:eastAsia="Calibri" w:hAnsi="Calibri"/>
          <w:sz w:val="17"/>
          <w:szCs w:val="17"/>
          <w:b w:val="1"/>
          <w:bCs w:val="1"/>
          <w:color w:val="333333"/>
        </w:rPr>
        <w:t xml:space="preserve"> Age: </w:t>
      </w:r>
      <w:r>
        <w:rPr>
          <w:rFonts w:ascii="Calibri" w:cs="Calibri" w:eastAsia="Calibri" w:hAnsi="Calibri"/>
          <w:sz w:val="17"/>
          <w:szCs w:val="17"/>
          <w:color w:val="333333"/>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140"/>
        <w:spacing w:after="0" w:line="232" w:lineRule="auto"/>
        <w:rPr>
          <w:sz w:val="20"/>
          <w:szCs w:val="20"/>
          <w:color w:val="auto"/>
        </w:rPr>
      </w:pPr>
      <w:r>
        <w:rPr>
          <w:rFonts w:ascii="Calibri" w:cs="Calibri" w:eastAsia="Calibri" w:hAnsi="Calibri"/>
          <w:sz w:val="17"/>
          <w:szCs w:val="17"/>
          <w:color w:val="333333"/>
        </w:rPr>
        <w:t>Ulrike (Rike) Rabl joined the Company in May 2020 as Vice President of Strategy and Transformaton. From January 2025 to December 2025, Ms. Rabl served as Deputy Chief Human Resources Ofcer and, efectve January 1, 2026, was appointed Chief Human Resources Ofcer. From October 2014 to May 2020, Ms. Rabl was Vice President of the Transformaton Ofce of Fannie Mae and from August 2006 to October 2014 was a management consultant with The Boston Consultng Group, most recently as a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-746125</wp:posOffset>
            </wp:positionV>
            <wp:extent cx="5953125" cy="968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53125" cy="9683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240"/>
            <w:col w:w="6900"/>
          </w:cols>
          <w:pgMar w:left="320" w:top="478" w:right="479" w:bottom="1440" w:gutter="0" w:footer="0" w:header="0"/>
          <w:type w:val="continuous"/>
        </w:sectPr>
      </w:pPr>
    </w:p>
    <w:p>
      <w:pPr>
        <w:spacing w:after="0" w:line="268" w:lineRule="exact"/>
        <w:rPr>
          <w:sz w:val="20"/>
          <w:szCs w:val="20"/>
          <w:color w:val="auto"/>
        </w:rPr>
      </w:pPr>
    </w:p>
    <w:p>
      <w:pPr>
        <w:jc w:val="center"/>
        <w:ind w:right="-139"/>
        <w:spacing w:after="0"/>
        <w:rPr>
          <w:sz w:val="20"/>
          <w:szCs w:val="20"/>
          <w:color w:val="auto"/>
        </w:rPr>
      </w:pPr>
      <w:r>
        <w:rPr>
          <w:rFonts w:ascii="Calibri" w:cs="Calibri" w:eastAsia="Calibri" w:hAnsi="Calibri"/>
          <w:sz w:val="15"/>
          <w:szCs w:val="15"/>
          <w:color w:val="333333"/>
        </w:rPr>
        <w:t>48</w:t>
      </w:r>
    </w:p>
    <w:p>
      <w:pPr>
        <w:sectPr>
          <w:pgSz w:w="11900" w:h="16838" w:orient="portrait"/>
          <w:cols w:equalWidth="0" w:num="1">
            <w:col w:w="11100"/>
          </w:cols>
          <w:pgMar w:left="320" w:top="478" w:right="4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3240" w:type="dxa"/>
            <w:vAlign w:val="bottom"/>
          </w:tcPr>
          <w:p>
            <w:pPr>
              <w:spacing w:after="0"/>
              <w:rPr>
                <w:sz w:val="20"/>
                <w:szCs w:val="20"/>
                <w:color w:val="auto"/>
              </w:rPr>
            </w:pPr>
            <w:r>
              <w:rPr>
                <w:rFonts w:ascii="Calibri" w:cs="Calibri" w:eastAsia="Calibri" w:hAnsi="Calibri"/>
                <w:sz w:val="21"/>
                <w:szCs w:val="21"/>
                <w:b w:val="1"/>
                <w:bCs w:val="1"/>
                <w:color w:val="0591DB"/>
              </w:rPr>
              <w:t>NON-DIRECTOR EXECUTIVE</w:t>
            </w:r>
          </w:p>
        </w:tc>
        <w:tc>
          <w:tcPr>
            <w:tcW w:w="3420" w:type="dxa"/>
            <w:vAlign w:val="bottom"/>
          </w:tcPr>
          <w:p>
            <w:pPr>
              <w:spacing w:after="0"/>
              <w:rPr>
                <w:sz w:val="22"/>
                <w:szCs w:val="22"/>
                <w:color w:val="auto"/>
              </w:rPr>
            </w:pPr>
          </w:p>
        </w:tc>
      </w:tr>
      <w:tr>
        <w:trPr>
          <w:trHeight w:val="244"/>
        </w:trPr>
        <w:tc>
          <w:tcPr>
            <w:tcW w:w="3240" w:type="dxa"/>
            <w:vAlign w:val="bottom"/>
          </w:tcPr>
          <w:p>
            <w:pPr>
              <w:spacing w:after="0" w:line="244" w:lineRule="exact"/>
              <w:rPr>
                <w:sz w:val="20"/>
                <w:szCs w:val="20"/>
                <w:color w:val="auto"/>
              </w:rPr>
            </w:pPr>
            <w:r>
              <w:rPr>
                <w:rFonts w:ascii="Calibri" w:cs="Calibri" w:eastAsia="Calibri" w:hAnsi="Calibri"/>
                <w:sz w:val="21"/>
                <w:szCs w:val="21"/>
                <w:b w:val="1"/>
                <w:bCs w:val="1"/>
                <w:color w:val="0591DB"/>
              </w:rPr>
              <w:t>OFFICERS AND KEY EMPLOYEES</w:t>
            </w:r>
          </w:p>
        </w:tc>
        <w:tc>
          <w:tcPr>
            <w:tcW w:w="3420" w:type="dxa"/>
            <w:vAlign w:val="bottom"/>
          </w:tcPr>
          <w:p>
            <w:pPr>
              <w:ind w:left="640"/>
              <w:spacing w:after="0" w:line="244" w:lineRule="exact"/>
              <w:rPr>
                <w:sz w:val="20"/>
                <w:szCs w:val="20"/>
                <w:color w:val="auto"/>
              </w:rPr>
            </w:pPr>
            <w:r>
              <w:rPr>
                <w:rFonts w:ascii="Calibri" w:cs="Calibri" w:eastAsia="Calibri" w:hAnsi="Calibri"/>
                <w:sz w:val="21"/>
                <w:szCs w:val="21"/>
                <w:b w:val="1"/>
                <w:bCs w:val="1"/>
                <w:color w:val="0591DB"/>
                <w:w w:val="94"/>
              </w:rPr>
              <w:t>PRINCIPAL BUSINESS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-294640</wp:posOffset>
            </wp:positionV>
            <wp:extent cx="6938010" cy="356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38010" cy="356870"/>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p>
      <w:pPr>
        <w:spacing w:after="0" w:line="119"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0591DB"/>
        </w:rPr>
        <w:t>Brendan J. Keatng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721995" cy="925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995" cy="925830"/>
                    </a:xfrm>
                    <a:prstGeom prst="rect">
                      <a:avLst/>
                    </a:prstGeom>
                    <a:noFill/>
                  </pic:spPr>
                </pic:pic>
              </a:graphicData>
            </a:graphic>
          </wp:anchor>
        </w:drawing>
      </w:r>
    </w:p>
    <w:p>
      <w:pPr>
        <w:ind w:left="1820"/>
        <w:spacing w:after="0" w:line="232" w:lineRule="auto"/>
        <w:rPr>
          <w:sz w:val="20"/>
          <w:szCs w:val="20"/>
          <w:color w:val="auto"/>
        </w:rPr>
      </w:pPr>
      <w:r>
        <w:rPr>
          <w:rFonts w:ascii="Calibri" w:cs="Calibri" w:eastAsia="Calibri" w:hAnsi="Calibri"/>
          <w:sz w:val="17"/>
          <w:szCs w:val="17"/>
          <w:i w:val="1"/>
          <w:iCs w:val="1"/>
          <w:color w:val="333333"/>
        </w:rPr>
        <w:t>Chief Accountng Ofcer and Controller</w:t>
      </w:r>
    </w:p>
    <w:p>
      <w:pPr>
        <w:spacing w:after="0" w:line="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333333"/>
        </w:rPr>
        <w:t xml:space="preserve">Ofcer Since: </w:t>
      </w:r>
      <w:r>
        <w:rPr>
          <w:rFonts w:ascii="Calibri" w:cs="Calibri" w:eastAsia="Calibri" w:hAnsi="Calibri"/>
          <w:sz w:val="17"/>
          <w:szCs w:val="17"/>
          <w:color w:val="333333"/>
        </w:rPr>
        <w:t>2019</w:t>
      </w:r>
    </w:p>
    <w:p>
      <w:pPr>
        <w:spacing w:after="0" w:line="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245110</wp:posOffset>
            </wp:positionV>
            <wp:extent cx="976630" cy="11042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76630" cy="1104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20"/>
        <w:spacing w:after="0" w:line="232" w:lineRule="auto"/>
        <w:rPr>
          <w:sz w:val="20"/>
          <w:szCs w:val="20"/>
          <w:color w:val="auto"/>
        </w:rPr>
      </w:pPr>
      <w:r>
        <w:rPr>
          <w:rFonts w:ascii="Calibri" w:cs="Calibri" w:eastAsia="Calibri" w:hAnsi="Calibri"/>
          <w:sz w:val="17"/>
          <w:szCs w:val="17"/>
          <w:color w:val="333333"/>
        </w:rPr>
        <w:t>Brendan Keatng has held the positons of Chief Accountng Ofcer and Controller since March 2019. From September 2011 to March 2019, Mr. Keatng was Vice President – Assistant Controller of the Company. From 2008 to 2011, Mr. Keatng served as a Senior Vice President of Accountng Policy and Reportng at Discovery, Inc., a mass media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475615</wp:posOffset>
            </wp:positionV>
            <wp:extent cx="59531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53125" cy="42545"/>
                    </a:xfrm>
                    <a:prstGeom prst="rect">
                      <a:avLst/>
                    </a:prstGeom>
                    <a:noFill/>
                  </pic:spPr>
                </pic:pic>
              </a:graphicData>
            </a:graphic>
          </wp:anchor>
        </w:drawing>
      </w:r>
    </w:p>
    <w:p>
      <w:pPr>
        <w:spacing w:after="0" w:line="563" w:lineRule="exact"/>
        <w:rPr>
          <w:sz w:val="20"/>
          <w:szCs w:val="20"/>
          <w:color w:val="auto"/>
        </w:rPr>
      </w:pPr>
    </w:p>
    <w:p>
      <w:pPr>
        <w:sectPr>
          <w:pgSz w:w="11900" w:h="16838" w:orient="portrait"/>
          <w:cols w:equalWidth="0" w:num="2">
            <w:col w:w="3800" w:space="400"/>
            <w:col w:w="6900"/>
          </w:cols>
          <w:pgMar w:left="320" w:top="478" w:right="479" w:bottom="1440" w:gutter="0" w:footer="0" w:header="0"/>
          <w:type w:val="continuous"/>
        </w:sectPr>
      </w:pPr>
    </w:p>
    <w:p>
      <w:pPr>
        <w:spacing w:after="0" w:line="221"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0591DB"/>
        </w:rPr>
        <w:t>Mathew Pachman</w:t>
      </w:r>
    </w:p>
    <w:p>
      <w:pPr>
        <w:ind w:left="1820"/>
        <w:spacing w:after="0" w:line="232" w:lineRule="auto"/>
        <w:rPr>
          <w:sz w:val="20"/>
          <w:szCs w:val="20"/>
          <w:color w:val="auto"/>
        </w:rPr>
      </w:pPr>
      <w:r>
        <w:rPr>
          <w:rFonts w:ascii="Calibri" w:cs="Calibri" w:eastAsia="Calibri" w:hAnsi="Calibri"/>
          <w:sz w:val="17"/>
          <w:szCs w:val="17"/>
          <w:i w:val="1"/>
          <w:iCs w:val="1"/>
          <w:color w:val="333333"/>
        </w:rPr>
        <w:t>Vice President – Chief Risk and Compliance Ofcer</w:t>
      </w:r>
    </w:p>
    <w:p>
      <w:pPr>
        <w:spacing w:after="0" w:line="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333333"/>
        </w:rPr>
        <w:t xml:space="preserve">Ofcer Since: </w:t>
      </w:r>
      <w:r>
        <w:rPr>
          <w:rFonts w:ascii="Calibri" w:cs="Calibri" w:eastAsia="Calibri" w:hAnsi="Calibri"/>
          <w:sz w:val="17"/>
          <w:szCs w:val="17"/>
          <w:color w:val="333333"/>
        </w:rPr>
        <w:t>2012</w:t>
      </w:r>
    </w:p>
    <w:p>
      <w:pPr>
        <w:spacing w:after="0" w:line="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333333"/>
        </w:rPr>
        <w:t xml:space="preserve">Age: </w:t>
      </w:r>
      <w:r>
        <w:rPr>
          <w:rFonts w:ascii="Calibri" w:cs="Calibri" w:eastAsia="Calibri" w:hAnsi="Calibri"/>
          <w:sz w:val="17"/>
          <w:szCs w:val="17"/>
          <w:color w:val="333333"/>
        </w:rPr>
        <w:t>61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80"/>
        <w:spacing w:after="0" w:line="232" w:lineRule="auto"/>
        <w:rPr>
          <w:sz w:val="20"/>
          <w:szCs w:val="20"/>
          <w:color w:val="auto"/>
        </w:rPr>
      </w:pPr>
      <w:r>
        <w:rPr>
          <w:rFonts w:ascii="Calibri" w:cs="Calibri" w:eastAsia="Calibri" w:hAnsi="Calibri"/>
          <w:sz w:val="17"/>
          <w:szCs w:val="17"/>
          <w:color w:val="333333"/>
        </w:rPr>
        <w:t>Mathew Pachman has held the positon of Vice President – Chief Risk and Compliance Ofcer since June 2016. Prior to assuming the dutes of Chief Risk Ofcer of the Company in February 2015, Mr. Pachman also held the positon of Vice President and Chief Ethics and Compliance Ofcer from July 2012 to June 2016. Prior to joining FTI Consultng, Mr. Pachman built and led compliance programs at various other companies, including Altegrity Risk Internatonal, Inc., a global risk consultng and informaton services company, the Federal Home Loan Mortgage Corporaton, a public government-sponsored enterprise operatng in the secondary mortgage market, and MCI Communicatons Corp., a telecommunicatons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-1001395</wp:posOffset>
            </wp:positionV>
            <wp:extent cx="5953125" cy="1061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53125" cy="1061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260"/>
            <w:col w:w="6900"/>
          </w:cols>
          <w:pgMar w:left="320" w:top="478" w:right="479" w:bottom="1440" w:gutter="0" w:footer="0" w:header="0"/>
          <w:type w:val="continuous"/>
        </w:sectPr>
      </w:pPr>
    </w:p>
    <w:p>
      <w:pPr>
        <w:spacing w:after="0" w:line="81" w:lineRule="exact"/>
        <w:rPr>
          <w:sz w:val="20"/>
          <w:szCs w:val="20"/>
          <w:color w:val="auto"/>
        </w:rPr>
      </w:pPr>
    </w:p>
    <w:p>
      <w:pPr>
        <w:ind w:left="160" w:right="480"/>
        <w:spacing w:after="0" w:line="233" w:lineRule="auto"/>
        <w:rPr>
          <w:sz w:val="20"/>
          <w:szCs w:val="20"/>
          <w:color w:val="auto"/>
        </w:rPr>
      </w:pPr>
      <w:r>
        <w:rPr>
          <w:rFonts w:ascii="Calibri" w:cs="Calibri" w:eastAsia="Calibri" w:hAnsi="Calibri"/>
          <w:sz w:val="17"/>
          <w:szCs w:val="17"/>
          <w:color w:val="333333"/>
        </w:rPr>
        <w:t>Our ofcers are elected by, and serve at the pleasure of, our Board, subject to the terms of the writen employment arrangements that we have with them.</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COMPENSATION DISCUSSION AND ANALYSIS</w:t>
      </w:r>
    </w:p>
    <w:p>
      <w:pPr>
        <w:spacing w:after="0" w:line="212" w:lineRule="exact"/>
        <w:rPr>
          <w:sz w:val="20"/>
          <w:szCs w:val="20"/>
          <w:color w:val="auto"/>
        </w:rPr>
      </w:pPr>
    </w:p>
    <w:p>
      <w:pPr>
        <w:ind w:left="160" w:right="140"/>
        <w:spacing w:after="0" w:line="233" w:lineRule="auto"/>
        <w:rPr>
          <w:sz w:val="20"/>
          <w:szCs w:val="20"/>
          <w:color w:val="auto"/>
        </w:rPr>
      </w:pPr>
      <w:r>
        <w:rPr>
          <w:rFonts w:ascii="Calibri" w:cs="Calibri" w:eastAsia="Calibri" w:hAnsi="Calibri"/>
          <w:sz w:val="17"/>
          <w:szCs w:val="17"/>
          <w:color w:val="333333"/>
        </w:rPr>
        <w:t>This Compensaton Discussion and Analysis secton describes the material elements of our executve compensaton program; our policies and practces; and the principles and objectves of our decisions, with respect to compensaton for the year ended December 31, 2025 for our named executve ofcers.</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Named Executve Ofcers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Our NEOs, determined as of December 31, 2025, include the following current executve ofcers of the Company:</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180" w:type="dxa"/>
            <w:vAlign w:val="bottom"/>
            <w:tcBorders>
              <w:top w:val="single" w:sz="8" w:color="0591DB"/>
              <w:left w:val="single" w:sz="8" w:color="0591DB"/>
              <w:right w:val="single" w:sz="8" w:color="0591DB"/>
            </w:tcBorders>
          </w:tcPr>
          <w:p>
            <w:pPr>
              <w:ind w:left="140"/>
              <w:spacing w:after="0"/>
              <w:rPr>
                <w:sz w:val="20"/>
                <w:szCs w:val="20"/>
                <w:color w:val="auto"/>
              </w:rPr>
            </w:pPr>
            <w:r>
              <w:rPr>
                <w:rFonts w:ascii="Calibri" w:cs="Calibri" w:eastAsia="Calibri" w:hAnsi="Calibri"/>
                <w:sz w:val="21"/>
                <w:szCs w:val="21"/>
                <w:b w:val="1"/>
                <w:bCs w:val="1"/>
                <w:color w:val="0591DB"/>
              </w:rPr>
              <w:t>NAME</w:t>
            </w:r>
          </w:p>
        </w:tc>
        <w:tc>
          <w:tcPr>
            <w:tcW w:w="7720" w:type="dxa"/>
            <w:vAlign w:val="bottom"/>
            <w:tcBorders>
              <w:top w:val="single" w:sz="8" w:color="0591DB"/>
            </w:tcBorders>
          </w:tcPr>
          <w:p>
            <w:pPr>
              <w:jc w:val="center"/>
              <w:ind w:left="72"/>
              <w:spacing w:after="0"/>
              <w:rPr>
                <w:sz w:val="20"/>
                <w:szCs w:val="20"/>
                <w:color w:val="auto"/>
              </w:rPr>
            </w:pPr>
            <w:r>
              <w:rPr>
                <w:rFonts w:ascii="Calibri" w:cs="Calibri" w:eastAsia="Calibri" w:hAnsi="Calibri"/>
                <w:sz w:val="21"/>
                <w:szCs w:val="21"/>
                <w:b w:val="1"/>
                <w:bCs w:val="1"/>
                <w:color w:val="0591DB"/>
                <w:w w:val="96"/>
              </w:rPr>
              <w:t>TITLE</w:t>
            </w:r>
          </w:p>
        </w:tc>
        <w:tc>
          <w:tcPr>
            <w:tcW w:w="20" w:type="dxa"/>
            <w:vAlign w:val="bottom"/>
            <w:tcBorders>
              <w:top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3180" w:type="dxa"/>
            <w:vAlign w:val="bottom"/>
            <w:tcBorders>
              <w:left w:val="single" w:sz="8" w:color="0591DB"/>
              <w:bottom w:val="single" w:sz="8" w:color="0591DB"/>
              <w:right w:val="single" w:sz="8" w:color="0591DB"/>
            </w:tcBorders>
          </w:tcPr>
          <w:p>
            <w:pPr>
              <w:spacing w:after="0"/>
              <w:rPr>
                <w:sz w:val="5"/>
                <w:szCs w:val="5"/>
                <w:color w:val="auto"/>
              </w:rPr>
            </w:pPr>
          </w:p>
        </w:tc>
        <w:tc>
          <w:tcPr>
            <w:tcW w:w="7720" w:type="dxa"/>
            <w:vAlign w:val="bottom"/>
            <w:tcBorders>
              <w:bottom w:val="single" w:sz="8" w:color="0591DB"/>
            </w:tcBorders>
          </w:tcPr>
          <w:p>
            <w:pPr>
              <w:spacing w:after="0"/>
              <w:rPr>
                <w:sz w:val="5"/>
                <w:szCs w:val="5"/>
                <w:color w:val="auto"/>
              </w:rPr>
            </w:pPr>
          </w:p>
        </w:tc>
        <w:tc>
          <w:tcPr>
            <w:tcW w:w="20" w:type="dxa"/>
            <w:vAlign w:val="bottom"/>
            <w:tcBorders>
              <w:bottom w:val="single" w:sz="8" w:color="0591DB"/>
            </w:tcBorders>
            <w:shd w:val="clear" w:color="auto" w:fill="0591DB"/>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80" w:type="dxa"/>
            <w:vAlign w:val="bottom"/>
          </w:tcPr>
          <w:p>
            <w:pPr>
              <w:spacing w:after="0" w:line="197" w:lineRule="exact"/>
              <w:rPr>
                <w:sz w:val="20"/>
                <w:szCs w:val="20"/>
                <w:color w:val="auto"/>
              </w:rPr>
            </w:pPr>
            <w:r>
              <w:rPr>
                <w:rFonts w:ascii="Calibri" w:cs="Calibri" w:eastAsia="Calibri" w:hAnsi="Calibri"/>
                <w:sz w:val="17"/>
                <w:szCs w:val="17"/>
                <w:b w:val="1"/>
                <w:bCs w:val="1"/>
                <w:color w:val="0591DB"/>
              </w:rPr>
              <w:t>Steven H. Gunby</w:t>
            </w:r>
          </w:p>
        </w:tc>
        <w:tc>
          <w:tcPr>
            <w:tcW w:w="7720" w:type="dxa"/>
            <w:vAlign w:val="bottom"/>
          </w:tcPr>
          <w:p>
            <w:pPr>
              <w:jc w:val="center"/>
              <w:ind w:left="112"/>
              <w:spacing w:after="0" w:line="197" w:lineRule="exact"/>
              <w:rPr>
                <w:sz w:val="20"/>
                <w:szCs w:val="20"/>
                <w:color w:val="auto"/>
              </w:rPr>
            </w:pPr>
            <w:r>
              <w:rPr>
                <w:rFonts w:ascii="Calibri" w:cs="Calibri" w:eastAsia="Calibri" w:hAnsi="Calibri"/>
                <w:sz w:val="17"/>
                <w:szCs w:val="17"/>
                <w:color w:val="333333"/>
              </w:rPr>
              <w:t>President and Chief Executve Ofcer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318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b w:val="1"/>
                <w:bCs w:val="1"/>
                <w:color w:val="0591DB"/>
              </w:rPr>
              <w:t>Paul Linton</w:t>
            </w:r>
          </w:p>
        </w:tc>
        <w:tc>
          <w:tcPr>
            <w:tcW w:w="7720" w:type="dxa"/>
            <w:vAlign w:val="bottom"/>
            <w:shd w:val="clear" w:color="auto" w:fill="EFF2EF"/>
          </w:tcPr>
          <w:p>
            <w:pPr>
              <w:jc w:val="center"/>
              <w:ind w:left="112"/>
              <w:spacing w:after="0" w:line="203" w:lineRule="exact"/>
              <w:rPr>
                <w:sz w:val="20"/>
                <w:szCs w:val="20"/>
                <w:color w:val="auto"/>
              </w:rPr>
            </w:pPr>
            <w:r>
              <w:rPr>
                <w:rFonts w:ascii="Calibri" w:cs="Calibri" w:eastAsia="Calibri" w:hAnsi="Calibri"/>
                <w:sz w:val="17"/>
                <w:szCs w:val="17"/>
                <w:color w:val="333333"/>
              </w:rPr>
              <w:t>Chief Strategy and Transformaton Ofcer and Interim Chief Financial Ofcer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3180" w:type="dxa"/>
            <w:vAlign w:val="bottom"/>
            <w:tcBorders>
              <w:left w:val="single" w:sz="8" w:color="EFF2EF"/>
              <w:right w:val="single" w:sz="8" w:color="EFF2EF"/>
            </w:tcBorders>
            <w:shd w:val="clear" w:color="auto" w:fill="EFF2EF"/>
          </w:tcPr>
          <w:p>
            <w:pPr>
              <w:spacing w:after="0"/>
              <w:rPr>
                <w:sz w:val="11"/>
                <w:szCs w:val="11"/>
                <w:color w:val="auto"/>
              </w:rPr>
            </w:pPr>
          </w:p>
        </w:tc>
        <w:tc>
          <w:tcPr>
            <w:tcW w:w="7720" w:type="dxa"/>
            <w:vAlign w:val="bottom"/>
            <w:shd w:val="clear" w:color="auto" w:fill="EFF2E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tcPr>
          <w:p>
            <w:pPr>
              <w:spacing w:after="0" w:line="203" w:lineRule="exact"/>
              <w:rPr>
                <w:sz w:val="20"/>
                <w:szCs w:val="20"/>
                <w:color w:val="auto"/>
              </w:rPr>
            </w:pPr>
            <w:r>
              <w:rPr>
                <w:rFonts w:ascii="Calibri" w:cs="Calibri" w:eastAsia="Calibri" w:hAnsi="Calibri"/>
                <w:sz w:val="17"/>
                <w:szCs w:val="17"/>
                <w:b w:val="1"/>
                <w:bCs w:val="1"/>
                <w:color w:val="0591DB"/>
              </w:rPr>
              <w:t>Curts P. Lu</w:t>
            </w:r>
          </w:p>
        </w:tc>
        <w:tc>
          <w:tcPr>
            <w:tcW w:w="7720" w:type="dxa"/>
            <w:vAlign w:val="bottom"/>
          </w:tcPr>
          <w:p>
            <w:pPr>
              <w:jc w:val="center"/>
              <w:ind w:left="112"/>
              <w:spacing w:after="0" w:line="203" w:lineRule="exact"/>
              <w:rPr>
                <w:sz w:val="20"/>
                <w:szCs w:val="20"/>
                <w:color w:val="auto"/>
              </w:rPr>
            </w:pPr>
            <w:r>
              <w:rPr>
                <w:rFonts w:ascii="Calibri" w:cs="Calibri" w:eastAsia="Calibri" w:hAnsi="Calibri"/>
                <w:sz w:val="17"/>
                <w:szCs w:val="17"/>
                <w:color w:val="333333"/>
              </w:rPr>
              <w:t>General Counsel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318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b w:val="1"/>
                <w:bCs w:val="1"/>
                <w:color w:val="0591DB"/>
              </w:rPr>
              <w:t>Brendan J. Keatng</w:t>
            </w:r>
          </w:p>
        </w:tc>
        <w:tc>
          <w:tcPr>
            <w:tcW w:w="7720" w:type="dxa"/>
            <w:vAlign w:val="bottom"/>
            <w:shd w:val="clear" w:color="auto" w:fill="EFF2EF"/>
          </w:tcPr>
          <w:p>
            <w:pPr>
              <w:jc w:val="center"/>
              <w:ind w:left="112"/>
              <w:spacing w:after="0" w:line="203" w:lineRule="exact"/>
              <w:rPr>
                <w:sz w:val="20"/>
                <w:szCs w:val="20"/>
                <w:color w:val="auto"/>
              </w:rPr>
            </w:pPr>
            <w:r>
              <w:rPr>
                <w:rFonts w:ascii="Calibri" w:cs="Calibri" w:eastAsia="Calibri" w:hAnsi="Calibri"/>
                <w:sz w:val="17"/>
                <w:szCs w:val="17"/>
                <w:color w:val="333333"/>
              </w:rPr>
              <w:t>Chief Accountng Ofcer and Controller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80" w:type="dxa"/>
            <w:vAlign w:val="bottom"/>
            <w:tcBorders>
              <w:left w:val="single" w:sz="8" w:color="EFF2EF"/>
              <w:right w:val="single" w:sz="8" w:color="EFF2EF"/>
            </w:tcBorders>
            <w:shd w:val="clear" w:color="auto" w:fill="EFF2EF"/>
          </w:tcPr>
          <w:p>
            <w:pPr>
              <w:spacing w:after="0"/>
              <w:rPr>
                <w:sz w:val="11"/>
                <w:szCs w:val="11"/>
                <w:color w:val="auto"/>
              </w:rPr>
            </w:pPr>
          </w:p>
        </w:tc>
        <w:tc>
          <w:tcPr>
            <w:tcW w:w="7720" w:type="dxa"/>
            <w:vAlign w:val="bottom"/>
            <w:shd w:val="clear" w:color="auto" w:fill="EFF2E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60" w:right="360"/>
        <w:spacing w:after="0" w:line="232" w:lineRule="auto"/>
        <w:rPr>
          <w:sz w:val="20"/>
          <w:szCs w:val="20"/>
          <w:color w:val="auto"/>
        </w:rPr>
      </w:pPr>
      <w:r>
        <w:rPr>
          <w:rFonts w:ascii="Calibri" w:cs="Calibri" w:eastAsia="Calibri" w:hAnsi="Calibri"/>
          <w:sz w:val="17"/>
          <w:szCs w:val="17"/>
          <w:color w:val="333333"/>
        </w:rPr>
        <w:t>We have determined that Mr. Keatng was a named executve ofcer for the frst tme with respect to compensaton for the year ended December 31, 2025. Mr. Keatng partcipates in a diferent compensaton program as compared with the other NEOs and, therefore, the compensaton arrangements applicable to Mr. Keatng are described separately throughout this “Compensaton Discussion and Analysis” secton. In the narratves below, where we refer to “partcipatng NEOs,” those narratves generally exclude reference to Mr. Keatng unless otherwise expressly noted.</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49</w:t>
      </w:r>
    </w:p>
    <w:p>
      <w:pPr>
        <w:sectPr>
          <w:pgSz w:w="11900" w:h="16838" w:orient="portrait"/>
          <w:cols w:equalWidth="0" w:num="1">
            <w:col w:w="11100"/>
          </w:cols>
          <w:pgMar w:left="320" w:top="478" w:right="4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160"/>
        <w:spacing w:after="0" w:line="233" w:lineRule="auto"/>
        <w:rPr>
          <w:sz w:val="20"/>
          <w:szCs w:val="20"/>
          <w:color w:val="auto"/>
        </w:rPr>
      </w:pPr>
      <w:r>
        <w:rPr>
          <w:rFonts w:ascii="Calibri" w:cs="Calibri" w:eastAsia="Calibri" w:hAnsi="Calibri"/>
          <w:sz w:val="17"/>
          <w:szCs w:val="17"/>
          <w:color w:val="333333"/>
        </w:rPr>
        <w:t>Our named executve ofcers also include the following individuals who formerly held the positons of Chief Financial Ofcer and Chief Human Resources Ofcer during the calendar year ended December 31, 2025.</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180" w:type="dxa"/>
            <w:vAlign w:val="bottom"/>
            <w:tcBorders>
              <w:top w:val="single" w:sz="8" w:color="0591DB"/>
              <w:left w:val="single" w:sz="8" w:color="0591DB"/>
              <w:right w:val="single" w:sz="8" w:color="0591DB"/>
            </w:tcBorders>
          </w:tcPr>
          <w:p>
            <w:pPr>
              <w:ind w:left="140"/>
              <w:spacing w:after="0"/>
              <w:rPr>
                <w:sz w:val="20"/>
                <w:szCs w:val="20"/>
                <w:color w:val="auto"/>
              </w:rPr>
            </w:pPr>
            <w:r>
              <w:rPr>
                <w:rFonts w:ascii="Calibri" w:cs="Calibri" w:eastAsia="Calibri" w:hAnsi="Calibri"/>
                <w:sz w:val="21"/>
                <w:szCs w:val="21"/>
                <w:b w:val="1"/>
                <w:bCs w:val="1"/>
                <w:color w:val="0591DB"/>
              </w:rPr>
              <w:t>NAME</w:t>
            </w:r>
          </w:p>
        </w:tc>
        <w:tc>
          <w:tcPr>
            <w:tcW w:w="7720" w:type="dxa"/>
            <w:vAlign w:val="bottom"/>
            <w:tcBorders>
              <w:top w:val="single" w:sz="8" w:color="0591DB"/>
            </w:tcBorders>
          </w:tcPr>
          <w:p>
            <w:pPr>
              <w:jc w:val="center"/>
              <w:ind w:left="69"/>
              <w:spacing w:after="0"/>
              <w:rPr>
                <w:sz w:val="20"/>
                <w:szCs w:val="20"/>
                <w:color w:val="auto"/>
              </w:rPr>
            </w:pPr>
            <w:r>
              <w:rPr>
                <w:rFonts w:ascii="Calibri" w:cs="Calibri" w:eastAsia="Calibri" w:hAnsi="Calibri"/>
                <w:sz w:val="21"/>
                <w:szCs w:val="21"/>
                <w:b w:val="1"/>
                <w:bCs w:val="1"/>
                <w:color w:val="0591DB"/>
                <w:w w:val="96"/>
              </w:rPr>
              <w:t>TITLE</w:t>
            </w:r>
          </w:p>
        </w:tc>
        <w:tc>
          <w:tcPr>
            <w:tcW w:w="20" w:type="dxa"/>
            <w:vAlign w:val="bottom"/>
            <w:tcBorders>
              <w:top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3180" w:type="dxa"/>
            <w:vAlign w:val="bottom"/>
            <w:tcBorders>
              <w:left w:val="single" w:sz="8" w:color="0591DB"/>
              <w:bottom w:val="single" w:sz="8" w:color="0591DB"/>
              <w:right w:val="single" w:sz="8" w:color="0591DB"/>
            </w:tcBorders>
          </w:tcPr>
          <w:p>
            <w:pPr>
              <w:spacing w:after="0"/>
              <w:rPr>
                <w:sz w:val="5"/>
                <w:szCs w:val="5"/>
                <w:color w:val="auto"/>
              </w:rPr>
            </w:pPr>
          </w:p>
        </w:tc>
        <w:tc>
          <w:tcPr>
            <w:tcW w:w="7720" w:type="dxa"/>
            <w:vAlign w:val="bottom"/>
            <w:tcBorders>
              <w:bottom w:val="single" w:sz="8" w:color="0591DB"/>
            </w:tcBorders>
          </w:tcPr>
          <w:p>
            <w:pPr>
              <w:spacing w:after="0"/>
              <w:rPr>
                <w:sz w:val="5"/>
                <w:szCs w:val="5"/>
                <w:color w:val="auto"/>
              </w:rPr>
            </w:pPr>
          </w:p>
        </w:tc>
        <w:tc>
          <w:tcPr>
            <w:tcW w:w="20" w:type="dxa"/>
            <w:vAlign w:val="bottom"/>
            <w:tcBorders>
              <w:bottom w:val="single" w:sz="8" w:color="0591DB"/>
            </w:tcBorders>
            <w:shd w:val="clear" w:color="auto" w:fill="0591DB"/>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80" w:type="dxa"/>
            <w:vAlign w:val="bottom"/>
          </w:tcPr>
          <w:p>
            <w:pPr>
              <w:spacing w:after="0" w:line="197" w:lineRule="exact"/>
              <w:rPr>
                <w:sz w:val="20"/>
                <w:szCs w:val="20"/>
                <w:color w:val="auto"/>
              </w:rPr>
            </w:pPr>
            <w:r>
              <w:rPr>
                <w:rFonts w:ascii="Calibri" w:cs="Calibri" w:eastAsia="Calibri" w:hAnsi="Calibri"/>
                <w:sz w:val="17"/>
                <w:szCs w:val="17"/>
                <w:b w:val="1"/>
                <w:bCs w:val="1"/>
                <w:color w:val="0591DB"/>
              </w:rPr>
              <w:t>Ajay Sabherwal</w:t>
            </w:r>
          </w:p>
        </w:tc>
        <w:tc>
          <w:tcPr>
            <w:tcW w:w="7720" w:type="dxa"/>
            <w:vAlign w:val="bottom"/>
          </w:tcPr>
          <w:p>
            <w:pPr>
              <w:jc w:val="center"/>
              <w:ind w:left="89"/>
              <w:spacing w:after="0" w:line="197" w:lineRule="exact"/>
              <w:rPr>
                <w:sz w:val="20"/>
                <w:szCs w:val="20"/>
                <w:color w:val="auto"/>
              </w:rPr>
            </w:pPr>
            <w:r>
              <w:rPr>
                <w:rFonts w:ascii="Calibri" w:cs="Calibri" w:eastAsia="Calibri" w:hAnsi="Calibri"/>
                <w:sz w:val="17"/>
                <w:szCs w:val="17"/>
                <w:color w:val="333333"/>
              </w:rPr>
              <w:t>Former Chief Financial Ofcer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tcBorders>
              <w:left w:val="single" w:sz="8" w:color="EFF2EF"/>
              <w:right w:val="single" w:sz="8" w:color="EFF2EF"/>
            </w:tcBorders>
            <w:shd w:val="clear" w:color="auto" w:fill="EFF2EF"/>
          </w:tcPr>
          <w:p>
            <w:pPr>
              <w:spacing w:after="0"/>
              <w:rPr>
                <w:sz w:val="20"/>
                <w:szCs w:val="20"/>
                <w:color w:val="auto"/>
              </w:rPr>
            </w:pPr>
            <w:r>
              <w:rPr>
                <w:rFonts w:ascii="Calibri" w:cs="Calibri" w:eastAsia="Calibri" w:hAnsi="Calibri"/>
                <w:sz w:val="17"/>
                <w:szCs w:val="17"/>
                <w:b w:val="1"/>
                <w:bCs w:val="1"/>
                <w:color w:val="0591DB"/>
              </w:rPr>
              <w:t>Holly Paul</w:t>
            </w:r>
          </w:p>
        </w:tc>
        <w:tc>
          <w:tcPr>
            <w:tcW w:w="7720" w:type="dxa"/>
            <w:vAlign w:val="bottom"/>
            <w:shd w:val="clear" w:color="auto" w:fill="EFF2EF"/>
          </w:tcPr>
          <w:p>
            <w:pPr>
              <w:jc w:val="center"/>
              <w:ind w:left="89"/>
              <w:spacing w:after="0"/>
              <w:rPr>
                <w:sz w:val="20"/>
                <w:szCs w:val="20"/>
                <w:color w:val="auto"/>
              </w:rPr>
            </w:pPr>
            <w:r>
              <w:rPr>
                <w:rFonts w:ascii="Calibri" w:cs="Calibri" w:eastAsia="Calibri" w:hAnsi="Calibri"/>
                <w:sz w:val="17"/>
                <w:szCs w:val="17"/>
                <w:color w:val="333333"/>
              </w:rPr>
              <w:t>Former Chief Human Resources Ofcer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80" w:type="dxa"/>
            <w:vAlign w:val="bottom"/>
            <w:tcBorders>
              <w:left w:val="single" w:sz="8" w:color="EFF2EF"/>
              <w:right w:val="single" w:sz="8" w:color="EFF2EF"/>
            </w:tcBorders>
            <w:shd w:val="clear" w:color="auto" w:fill="EFF2EF"/>
          </w:tcPr>
          <w:p>
            <w:pPr>
              <w:spacing w:after="0"/>
              <w:rPr>
                <w:sz w:val="2"/>
                <w:szCs w:val="2"/>
                <w:color w:val="auto"/>
              </w:rPr>
            </w:pPr>
          </w:p>
        </w:tc>
        <w:tc>
          <w:tcPr>
            <w:tcW w:w="7720" w:type="dxa"/>
            <w:vAlign w:val="bottom"/>
            <w:shd w:val="clear" w:color="auto" w:fill="EFF2E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60" w:right="320"/>
        <w:spacing w:after="0" w:line="232" w:lineRule="auto"/>
        <w:rPr>
          <w:sz w:val="20"/>
          <w:szCs w:val="20"/>
          <w:color w:val="auto"/>
        </w:rPr>
      </w:pPr>
      <w:r>
        <w:rPr>
          <w:rFonts w:ascii="Calibri" w:cs="Calibri" w:eastAsia="Calibri" w:hAnsi="Calibri"/>
          <w:sz w:val="17"/>
          <w:szCs w:val="17"/>
          <w:color w:val="333333"/>
        </w:rPr>
        <w:t>Mr. Sabherwal resigned as Chief Financial Ofcer of the Company, efectve September 12, 2025. Ms. Paul served as our Chief Human Resources Ofcer through December 31, 2025 and, efectve January 1, 2026, transitoned into a senior advisory role. As a result, we have determined that each of Mr. Sabherwal and Ms. Paul was a named executve ofcer with respect to compensaton for the year ended December 31, 2025.</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50</w:t>
      </w:r>
    </w:p>
    <w:p>
      <w:pPr>
        <w:sectPr>
          <w:pgSz w:w="11900" w:h="16838" w:orient="portrait"/>
          <w:cols w:equalWidth="0" w:num="1">
            <w:col w:w="11100"/>
          </w:cols>
          <w:pgMar w:left="320" w:top="478"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Executve Summary</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2025 Company Performance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038215" cy="50190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8215" cy="501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0" w:hanging="433"/>
        <w:spacing w:after="0" w:line="228" w:lineRule="auto"/>
        <w:tabs>
          <w:tab w:leader="none" w:pos="600" w:val="left"/>
        </w:tabs>
        <w:numPr>
          <w:ilvl w:val="0"/>
          <w:numId w:val="65"/>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See </w:t>
      </w:r>
      <w:r>
        <w:rPr>
          <w:rFonts w:ascii="Calibri" w:cs="Calibri" w:eastAsia="Calibri" w:hAnsi="Calibri"/>
          <w:sz w:val="14"/>
          <w:szCs w:val="14"/>
          <w:u w:val="single" w:color="auto"/>
          <w:color w:val="0591DB"/>
        </w:rPr>
        <w:t>Appendix A</w:t>
      </w:r>
      <w:r>
        <w:rPr>
          <w:rFonts w:ascii="Calibri" w:cs="Calibri" w:eastAsia="Calibri" w:hAnsi="Calibri"/>
          <w:sz w:val="14"/>
          <w:szCs w:val="14"/>
          <w:color w:val="333333"/>
        </w:rPr>
        <w:t xml:space="preserve"> for the defnitons of earnings per diluted share (“EPS”), as adjusted (“Adjusted EPS”), Adjusted EBITDA and other fnancial measures used for fnancial reportng purposes referred to in this proxy statement (“Proxy Statement”), which have not been presented or prepared in accordance with generally accepted accountng principles in the United States (“GAAP”) that are considered not in conformity with GAAP (“non-GAAP”), and the reconciliatons of non-GAAP fnancial measures to the most directly comparable GAAP fnancial measures, as well as the reasons management believes these non-GAAP fnancial measures provide useful informaton to investors. The Compensaton Commitee did not further adjust the Adjusted EPS fnancial performance metric defned in </w:t>
      </w:r>
      <w:r>
        <w:rPr>
          <w:rFonts w:ascii="Calibri" w:cs="Calibri" w:eastAsia="Calibri" w:hAnsi="Calibri"/>
          <w:sz w:val="14"/>
          <w:szCs w:val="14"/>
          <w:u w:val="single" w:color="auto"/>
          <w:color w:val="0591DB"/>
        </w:rPr>
        <w:t>Appendix A</w:t>
      </w:r>
      <w:r>
        <w:rPr>
          <w:rFonts w:ascii="Calibri" w:cs="Calibri" w:eastAsia="Calibri" w:hAnsi="Calibri"/>
          <w:sz w:val="14"/>
          <w:szCs w:val="14"/>
          <w:color w:val="333333"/>
        </w:rPr>
        <w:t xml:space="preserve"> to determine 2025 annual incentve pay (“AIP”). See the secton of this CD&amp;A ttled “— 2025 Pay Outcomes — 2025 Annual Incentve Pay — Financial Metrics” beginning on </w:t>
      </w:r>
      <w:r>
        <w:rPr>
          <w:rFonts w:ascii="Calibri" w:cs="Calibri" w:eastAsia="Calibri" w:hAnsi="Calibri"/>
          <w:sz w:val="14"/>
          <w:szCs w:val="14"/>
          <w:color w:val="0591DB"/>
        </w:rPr>
        <w:t>page 68</w:t>
      </w:r>
      <w:r>
        <w:rPr>
          <w:rFonts w:ascii="Calibri" w:cs="Calibri" w:eastAsia="Calibri" w:hAnsi="Calibri"/>
          <w:sz w:val="14"/>
          <w:szCs w:val="14"/>
          <w:color w:val="333333"/>
        </w:rPr>
        <w:t xml:space="preserve"> and </w:t>
      </w:r>
      <w:r>
        <w:rPr>
          <w:rFonts w:ascii="Calibri" w:cs="Calibri" w:eastAsia="Calibri" w:hAnsi="Calibri"/>
          <w:sz w:val="14"/>
          <w:szCs w:val="14"/>
          <w:u w:val="single" w:color="auto"/>
          <w:color w:val="0591DB"/>
        </w:rPr>
        <w:t>Appendix B</w:t>
      </w:r>
      <w:r>
        <w:rPr>
          <w:rFonts w:ascii="Calibri" w:cs="Calibri" w:eastAsia="Calibri" w:hAnsi="Calibri"/>
          <w:sz w:val="14"/>
          <w:szCs w:val="14"/>
          <w:color w:val="333333"/>
        </w:rPr>
        <w:t xml:space="preserve"> for the defnitons of the non-GAAP fnancial measures, including the descripton of the further adjustment to Adjusted EBITDA, for determining 2025 AIP of our NEOs and the reconciliatons of such non-GAAP fnancial measures to the most directly comparable GAAP fnancial measures.</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51</w:t>
      </w:r>
    </w:p>
    <w:p>
      <w:pPr>
        <w:sectPr>
          <w:pgSz w:w="11900" w:h="16838" w:orient="portrait"/>
          <w:cols w:equalWidth="0" w:num="1">
            <w:col w:w="11060"/>
          </w:cols>
          <w:pgMar w:left="320" w:top="478"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Business Overview</w:t>
      </w:r>
    </w:p>
    <w:p>
      <w:pPr>
        <w:spacing w:after="0" w:line="105" w:lineRule="exact"/>
        <w:rPr>
          <w:sz w:val="20"/>
          <w:szCs w:val="20"/>
          <w:color w:val="auto"/>
        </w:rPr>
      </w:pPr>
    </w:p>
    <w:p>
      <w:pPr>
        <w:ind w:left="160" w:right="240"/>
        <w:spacing w:after="0" w:line="233" w:lineRule="auto"/>
        <w:rPr>
          <w:sz w:val="20"/>
          <w:szCs w:val="20"/>
          <w:color w:val="auto"/>
        </w:rPr>
      </w:pPr>
      <w:r>
        <w:rPr>
          <w:rFonts w:ascii="Calibri" w:cs="Calibri" w:eastAsia="Calibri" w:hAnsi="Calibri"/>
          <w:sz w:val="17"/>
          <w:szCs w:val="17"/>
          <w:color w:val="333333"/>
        </w:rPr>
        <w:t>FTI Consultng is a leading global expert frm for organizatons facing crisis and transformaton. With more than 8,100 employees located in 32 countries and territories, we are the Company our clients call on when they are facing moments of crisis and transformaton.</w:t>
      </w:r>
    </w:p>
    <w:p>
      <w:pPr>
        <w:spacing w:after="0" w:line="172" w:lineRule="exact"/>
        <w:rPr>
          <w:sz w:val="20"/>
          <w:szCs w:val="20"/>
          <w:color w:val="auto"/>
        </w:rPr>
      </w:pPr>
    </w:p>
    <w:p>
      <w:pPr>
        <w:ind w:left="160" w:right="60"/>
        <w:spacing w:after="0" w:line="233" w:lineRule="auto"/>
        <w:rPr>
          <w:sz w:val="20"/>
          <w:szCs w:val="20"/>
          <w:color w:val="auto"/>
        </w:rPr>
      </w:pPr>
      <w:r>
        <w:rPr>
          <w:rFonts w:ascii="Calibri" w:cs="Calibri" w:eastAsia="Calibri" w:hAnsi="Calibri"/>
          <w:sz w:val="17"/>
          <w:szCs w:val="17"/>
          <w:color w:val="333333"/>
        </w:rPr>
        <w:t>The Company is organized into fve business segments. Individually, each segment is a leader in its own right, stafed with experts recognized for the depth of their knowledge, and has a track record of delivering client value.</w:t>
      </w:r>
    </w:p>
    <w:p>
      <w:pPr>
        <w:spacing w:after="0" w:line="212" w:lineRule="exact"/>
        <w:rPr>
          <w:sz w:val="20"/>
          <w:szCs w:val="20"/>
          <w:color w:val="auto"/>
        </w:rPr>
      </w:pPr>
    </w:p>
    <w:p>
      <w:pPr>
        <w:ind w:left="4100" w:right="40"/>
        <w:spacing w:after="0" w:line="232" w:lineRule="auto"/>
        <w:rPr>
          <w:sz w:val="20"/>
          <w:szCs w:val="20"/>
          <w:color w:val="auto"/>
        </w:rPr>
      </w:pPr>
      <w:r>
        <w:rPr>
          <w:rFonts w:ascii="Calibri" w:cs="Calibri" w:eastAsia="Calibri" w:hAnsi="Calibri"/>
          <w:sz w:val="17"/>
          <w:szCs w:val="17"/>
          <w:color w:val="333333"/>
        </w:rPr>
        <w:t>Focuses on the strategic, operatonal, fnancial, transactonal and capital needs of clients and delivers a wide range of service oferings related to transactons, transformaton and turnaround &amp;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-364490</wp:posOffset>
            </wp:positionV>
            <wp:extent cx="1774825" cy="2675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74825" cy="2675255"/>
                    </a:xfrm>
                    <a:prstGeom prst="rect">
                      <a:avLst/>
                    </a:prstGeom>
                    <a:noFill/>
                  </pic:spPr>
                </pic:pic>
              </a:graphicData>
            </a:graphic>
          </wp:anchor>
        </w:drawing>
      </w:r>
    </w:p>
    <w:p>
      <w:pPr>
        <w:spacing w:after="0" w:line="274" w:lineRule="exact"/>
        <w:rPr>
          <w:sz w:val="20"/>
          <w:szCs w:val="20"/>
          <w:color w:val="auto"/>
        </w:rPr>
      </w:pPr>
    </w:p>
    <w:p>
      <w:pPr>
        <w:ind w:left="4100" w:right="340"/>
        <w:spacing w:after="0" w:line="232" w:lineRule="auto"/>
        <w:rPr>
          <w:sz w:val="20"/>
          <w:szCs w:val="20"/>
          <w:color w:val="auto"/>
        </w:rPr>
      </w:pPr>
      <w:r>
        <w:rPr>
          <w:rFonts w:ascii="Calibri" w:cs="Calibri" w:eastAsia="Calibri" w:hAnsi="Calibri"/>
          <w:sz w:val="17"/>
          <w:szCs w:val="17"/>
          <w:color w:val="333333"/>
        </w:rPr>
        <w:t>Provides a range of multdisciplinary and independent services across risk &amp; investgatons and disputes, supported by data &amp; analytcs technology-enabled solutons, with a focus on highly regulated industries.</w:t>
      </w:r>
    </w:p>
    <w:p>
      <w:pPr>
        <w:spacing w:after="0" w:line="308" w:lineRule="exact"/>
        <w:rPr>
          <w:sz w:val="20"/>
          <w:szCs w:val="20"/>
          <w:color w:val="auto"/>
        </w:rPr>
      </w:pPr>
    </w:p>
    <w:p>
      <w:pPr>
        <w:ind w:left="4100" w:right="640"/>
        <w:spacing w:after="0" w:line="233" w:lineRule="auto"/>
        <w:rPr>
          <w:sz w:val="20"/>
          <w:szCs w:val="20"/>
          <w:color w:val="auto"/>
        </w:rPr>
      </w:pPr>
      <w:r>
        <w:rPr>
          <w:rFonts w:ascii="Calibri" w:cs="Calibri" w:eastAsia="Calibri" w:hAnsi="Calibri"/>
          <w:sz w:val="17"/>
          <w:szCs w:val="17"/>
          <w:color w:val="333333"/>
        </w:rPr>
        <w:t>Analyzes complex economic issues for use in legal, regulatory and internatonal arbitraton proceedings, strategic decision making and public policy debates.</w:t>
      </w:r>
    </w:p>
    <w:p>
      <w:pPr>
        <w:spacing w:after="0" w:line="199" w:lineRule="exact"/>
        <w:rPr>
          <w:sz w:val="20"/>
          <w:szCs w:val="20"/>
          <w:color w:val="auto"/>
        </w:rPr>
      </w:pPr>
    </w:p>
    <w:p>
      <w:pPr>
        <w:ind w:left="4100" w:right="200"/>
        <w:spacing w:after="0" w:line="232" w:lineRule="auto"/>
        <w:rPr>
          <w:sz w:val="20"/>
          <w:szCs w:val="20"/>
          <w:color w:val="auto"/>
        </w:rPr>
      </w:pPr>
      <w:r>
        <w:rPr>
          <w:rFonts w:ascii="Calibri" w:cs="Calibri" w:eastAsia="Calibri" w:hAnsi="Calibri"/>
          <w:sz w:val="17"/>
          <w:szCs w:val="17"/>
          <w:color w:val="333333"/>
        </w:rPr>
        <w:t>Ofers a comprehensive portolio of digital insights and risk management, AI and data services to help organizatons beter address risk, as the growing volume and variety of enterprise and emerging data intersects with legal, regulatory and compliance needs.</w:t>
      </w:r>
    </w:p>
    <w:p>
      <w:pPr>
        <w:spacing w:after="0" w:line="294" w:lineRule="exact"/>
        <w:rPr>
          <w:sz w:val="20"/>
          <w:szCs w:val="20"/>
          <w:color w:val="auto"/>
        </w:rPr>
      </w:pPr>
    </w:p>
    <w:p>
      <w:pPr>
        <w:ind w:left="4100"/>
        <w:spacing w:after="0" w:line="232" w:lineRule="auto"/>
        <w:rPr>
          <w:sz w:val="20"/>
          <w:szCs w:val="20"/>
          <w:color w:val="auto"/>
        </w:rPr>
      </w:pPr>
      <w:r>
        <w:rPr>
          <w:rFonts w:ascii="Calibri" w:cs="Calibri" w:eastAsia="Calibri" w:hAnsi="Calibri"/>
          <w:sz w:val="17"/>
          <w:szCs w:val="17"/>
          <w:color w:val="333333"/>
        </w:rPr>
        <w:t>Develops and executes communicatons strategies to manage change and mitgate risk surrounding transformatonal and disruptve events, including transactons, investgatons, disputes, crises, regulaton and legislaton.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459105</wp:posOffset>
            </wp:positionV>
            <wp:extent cx="14522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0" w:hanging="433"/>
        <w:spacing w:after="0"/>
        <w:tabs>
          <w:tab w:leader="none" w:pos="600" w:val="left"/>
        </w:tabs>
        <w:numPr>
          <w:ilvl w:val="0"/>
          <w:numId w:val="66"/>
        </w:numPr>
        <w:rPr>
          <w:rFonts w:ascii="Calibri" w:cs="Calibri" w:eastAsia="Calibri" w:hAnsi="Calibri"/>
          <w:sz w:val="21"/>
          <w:szCs w:val="21"/>
          <w:color w:val="333333"/>
          <w:vertAlign w:val="superscript"/>
        </w:rPr>
      </w:pPr>
      <w:r>
        <w:rPr>
          <w:rFonts w:ascii="Calibri" w:cs="Calibri" w:eastAsia="Calibri" w:hAnsi="Calibri"/>
          <w:sz w:val="14"/>
          <w:szCs w:val="14"/>
          <w:color w:val="333333"/>
        </w:rPr>
        <w:t>Revenue percentages based on consolidated Company revenues for the year ended December 31, 2025.</w:t>
      </w:r>
    </w:p>
    <w:p>
      <w:pPr>
        <w:spacing w:after="0" w:line="17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Our Commitment to Sustainable Growth</w:t>
      </w:r>
    </w:p>
    <w:p>
      <w:pPr>
        <w:spacing w:after="0" w:line="105" w:lineRule="exact"/>
        <w:rPr>
          <w:sz w:val="20"/>
          <w:szCs w:val="20"/>
          <w:color w:val="auto"/>
        </w:rPr>
      </w:pPr>
    </w:p>
    <w:p>
      <w:pPr>
        <w:ind w:left="160" w:right="460"/>
        <w:spacing w:after="0" w:line="233" w:lineRule="auto"/>
        <w:rPr>
          <w:sz w:val="20"/>
          <w:szCs w:val="20"/>
          <w:color w:val="auto"/>
        </w:rPr>
      </w:pPr>
      <w:r>
        <w:rPr>
          <w:rFonts w:ascii="Calibri" w:cs="Calibri" w:eastAsia="Calibri" w:hAnsi="Calibri"/>
          <w:sz w:val="17"/>
          <w:szCs w:val="17"/>
          <w:color w:val="333333"/>
        </w:rPr>
        <w:t xml:space="preserve">We believe that the </w:t>
      </w:r>
      <w:r>
        <w:rPr>
          <w:rFonts w:ascii="Calibri" w:cs="Calibri" w:eastAsia="Calibri" w:hAnsi="Calibri"/>
          <w:sz w:val="17"/>
          <w:szCs w:val="17"/>
          <w:i w:val="1"/>
          <w:iCs w:val="1"/>
          <w:color w:val="333333"/>
        </w:rPr>
        <w:t>fundamental strength of this Company</w:t>
      </w:r>
      <w:r>
        <w:rPr>
          <w:rFonts w:ascii="Calibri" w:cs="Calibri" w:eastAsia="Calibri" w:hAnsi="Calibri"/>
          <w:sz w:val="17"/>
          <w:szCs w:val="17"/>
          <w:color w:val="333333"/>
        </w:rPr>
        <w:t xml:space="preserve"> is our people’s </w:t>
      </w:r>
      <w:r>
        <w:rPr>
          <w:rFonts w:ascii="Calibri" w:cs="Calibri" w:eastAsia="Calibri" w:hAnsi="Calibri"/>
          <w:sz w:val="17"/>
          <w:szCs w:val="17"/>
          <w:b w:val="1"/>
          <w:bCs w:val="1"/>
          <w:color w:val="333333"/>
        </w:rPr>
        <w:t>unrelentng commitment to deliver for their clients when they are facing</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moments of crisis and transformaton</w:t>
      </w:r>
      <w:r>
        <w:rPr>
          <w:rFonts w:ascii="Calibri" w:cs="Calibri" w:eastAsia="Calibri" w:hAnsi="Calibri"/>
          <w:sz w:val="17"/>
          <w:szCs w:val="17"/>
          <w:color w:val="333333"/>
        </w:rPr>
        <w:t>.</w:t>
      </w:r>
    </w:p>
    <w:p>
      <w:pPr>
        <w:spacing w:after="0" w:line="172"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Sustainable growth in professional services results from atractng, developing, promotng and retaining great professionals with ambitons to grow their businesses and deepen their client relatonships. Over the last several years, our fnancial results have shown that if we do the right things for our business over any medium-term period, even though market conditons and quarterly results can fuctuate, through those eforts we can build a powerful growth engine that delivers for our people, clients and shareholders.</w:t>
      </w:r>
    </w:p>
    <w:p>
      <w:pPr>
        <w:spacing w:after="0" w:line="174" w:lineRule="exact"/>
        <w:rPr>
          <w:sz w:val="20"/>
          <w:szCs w:val="20"/>
          <w:color w:val="auto"/>
        </w:rPr>
      </w:pPr>
    </w:p>
    <w:p>
      <w:pPr>
        <w:jc w:val="both"/>
        <w:ind w:left="160" w:right="40"/>
        <w:spacing w:after="0" w:line="232" w:lineRule="auto"/>
        <w:rPr>
          <w:sz w:val="20"/>
          <w:szCs w:val="20"/>
          <w:color w:val="auto"/>
        </w:rPr>
      </w:pPr>
      <w:r>
        <w:rPr>
          <w:rFonts w:ascii="Calibri" w:cs="Calibri" w:eastAsia="Calibri" w:hAnsi="Calibri"/>
          <w:sz w:val="17"/>
          <w:szCs w:val="17"/>
          <w:color w:val="333333"/>
        </w:rPr>
        <w:t xml:space="preserve">This focus means not overreactng to temporary factors that are out of management’s control and being willing to support our strong people and positons in the face of short-term market headwinds because we believe over any multyear period, the fnancial performance of great professional services frms is dictated by the components of the business that </w:t>
      </w:r>
      <w:r>
        <w:rPr>
          <w:rFonts w:ascii="Calibri" w:cs="Calibri" w:eastAsia="Calibri" w:hAnsi="Calibri"/>
          <w:sz w:val="17"/>
          <w:szCs w:val="17"/>
          <w:i w:val="1"/>
          <w:iCs w:val="1"/>
          <w:color w:val="333333"/>
        </w:rPr>
        <w:t>can be infuenced by management</w:t>
      </w:r>
      <w:r>
        <w:rPr>
          <w:rFonts w:ascii="Calibri" w:cs="Calibri" w:eastAsia="Calibri" w:hAnsi="Calibri"/>
          <w:sz w:val="17"/>
          <w:szCs w:val="17"/>
          <w:color w:val="333333"/>
        </w:rPr>
        <w:t>, such as:</w:t>
      </w:r>
    </w:p>
    <w:p>
      <w:pPr>
        <w:spacing w:after="0" w:line="120" w:lineRule="exact"/>
        <w:rPr>
          <w:sz w:val="20"/>
          <w:szCs w:val="20"/>
          <w:color w:val="auto"/>
        </w:rPr>
      </w:pPr>
    </w:p>
    <w:p>
      <w:pPr>
        <w:ind w:left="1020" w:right="360" w:hanging="318"/>
        <w:spacing w:after="0" w:line="233" w:lineRule="auto"/>
        <w:tabs>
          <w:tab w:leader="none" w:pos="1020" w:val="left"/>
        </w:tabs>
        <w:numPr>
          <w:ilvl w:val="0"/>
          <w:numId w:val="67"/>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Promotng, developing, retaining and atractng talented professionals </w:t>
      </w:r>
      <w:r>
        <w:rPr>
          <w:rFonts w:ascii="Calibri" w:cs="Calibri" w:eastAsia="Calibri" w:hAnsi="Calibri"/>
          <w:sz w:val="17"/>
          <w:szCs w:val="17"/>
          <w:color w:val="333333"/>
        </w:rPr>
        <w:t>who can strengthen and build leading positons in areas of critcal</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client needs.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7"/>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Investng EBITDA </w:t>
      </w:r>
      <w:r>
        <w:rPr>
          <w:rFonts w:ascii="Calibri" w:cs="Calibri" w:eastAsia="Calibri" w:hAnsi="Calibri"/>
          <w:sz w:val="17"/>
          <w:szCs w:val="17"/>
          <w:color w:val="333333"/>
        </w:rPr>
        <w:t>behind key growth areas in which we have a right to win.</w:t>
      </w:r>
    </w:p>
    <w:p>
      <w:pPr>
        <w:spacing w:after="0" w:line="154"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52</w:t>
      </w:r>
    </w:p>
    <w:p>
      <w:pPr>
        <w:sectPr>
          <w:pgSz w:w="11900" w:h="16838" w:orient="portrait"/>
          <w:cols w:equalWidth="0" w:num="1">
            <w:col w:w="11080"/>
          </w:cols>
          <w:pgMar w:left="320" w:top="478"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020" w:hanging="318"/>
        <w:spacing w:after="0"/>
        <w:tabs>
          <w:tab w:leader="none" w:pos="1020" w:val="left"/>
        </w:tabs>
        <w:numPr>
          <w:ilvl w:val="0"/>
          <w:numId w:val="68"/>
        </w:numPr>
        <w:rPr>
          <w:rFonts w:ascii="MS PGothic" w:cs="MS PGothic" w:eastAsia="MS PGothic" w:hAnsi="MS PGothic"/>
          <w:sz w:val="17"/>
          <w:szCs w:val="17"/>
          <w:color w:val="0591DB"/>
        </w:rPr>
      </w:pPr>
      <w:r>
        <w:rPr>
          <w:rFonts w:ascii="Calibri" w:cs="Calibri" w:eastAsia="Calibri" w:hAnsi="Calibri"/>
          <w:sz w:val="17"/>
          <w:szCs w:val="17"/>
          <w:color w:val="333333"/>
        </w:rPr>
        <w:t xml:space="preserve">Leveraging investments to build positons that will support </w:t>
      </w:r>
      <w:r>
        <w:rPr>
          <w:rFonts w:ascii="Calibri" w:cs="Calibri" w:eastAsia="Calibri" w:hAnsi="Calibri"/>
          <w:sz w:val="17"/>
          <w:szCs w:val="17"/>
          <w:b w:val="1"/>
          <w:bCs w:val="1"/>
          <w:color w:val="333333"/>
        </w:rPr>
        <w:t>proftable growth on a sustained basis through a variety of economic conditons</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8"/>
        </w:numPr>
        <w:rPr>
          <w:rFonts w:ascii="MS PGothic" w:cs="MS PGothic" w:eastAsia="MS PGothic" w:hAnsi="MS PGothic"/>
          <w:sz w:val="17"/>
          <w:szCs w:val="17"/>
          <w:color w:val="0591DB"/>
        </w:rPr>
      </w:pPr>
      <w:r>
        <w:rPr>
          <w:rFonts w:ascii="Calibri" w:cs="Calibri" w:eastAsia="Calibri" w:hAnsi="Calibri"/>
          <w:sz w:val="17"/>
          <w:szCs w:val="17"/>
          <w:color w:val="333333"/>
        </w:rPr>
        <w:t xml:space="preserve">Actvely evaluatng and considering opportunistc acquisitons but commitng on a day-in, day-out basis to </w:t>
      </w:r>
      <w:r>
        <w:rPr>
          <w:rFonts w:ascii="Calibri" w:cs="Calibri" w:eastAsia="Calibri" w:hAnsi="Calibri"/>
          <w:sz w:val="17"/>
          <w:szCs w:val="17"/>
          <w:b w:val="1"/>
          <w:bCs w:val="1"/>
          <w:color w:val="333333"/>
        </w:rPr>
        <w:t>growth by organic means.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Maintaining a strong balance sheet </w:t>
      </w:r>
      <w:r>
        <w:rPr>
          <w:rFonts w:ascii="Calibri" w:cs="Calibri" w:eastAsia="Calibri" w:hAnsi="Calibri"/>
          <w:sz w:val="17"/>
          <w:szCs w:val="17"/>
          <w:color w:val="333333"/>
        </w:rPr>
        <w:t>and commitng to using our</w:t>
      </w:r>
      <w:r>
        <w:rPr>
          <w:rFonts w:ascii="Calibri" w:cs="Calibri" w:eastAsia="Calibri" w:hAnsi="Calibri"/>
          <w:sz w:val="17"/>
          <w:szCs w:val="17"/>
          <w:b w:val="1"/>
          <w:bCs w:val="1"/>
          <w:color w:val="333333"/>
        </w:rPr>
        <w:t xml:space="preserve"> robust cash fow generaton to enhance shareholder returns</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Creatng an inclusive and high-performing culture </w:t>
      </w:r>
      <w:r>
        <w:rPr>
          <w:rFonts w:ascii="Calibri" w:cs="Calibri" w:eastAsia="Calibri" w:hAnsi="Calibri"/>
          <w:sz w:val="17"/>
          <w:szCs w:val="17"/>
          <w:color w:val="333333"/>
        </w:rPr>
        <w:t>where our professionals can grow their career and achieve their full potental.</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68"/>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Being a responsible corporate citzen </w:t>
      </w:r>
      <w:r>
        <w:rPr>
          <w:rFonts w:ascii="Calibri" w:cs="Calibri" w:eastAsia="Calibri" w:hAnsi="Calibri"/>
          <w:sz w:val="17"/>
          <w:szCs w:val="17"/>
          <w:color w:val="333333"/>
        </w:rPr>
        <w:t>that drives positve change in the communites in which we do business.</w:t>
      </w:r>
    </w:p>
    <w:p>
      <w:pPr>
        <w:spacing w:after="0" w:line="18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believe if we contnue to have the confdence to not overreact to short-term factors, over the medium and long term, we will build businesses that great people want to be a part of — segments and practces that atract talented people, that support their ambitons and foster their professional development, and, in turn, allow them to build teams and client relatonships that, through the short-term headwinds and tailwinds, become sustainable, powerful, durable and resilient growth engines over tme.</w:t>
      </w:r>
    </w:p>
    <w:p>
      <w:pPr>
        <w:spacing w:after="0" w:line="143" w:lineRule="exact"/>
        <w:rPr>
          <w:sz w:val="20"/>
          <w:szCs w:val="20"/>
          <w:color w:val="auto"/>
        </w:rPr>
      </w:pPr>
    </w:p>
    <w:p>
      <w:pPr>
        <w:jc w:val="center"/>
        <w:ind w:right="-259"/>
        <w:spacing w:after="0"/>
        <w:rPr>
          <w:sz w:val="20"/>
          <w:szCs w:val="20"/>
          <w:color w:val="auto"/>
        </w:rPr>
      </w:pPr>
      <w:r>
        <w:rPr>
          <w:rFonts w:ascii="Calibri" w:cs="Calibri" w:eastAsia="Calibri" w:hAnsi="Calibri"/>
          <w:sz w:val="17"/>
          <w:szCs w:val="17"/>
          <w:color w:val="333333"/>
        </w:rPr>
        <w:t>53</w:t>
      </w:r>
    </w:p>
    <w:p>
      <w:pPr>
        <w:sectPr>
          <w:pgSz w:w="11900" w:h="16838" w:orient="portrait"/>
          <w:cols w:equalWidth="0" w:num="1">
            <w:col w:w="10980"/>
          </w:cols>
          <w:pgMar w:left="320" w:top="478" w:right="5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Our Strategy in Acton – A Powerful Platorm for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5104130" cy="6522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04130" cy="652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0" w:hanging="433"/>
        <w:spacing w:after="0" w:line="207" w:lineRule="auto"/>
        <w:tabs>
          <w:tab w:leader="none" w:pos="600" w:val="left"/>
        </w:tabs>
        <w:numPr>
          <w:ilvl w:val="0"/>
          <w:numId w:val="69"/>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See </w:t>
      </w:r>
      <w:r>
        <w:rPr>
          <w:rFonts w:ascii="Calibri" w:cs="Calibri" w:eastAsia="Calibri" w:hAnsi="Calibri"/>
          <w:sz w:val="14"/>
          <w:szCs w:val="14"/>
          <w:u w:val="single" w:color="auto"/>
          <w:color w:val="0591DB"/>
        </w:rPr>
        <w:t>Appendix A</w:t>
      </w:r>
      <w:r>
        <w:rPr>
          <w:rFonts w:ascii="Calibri" w:cs="Calibri" w:eastAsia="Calibri" w:hAnsi="Calibri"/>
          <w:sz w:val="14"/>
          <w:szCs w:val="14"/>
          <w:color w:val="333333"/>
        </w:rPr>
        <w:t xml:space="preserve"> for the defnitons of Adjusted EBITDA, Adjusted EPS, organic revenue growth and other non-GAAP fnancial measures used for fnancial reportng purposes referred to in this CD&amp;A and the reconciliatons of non-GAAP fnancial measures to the most directly comparable GAAP fnancial measures, as well as the reasons management believes these non-GAAP fnancial measures</w:t>
      </w:r>
    </w:p>
    <w:p>
      <w:pPr>
        <w:spacing w:after="0" w:line="136"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54</w:t>
      </w:r>
    </w:p>
    <w:p>
      <w:pPr>
        <w:sectPr>
          <w:pgSz w:w="11900" w:h="16838" w:orient="portrait"/>
          <w:cols w:equalWidth="0" w:num="1">
            <w:col w:w="11040"/>
          </w:cols>
          <w:pgMar w:left="320" w:top="478"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2" w:lineRule="exact"/>
        <w:rPr>
          <w:sz w:val="20"/>
          <w:szCs w:val="20"/>
          <w:color w:val="auto"/>
        </w:rPr>
      </w:pPr>
    </w:p>
    <w:p>
      <w:pPr>
        <w:ind w:left="600"/>
        <w:spacing w:after="0" w:line="243" w:lineRule="auto"/>
        <w:rPr>
          <w:sz w:val="20"/>
          <w:szCs w:val="20"/>
          <w:color w:val="auto"/>
        </w:rPr>
      </w:pPr>
      <w:r>
        <w:rPr>
          <w:rFonts w:ascii="Calibri" w:cs="Calibri" w:eastAsia="Calibri" w:hAnsi="Calibri"/>
          <w:sz w:val="14"/>
          <w:szCs w:val="14"/>
          <w:color w:val="333333"/>
        </w:rPr>
        <w:t xml:space="preserve">provide useful informaton to investors. The Compensaton Commitee did not further adjust the Adjusted EPS fnancial performance metric defned in </w:t>
      </w:r>
      <w:r>
        <w:rPr>
          <w:rFonts w:ascii="Calibri" w:cs="Calibri" w:eastAsia="Calibri" w:hAnsi="Calibri"/>
          <w:sz w:val="14"/>
          <w:szCs w:val="14"/>
          <w:u w:val="single" w:color="auto"/>
          <w:color w:val="0591DB"/>
        </w:rPr>
        <w:t>Appendix A</w:t>
      </w:r>
      <w:r>
        <w:rPr>
          <w:rFonts w:ascii="Calibri" w:cs="Calibri" w:eastAsia="Calibri" w:hAnsi="Calibri"/>
          <w:sz w:val="14"/>
          <w:szCs w:val="14"/>
          <w:color w:val="333333"/>
        </w:rPr>
        <w:t xml:space="preserve"> to determine 2025 AIP. See the secton of this CD&amp;A ttled “— 2025 Pay Outcomes — 2025 Annual Incentve Pay — Financial Metrics” beginning on </w:t>
      </w:r>
      <w:r>
        <w:rPr>
          <w:rFonts w:ascii="Calibri" w:cs="Calibri" w:eastAsia="Calibri" w:hAnsi="Calibri"/>
          <w:sz w:val="14"/>
          <w:szCs w:val="14"/>
          <w:color w:val="0591DB"/>
        </w:rPr>
        <w:t>page 68</w:t>
      </w:r>
      <w:r>
        <w:rPr>
          <w:rFonts w:ascii="Calibri" w:cs="Calibri" w:eastAsia="Calibri" w:hAnsi="Calibri"/>
          <w:sz w:val="14"/>
          <w:szCs w:val="14"/>
          <w:color w:val="333333"/>
        </w:rPr>
        <w:t xml:space="preserve"> and </w:t>
      </w:r>
      <w:r>
        <w:rPr>
          <w:rFonts w:ascii="Calibri" w:cs="Calibri" w:eastAsia="Calibri" w:hAnsi="Calibri"/>
          <w:sz w:val="14"/>
          <w:szCs w:val="14"/>
          <w:u w:val="single" w:color="auto"/>
          <w:color w:val="0591DB"/>
        </w:rPr>
        <w:t>Appendix B</w:t>
      </w:r>
      <w:r>
        <w:rPr>
          <w:rFonts w:ascii="Calibri" w:cs="Calibri" w:eastAsia="Calibri" w:hAnsi="Calibri"/>
          <w:sz w:val="14"/>
          <w:szCs w:val="14"/>
          <w:color w:val="333333"/>
        </w:rPr>
        <w:t xml:space="preserve"> for the defnitons of the non-GAAP fnancial measures, including the descripton of the further adjustment to Adjusted EBITDA, for determining 2025 AIP of our NEOs and the reconciliatons of such non-GAAP fnancial measures to the most directly comparable GAAP fnancial measures.</w:t>
      </w:r>
    </w:p>
    <w:p>
      <w:pPr>
        <w:spacing w:after="0" w:line="2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Our Disciplined Approach to Capital Allocaton</w:t>
      </w:r>
    </w:p>
    <w:p>
      <w:pPr>
        <w:spacing w:after="0" w:line="105"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 xml:space="preserve">FTI Consultng’s management team, together with its Board of Directors, believes organic growth is the best strategy to achieve </w:t>
      </w:r>
      <w:r>
        <w:rPr>
          <w:rFonts w:ascii="Calibri" w:cs="Calibri" w:eastAsia="Calibri" w:hAnsi="Calibri"/>
          <w:sz w:val="17"/>
          <w:szCs w:val="17"/>
          <w:b w:val="1"/>
          <w:bCs w:val="1"/>
          <w:color w:val="333333"/>
        </w:rPr>
        <w:t>sustainable growth in</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professional services</w:t>
      </w:r>
      <w:r>
        <w:rPr>
          <w:rFonts w:ascii="Calibri" w:cs="Calibri" w:eastAsia="Calibri" w:hAnsi="Calibri"/>
          <w:sz w:val="17"/>
          <w:szCs w:val="17"/>
          <w:color w:val="333333"/>
        </w:rPr>
        <w:t>. The Board has made a</w:t>
      </w:r>
      <w:r>
        <w:rPr>
          <w:rFonts w:ascii="Calibri" w:cs="Calibri" w:eastAsia="Calibri" w:hAnsi="Calibri"/>
          <w:sz w:val="17"/>
          <w:szCs w:val="17"/>
          <w:b w:val="1"/>
          <w:bCs w:val="1"/>
          <w:color w:val="333333"/>
        </w:rPr>
        <w:t xml:space="preserve"> commitment to grow, frst and foremost, by organic means</w:t>
      </w:r>
      <w:r>
        <w:rPr>
          <w:rFonts w:ascii="Calibri" w:cs="Calibri" w:eastAsia="Calibri" w:hAnsi="Calibri"/>
          <w:sz w:val="17"/>
          <w:szCs w:val="17"/>
          <w:color w:val="333333"/>
        </w:rPr>
        <w:t>. Our commitment to this strategy has driven</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 xml:space="preserve">sustained growth: </w:t>
      </w:r>
      <w:r>
        <w:rPr>
          <w:rFonts w:ascii="Calibri" w:cs="Calibri" w:eastAsia="Calibri" w:hAnsi="Calibri"/>
          <w:sz w:val="17"/>
          <w:szCs w:val="17"/>
          <w:b w:val="1"/>
          <w:bCs w:val="1"/>
          <w:color w:val="333333"/>
        </w:rPr>
        <w:t>In 2025, the Company delivered record revenues, EPS and Adjusted EPS, resultng in our eighth consecutve year for revenue growth</w:t>
      </w: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and our 11th consecutve year for Adjusted EPS growth</w:t>
      </w:r>
      <w:r>
        <w:rPr>
          <w:rFonts w:ascii="Calibri" w:cs="Calibri" w:eastAsia="Calibri" w:hAnsi="Calibri"/>
          <w:sz w:val="17"/>
          <w:szCs w:val="17"/>
          <w:color w:val="333333"/>
        </w:rPr>
        <w:t>. Sustaining this growth in 2025 is partcularly notable given the headwinds we faced in parts of</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our business.</w:t>
      </w:r>
    </w:p>
    <w:p>
      <w:pPr>
        <w:spacing w:after="0" w:line="214" w:lineRule="exact"/>
        <w:rPr>
          <w:sz w:val="20"/>
          <w:szCs w:val="20"/>
          <w:color w:val="auto"/>
        </w:rPr>
      </w:pPr>
    </w:p>
    <w:p>
      <w:pPr>
        <w:ind w:left="160" w:right="360"/>
        <w:spacing w:after="0" w:line="233" w:lineRule="auto"/>
        <w:rPr>
          <w:sz w:val="20"/>
          <w:szCs w:val="20"/>
          <w:color w:val="auto"/>
        </w:rPr>
      </w:pPr>
      <w:r>
        <w:rPr>
          <w:rFonts w:ascii="Calibri" w:cs="Calibri" w:eastAsia="Calibri" w:hAnsi="Calibri"/>
          <w:sz w:val="17"/>
          <w:szCs w:val="17"/>
          <w:color w:val="333333"/>
        </w:rPr>
        <w:t xml:space="preserve">Given our commitment to grow by organic means on a day-in, day-out basis, </w:t>
      </w:r>
      <w:r>
        <w:rPr>
          <w:rFonts w:ascii="Calibri" w:cs="Calibri" w:eastAsia="Calibri" w:hAnsi="Calibri"/>
          <w:sz w:val="17"/>
          <w:szCs w:val="17"/>
          <w:b w:val="1"/>
          <w:bCs w:val="1"/>
          <w:color w:val="333333"/>
        </w:rPr>
        <w:t>management and the Board take a disciplined approach to acquisitons</w:t>
      </w:r>
      <w:r>
        <w:rPr>
          <w:rFonts w:ascii="Calibri" w:cs="Calibri" w:eastAsia="Calibri" w:hAnsi="Calibri"/>
          <w:sz w:val="17"/>
          <w:szCs w:val="17"/>
          <w:color w:val="333333"/>
        </w:rPr>
        <w:t>, which is informed by the following characteristcs:</w:t>
      </w:r>
    </w:p>
    <w:p>
      <w:pPr>
        <w:spacing w:after="0" w:line="119" w:lineRule="exact"/>
        <w:rPr>
          <w:sz w:val="20"/>
          <w:szCs w:val="20"/>
          <w:color w:val="auto"/>
        </w:rPr>
      </w:pPr>
    </w:p>
    <w:p>
      <w:pPr>
        <w:ind w:left="1020" w:right="380" w:hanging="318"/>
        <w:spacing w:after="0" w:line="233" w:lineRule="auto"/>
        <w:tabs>
          <w:tab w:leader="none" w:pos="1020" w:val="left"/>
        </w:tabs>
        <w:numPr>
          <w:ilvl w:val="0"/>
          <w:numId w:val="7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Buy versus build: </w:t>
      </w:r>
      <w:r>
        <w:rPr>
          <w:rFonts w:ascii="Calibri" w:cs="Calibri" w:eastAsia="Calibri" w:hAnsi="Calibri"/>
          <w:sz w:val="17"/>
          <w:szCs w:val="17"/>
          <w:color w:val="333333"/>
        </w:rPr>
        <w:t>We look at the cost of an acquisiton versus the cost to grow organically by atractng, developing and retaining the best</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professionals in the market.</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Focus on revenue metrics: </w:t>
      </w:r>
      <w:r>
        <w:rPr>
          <w:rFonts w:ascii="Calibri" w:cs="Calibri" w:eastAsia="Calibri" w:hAnsi="Calibri"/>
          <w:sz w:val="17"/>
          <w:szCs w:val="17"/>
          <w:color w:val="333333"/>
        </w:rPr>
        <w:t>We are focused on revenue metrics versus “adjusted,” non-GAAP fnancial metrics.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Cash-on-cash return: </w:t>
      </w:r>
      <w:r>
        <w:rPr>
          <w:rFonts w:ascii="Calibri" w:cs="Calibri" w:eastAsia="Calibri" w:hAnsi="Calibri"/>
          <w:sz w:val="17"/>
          <w:szCs w:val="17"/>
          <w:color w:val="333333"/>
        </w:rPr>
        <w:t>We look at the cash-on-cash return over a defned payback period.</w:t>
      </w:r>
    </w:p>
    <w:p>
      <w:pPr>
        <w:spacing w:after="0" w:line="131" w:lineRule="exact"/>
        <w:rPr>
          <w:rFonts w:ascii="MS PGothic" w:cs="MS PGothic" w:eastAsia="MS PGothic" w:hAnsi="MS PGothic"/>
          <w:sz w:val="17"/>
          <w:szCs w:val="17"/>
          <w:color w:val="0591DB"/>
        </w:rPr>
      </w:pPr>
    </w:p>
    <w:p>
      <w:pPr>
        <w:ind w:left="1020" w:right="380" w:hanging="318"/>
        <w:spacing w:after="0" w:line="233" w:lineRule="auto"/>
        <w:tabs>
          <w:tab w:leader="none" w:pos="1020" w:val="left"/>
        </w:tabs>
        <w:numPr>
          <w:ilvl w:val="0"/>
          <w:numId w:val="7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Our approach to earn-outs: </w:t>
      </w:r>
      <w:r>
        <w:rPr>
          <w:rFonts w:ascii="Calibri" w:cs="Calibri" w:eastAsia="Calibri" w:hAnsi="Calibri"/>
          <w:sz w:val="17"/>
          <w:szCs w:val="17"/>
          <w:color w:val="333333"/>
        </w:rPr>
        <w:t>We have commited to paying less consideraton up front and more performance-based incentves over tme,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even if it negatvely impacts our earnings in the short term.</w:t>
      </w:r>
    </w:p>
    <w:p>
      <w:pPr>
        <w:spacing w:after="0" w:line="118" w:lineRule="exact"/>
        <w:rPr>
          <w:rFonts w:ascii="MS PGothic" w:cs="MS PGothic" w:eastAsia="MS PGothic" w:hAnsi="MS PGothic"/>
          <w:sz w:val="17"/>
          <w:szCs w:val="17"/>
          <w:color w:val="0591DB"/>
        </w:rPr>
      </w:pPr>
    </w:p>
    <w:p>
      <w:pPr>
        <w:ind w:left="1020" w:right="20" w:hanging="318"/>
        <w:spacing w:after="0"/>
        <w:tabs>
          <w:tab w:leader="none" w:pos="1020" w:val="left"/>
        </w:tabs>
        <w:numPr>
          <w:ilvl w:val="0"/>
          <w:numId w:val="7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Alignment and sponsorship: </w:t>
      </w:r>
      <w:r>
        <w:rPr>
          <w:rFonts w:ascii="Calibri" w:cs="Calibri" w:eastAsia="Calibri" w:hAnsi="Calibri"/>
          <w:sz w:val="17"/>
          <w:szCs w:val="17"/>
          <w:color w:val="333333"/>
        </w:rPr>
        <w:t>Acquisitons are difcult to integrate and positon for success, and they are even more difcult in professional</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services because the assets you are acquiring walk in and out the door every day. Therefore, we look at alignment with the target by developing relatonships and commitng to sponsorship among management to support the successful integraton and growth of the acquired business.</w:t>
      </w:r>
    </w:p>
    <w:p>
      <w:pPr>
        <w:spacing w:after="0" w:line="39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Moreover, the Board’s discipline extends beyond capital intensity, as demonstrated by the Compensaton Commitee’s authority to use discreton with NEO compensaton for individual performance, as well as by authorizing further adjustments to our Adjusted EPS and Adjusted EBITDA fnancial performance metrics for compensaton purposes. In fact, the defnitons of our Adjusted EPS and Adjusted EBITDA fnancial metrics for AIP clearly state that the Compensaton Commitee has the discreton to exclude operatng results of businesses discontnued, sold or acquired, among other items, to ensure that the AIP rewards only the kind of accretve organic growth at the core of our sustainable growth strategy.</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Our Executve Compensaton Practces</w:t>
      </w:r>
    </w:p>
    <w:p>
      <w:pPr>
        <w:spacing w:after="0" w:line="105" w:lineRule="exact"/>
        <w:rPr>
          <w:sz w:val="20"/>
          <w:szCs w:val="20"/>
          <w:color w:val="auto"/>
        </w:rPr>
      </w:pPr>
    </w:p>
    <w:p>
      <w:pPr>
        <w:ind w:left="160" w:right="440"/>
        <w:spacing w:after="0" w:line="232" w:lineRule="auto"/>
        <w:rPr>
          <w:sz w:val="20"/>
          <w:szCs w:val="20"/>
          <w:color w:val="auto"/>
        </w:rPr>
      </w:pPr>
      <w:r>
        <w:rPr>
          <w:rFonts w:ascii="Calibri" w:cs="Calibri" w:eastAsia="Calibri" w:hAnsi="Calibri"/>
          <w:sz w:val="17"/>
          <w:szCs w:val="17"/>
          <w:color w:val="333333"/>
        </w:rPr>
        <w:t>The Compensaton Commitee contnues to refne our executve compensaton program to align with evolving compettve and governance practces, respond to feedback from our shareholders, and strengthen the link to performance and the rigor of our program. This includes the following key principles:</w:t>
      </w:r>
    </w:p>
    <w:p>
      <w:pPr>
        <w:spacing w:after="0" w:line="120" w:lineRule="exact"/>
        <w:rPr>
          <w:sz w:val="20"/>
          <w:szCs w:val="20"/>
          <w:color w:val="auto"/>
        </w:rPr>
      </w:pPr>
    </w:p>
    <w:p>
      <w:pPr>
        <w:ind w:left="1020" w:right="160" w:hanging="318"/>
        <w:spacing w:after="0" w:line="233" w:lineRule="auto"/>
        <w:tabs>
          <w:tab w:leader="none" w:pos="1020" w:val="left"/>
        </w:tabs>
        <w:numPr>
          <w:ilvl w:val="0"/>
          <w:numId w:val="71"/>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PAY-FOR-PERFORMANCE ALIGNMENT: </w:t>
      </w:r>
      <w:r>
        <w:rPr>
          <w:rFonts w:ascii="Calibri" w:cs="Calibri" w:eastAsia="Calibri" w:hAnsi="Calibri"/>
          <w:sz w:val="17"/>
          <w:szCs w:val="17"/>
          <w:color w:val="333333"/>
        </w:rPr>
        <w:t>Total at-risk compensaton for our CEO and other NEOs (excluding Mr. Keatng) was 90.0% and 71.4%,</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respectvely, in 2025.</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55</w:t>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020" w:right="460" w:hanging="318"/>
        <w:spacing w:after="0" w:line="233" w:lineRule="auto"/>
        <w:tabs>
          <w:tab w:leader="none" w:pos="1020" w:val="left"/>
        </w:tabs>
        <w:numPr>
          <w:ilvl w:val="0"/>
          <w:numId w:val="72"/>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FOCUS ON FINANCIAL PERFORMANCE: </w:t>
      </w:r>
      <w:r>
        <w:rPr>
          <w:rFonts w:ascii="Calibri" w:cs="Calibri" w:eastAsia="Calibri" w:hAnsi="Calibri"/>
          <w:sz w:val="17"/>
          <w:szCs w:val="17"/>
          <w:color w:val="333333"/>
        </w:rPr>
        <w:t>The weightng of AIP opportunity based on fnancial performance metrics for our CEO and other</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partcipatng NEOs was 75.0% and 66.6%, respectvely, in 2025.</w:t>
      </w:r>
    </w:p>
    <w:p>
      <w:pPr>
        <w:spacing w:after="0" w:line="118" w:lineRule="exact"/>
        <w:rPr>
          <w:rFonts w:ascii="MS PGothic" w:cs="MS PGothic" w:eastAsia="MS PGothic" w:hAnsi="MS PGothic"/>
          <w:sz w:val="17"/>
          <w:szCs w:val="17"/>
          <w:color w:val="0591DB"/>
        </w:rPr>
      </w:pPr>
    </w:p>
    <w:p>
      <w:pPr>
        <w:ind w:left="1020" w:right="80" w:hanging="318"/>
        <w:spacing w:after="0" w:line="232" w:lineRule="auto"/>
        <w:tabs>
          <w:tab w:leader="none" w:pos="1020" w:val="left"/>
        </w:tabs>
        <w:numPr>
          <w:ilvl w:val="0"/>
          <w:numId w:val="72"/>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FOCUS ON INDIVIDUAL PERFORMANCE: </w:t>
      </w:r>
      <w:r>
        <w:rPr>
          <w:rFonts w:ascii="Calibri" w:cs="Calibri" w:eastAsia="Calibri" w:hAnsi="Calibri"/>
          <w:sz w:val="17"/>
          <w:szCs w:val="17"/>
          <w:color w:val="333333"/>
        </w:rPr>
        <w:t>The individual performance component of AIP opportunity for our CEO and other partcipatng NEOs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was 25.0% and 33.4%, respectvely, in 2025. The CD&amp;A provides detailed quanttatve and qualitatve disclosures to support the individual performance component of our AIP opportunity for our CEO and other partcipatng NEOs.</w:t>
      </w:r>
    </w:p>
    <w:p>
      <w:pPr>
        <w:spacing w:after="0" w:line="120"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2"/>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PERFORMANCE-BASED EQUITY AWARDS UNDER THE LTIP: </w:t>
      </w:r>
      <w:r>
        <w:rPr>
          <w:rFonts w:ascii="Calibri" w:cs="Calibri" w:eastAsia="Calibri" w:hAnsi="Calibri"/>
          <w:sz w:val="17"/>
          <w:szCs w:val="17"/>
          <w:color w:val="333333"/>
        </w:rPr>
        <w:t>Percentage of performance-based restricted stock units (“Performance RSUs”) in</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the long-term incentve pay (“LTIP”) opportunity to our CEO and other partcipatng NEOs was 66.7% and 60.0%, respectvely, in 2025, with the balance in awards of restricted stock units (“RSUs”) in the case of our CEO and restricted stock awards (“RSA”) in the case of our other partcipatng NEOs.</w:t>
      </w:r>
    </w:p>
    <w:p>
      <w:pPr>
        <w:spacing w:after="0" w:line="300" w:lineRule="exact"/>
        <w:rPr>
          <w:rFonts w:ascii="MS PGothic" w:cs="MS PGothic" w:eastAsia="MS PGothic" w:hAnsi="MS PGothic"/>
          <w:sz w:val="17"/>
          <w:szCs w:val="17"/>
          <w:color w:val="0591DB"/>
        </w:rPr>
      </w:pPr>
    </w:p>
    <w:p>
      <w:pPr>
        <w:ind w:left="1020" w:right="180" w:hanging="318"/>
        <w:spacing w:after="0" w:line="232" w:lineRule="auto"/>
        <w:tabs>
          <w:tab w:leader="none" w:pos="1020" w:val="left"/>
        </w:tabs>
        <w:numPr>
          <w:ilvl w:val="0"/>
          <w:numId w:val="72"/>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RIGOROUS PERFORMANCE LTIP METRIC: </w:t>
      </w:r>
      <w:r>
        <w:rPr>
          <w:rFonts w:ascii="Calibri" w:cs="Calibri" w:eastAsia="Calibri" w:hAnsi="Calibri"/>
          <w:sz w:val="17"/>
          <w:szCs w:val="17"/>
          <w:color w:val="333333"/>
        </w:rPr>
        <w:t>Performance metric based on FTI Consultng’s total shareholder return (“TSR”) compared with the</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TSR of the adjusted S&amp;P 500 (“Relatve TSR”), at target and maximum was set at the 55</w:t>
      </w:r>
      <w:r>
        <w:rPr>
          <w:rFonts w:ascii="Calibri" w:cs="Calibri" w:eastAsia="Calibri" w:hAnsi="Calibri"/>
          <w:sz w:val="12"/>
          <w:szCs w:val="12"/>
          <w:color w:val="333333"/>
        </w:rPr>
        <w:t>th</w:t>
      </w:r>
      <w:r>
        <w:rPr>
          <w:rFonts w:ascii="Calibri" w:cs="Calibri" w:eastAsia="Calibri" w:hAnsi="Calibri"/>
          <w:sz w:val="17"/>
          <w:szCs w:val="17"/>
          <w:color w:val="333333"/>
        </w:rPr>
        <w:t xml:space="preserve"> and 80</w:t>
      </w:r>
      <w:r>
        <w:rPr>
          <w:rFonts w:ascii="Calibri" w:cs="Calibri" w:eastAsia="Calibri" w:hAnsi="Calibri"/>
          <w:sz w:val="12"/>
          <w:szCs w:val="12"/>
          <w:color w:val="333333"/>
        </w:rPr>
        <w:t>th</w:t>
      </w:r>
      <w:r>
        <w:rPr>
          <w:rFonts w:ascii="Calibri" w:cs="Calibri" w:eastAsia="Calibri" w:hAnsi="Calibri"/>
          <w:sz w:val="17"/>
          <w:szCs w:val="17"/>
          <w:color w:val="333333"/>
        </w:rPr>
        <w:t xml:space="preserve"> percentles for our CEO, and the 50</w:t>
      </w:r>
      <w:r>
        <w:rPr>
          <w:rFonts w:ascii="Calibri" w:cs="Calibri" w:eastAsia="Calibri" w:hAnsi="Calibri"/>
          <w:sz w:val="12"/>
          <w:szCs w:val="12"/>
          <w:color w:val="333333"/>
        </w:rPr>
        <w:t>th</w:t>
      </w:r>
      <w:r>
        <w:rPr>
          <w:rFonts w:ascii="Calibri" w:cs="Calibri" w:eastAsia="Calibri" w:hAnsi="Calibri"/>
          <w:sz w:val="17"/>
          <w:szCs w:val="17"/>
          <w:color w:val="333333"/>
        </w:rPr>
        <w:t xml:space="preserve"> and 75</w:t>
      </w:r>
      <w:r>
        <w:rPr>
          <w:rFonts w:ascii="Calibri" w:cs="Calibri" w:eastAsia="Calibri" w:hAnsi="Calibri"/>
          <w:sz w:val="12"/>
          <w:szCs w:val="12"/>
          <w:color w:val="333333"/>
        </w:rPr>
        <w:t>th</w:t>
      </w:r>
      <w:r>
        <w:rPr>
          <w:rFonts w:ascii="Calibri" w:cs="Calibri" w:eastAsia="Calibri" w:hAnsi="Calibri"/>
          <w:sz w:val="17"/>
          <w:szCs w:val="17"/>
          <w:color w:val="333333"/>
        </w:rPr>
        <w:t xml:space="preserve"> percentles for the other partcipatng NEOs, respectvely, in 2025.</w:t>
      </w:r>
    </w:p>
    <w:p>
      <w:pPr>
        <w:spacing w:after="0" w:line="120" w:lineRule="exact"/>
        <w:rPr>
          <w:rFonts w:ascii="MS PGothic" w:cs="MS PGothic" w:eastAsia="MS PGothic" w:hAnsi="MS PGothic"/>
          <w:sz w:val="17"/>
          <w:szCs w:val="17"/>
          <w:color w:val="0591DB"/>
        </w:rPr>
      </w:pPr>
    </w:p>
    <w:p>
      <w:pPr>
        <w:ind w:left="1020" w:right="600" w:hanging="318"/>
        <w:spacing w:after="0" w:line="233" w:lineRule="auto"/>
        <w:tabs>
          <w:tab w:leader="none" w:pos="1020" w:val="left"/>
        </w:tabs>
        <w:numPr>
          <w:ilvl w:val="0"/>
          <w:numId w:val="72"/>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CAPPED LTIP PAYOUTS FOR NEGATIVE COMPANY RELATIVE TSR: </w:t>
      </w:r>
      <w:r>
        <w:rPr>
          <w:rFonts w:ascii="Calibri" w:cs="Calibri" w:eastAsia="Calibri" w:hAnsi="Calibri"/>
          <w:sz w:val="17"/>
          <w:szCs w:val="17"/>
          <w:color w:val="333333"/>
        </w:rPr>
        <w:t>CEO and other partcipatng NEO payouts when the Company’s TSR is</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negatve are capped at 100% of target.</w:t>
      </w:r>
    </w:p>
    <w:p>
      <w:pPr>
        <w:spacing w:after="0" w:line="118" w:lineRule="exact"/>
        <w:rPr>
          <w:rFonts w:ascii="MS PGothic" w:cs="MS PGothic" w:eastAsia="MS PGothic" w:hAnsi="MS PGothic"/>
          <w:sz w:val="17"/>
          <w:szCs w:val="17"/>
          <w:color w:val="0591DB"/>
        </w:rPr>
      </w:pPr>
    </w:p>
    <w:p>
      <w:pPr>
        <w:ind w:left="1020" w:right="600" w:hanging="318"/>
        <w:spacing w:after="0" w:line="233" w:lineRule="auto"/>
        <w:tabs>
          <w:tab w:leader="none" w:pos="1020" w:val="left"/>
        </w:tabs>
        <w:numPr>
          <w:ilvl w:val="0"/>
          <w:numId w:val="72"/>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PEER GROUP BENCHMARKING: </w:t>
      </w:r>
      <w:r>
        <w:rPr>
          <w:rFonts w:ascii="Calibri" w:cs="Calibri" w:eastAsia="Calibri" w:hAnsi="Calibri"/>
          <w:sz w:val="17"/>
          <w:szCs w:val="17"/>
          <w:color w:val="333333"/>
        </w:rPr>
        <w:t>CEO and other NEO compensaton (except for Mr. Keatng, who partcipates in diferent compensaton</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programs) is benchmarked every other year to the compensaton of the executve ofcers of our peer group companies.</w:t>
      </w:r>
    </w:p>
    <w:p>
      <w:pPr>
        <w:spacing w:after="0" w:line="141"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56</w:t>
      </w:r>
    </w:p>
    <w:p>
      <w:pPr>
        <w:sectPr>
          <w:pgSz w:w="11900" w:h="16838" w:orient="portrait"/>
          <w:cols w:equalWidth="0" w:num="1">
            <w:col w:w="11060"/>
          </w:cols>
          <w:pgMar w:left="320" w:top="478"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2025 Executve Compensaton Program and Decisions at a Glance</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below diagrams describe the key elements of our executve compensaton program and decisions for the year ended December 31, 2025:</w:t>
      </w:r>
    </w:p>
    <w:p>
      <w:pPr>
        <w:spacing w:after="0" w:line="193" w:lineRule="exact"/>
        <w:rPr>
          <w:sz w:val="20"/>
          <w:szCs w:val="20"/>
          <w:color w:val="auto"/>
        </w:rPr>
      </w:pPr>
    </w:p>
    <w:p>
      <w:pPr>
        <w:jc w:val="center"/>
        <w:ind w:right="-159"/>
        <w:spacing w:after="0"/>
        <w:rPr>
          <w:sz w:val="20"/>
          <w:szCs w:val="20"/>
          <w:color w:val="auto"/>
        </w:rPr>
      </w:pPr>
      <w:r>
        <w:rPr>
          <w:rFonts w:ascii="Calibri" w:cs="Calibri" w:eastAsia="Calibri" w:hAnsi="Calibri"/>
          <w:sz w:val="21"/>
          <w:szCs w:val="21"/>
          <w:b w:val="1"/>
          <w:bCs w:val="1"/>
          <w:color w:val="0591DB"/>
        </w:rPr>
        <w:t>CEO COMPENSATION</w:t>
      </w:r>
    </w:p>
    <w:p>
      <w:pPr>
        <w:spacing w:after="0" w:line="90"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1440" w:type="dxa"/>
            <w:vAlign w:val="bottom"/>
            <w:tcBorders>
              <w:top w:val="single" w:sz="8" w:color="0591DB"/>
              <w:left w:val="single" w:sz="8" w:color="0591DB"/>
              <w:right w:val="single" w:sz="8" w:color="0591DB"/>
            </w:tcBorders>
          </w:tcPr>
          <w:p>
            <w:pPr>
              <w:spacing w:after="0"/>
              <w:rPr>
                <w:sz w:val="19"/>
                <w:szCs w:val="19"/>
                <w:color w:val="auto"/>
              </w:rPr>
            </w:pPr>
          </w:p>
        </w:tc>
        <w:tc>
          <w:tcPr>
            <w:tcW w:w="4680" w:type="dxa"/>
            <w:vAlign w:val="bottom"/>
            <w:tcBorders>
              <w:top w:val="single" w:sz="8" w:color="0591DB"/>
              <w:right w:val="single" w:sz="8" w:color="0591DB"/>
            </w:tcBorders>
          </w:tcPr>
          <w:p>
            <w:pPr>
              <w:spacing w:after="0"/>
              <w:rPr>
                <w:sz w:val="19"/>
                <w:szCs w:val="19"/>
                <w:color w:val="auto"/>
              </w:rPr>
            </w:pPr>
          </w:p>
        </w:tc>
        <w:tc>
          <w:tcPr>
            <w:tcW w:w="32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1900" w:type="dxa"/>
            <w:vAlign w:val="bottom"/>
            <w:tcBorders>
              <w:top w:val="single" w:sz="8" w:color="0591DB"/>
              <w:right w:val="single" w:sz="8" w:color="0591DB"/>
            </w:tcBorders>
          </w:tcPr>
          <w:p>
            <w:pPr>
              <w:jc w:val="center"/>
              <w:ind w:right="140"/>
              <w:spacing w:after="0" w:line="221" w:lineRule="exact"/>
              <w:rPr>
                <w:sz w:val="20"/>
                <w:szCs w:val="20"/>
                <w:color w:val="auto"/>
              </w:rPr>
            </w:pPr>
            <w:r>
              <w:rPr>
                <w:rFonts w:ascii="Calibri" w:cs="Calibri" w:eastAsia="Calibri" w:hAnsi="Calibri"/>
                <w:sz w:val="21"/>
                <w:szCs w:val="21"/>
                <w:b w:val="1"/>
                <w:bCs w:val="1"/>
                <w:color w:val="0591DB"/>
                <w:w w:val="94"/>
              </w:rPr>
              <w:t>PERFORMANCE</w:t>
            </w:r>
          </w:p>
        </w:tc>
        <w:tc>
          <w:tcPr>
            <w:tcW w:w="2520" w:type="dxa"/>
            <w:vAlign w:val="bottom"/>
            <w:tcBorders>
              <w:top w:val="single" w:sz="8" w:color="0591DB"/>
              <w:right w:val="single" w:sz="8" w:color="0591DB"/>
            </w:tcBorders>
          </w:tcPr>
          <w:p>
            <w:pPr>
              <w:jc w:val="center"/>
              <w:ind w:left="59"/>
              <w:spacing w:after="0" w:line="221" w:lineRule="exact"/>
              <w:rPr>
                <w:sz w:val="20"/>
                <w:szCs w:val="20"/>
                <w:color w:val="auto"/>
              </w:rPr>
            </w:pPr>
            <w:r>
              <w:rPr>
                <w:rFonts w:ascii="Calibri" w:cs="Calibri" w:eastAsia="Calibri" w:hAnsi="Calibri"/>
                <w:sz w:val="21"/>
                <w:szCs w:val="21"/>
                <w:b w:val="1"/>
                <w:bCs w:val="1"/>
                <w:color w:val="0591DB"/>
                <w:w w:val="94"/>
              </w:rPr>
              <w:t>2025 FINAL PAY</w:t>
            </w:r>
          </w:p>
        </w:tc>
        <w:tc>
          <w:tcPr>
            <w:tcW w:w="0" w:type="dxa"/>
            <w:vAlign w:val="bottom"/>
          </w:tcPr>
          <w:p>
            <w:pPr>
              <w:spacing w:after="0"/>
              <w:rPr>
                <w:sz w:val="1"/>
                <w:szCs w:val="1"/>
                <w:color w:val="auto"/>
              </w:rPr>
            </w:pPr>
          </w:p>
        </w:tc>
      </w:tr>
      <w:tr>
        <w:trPr>
          <w:trHeight w:val="257"/>
        </w:trPr>
        <w:tc>
          <w:tcPr>
            <w:tcW w:w="1440" w:type="dxa"/>
            <w:vAlign w:val="bottom"/>
            <w:tcBorders>
              <w:left w:val="single" w:sz="8" w:color="0591DB"/>
              <w:right w:val="single" w:sz="8" w:color="0591DB"/>
            </w:tcBorders>
          </w:tcPr>
          <w:p>
            <w:pPr>
              <w:jc w:val="center"/>
              <w:ind w:left="78"/>
              <w:spacing w:after="0"/>
              <w:rPr>
                <w:sz w:val="20"/>
                <w:szCs w:val="20"/>
                <w:color w:val="auto"/>
              </w:rPr>
            </w:pPr>
            <w:r>
              <w:rPr>
                <w:rFonts w:ascii="Calibri" w:cs="Calibri" w:eastAsia="Calibri" w:hAnsi="Calibri"/>
                <w:sz w:val="21"/>
                <w:szCs w:val="21"/>
                <w:b w:val="1"/>
                <w:bCs w:val="1"/>
                <w:color w:val="0591DB"/>
                <w:w w:val="91"/>
              </w:rPr>
              <w:t>AWARD</w:t>
            </w:r>
          </w:p>
        </w:tc>
        <w:tc>
          <w:tcPr>
            <w:tcW w:w="4680" w:type="dxa"/>
            <w:vAlign w:val="bottom"/>
            <w:tcBorders>
              <w:right w:val="single" w:sz="8" w:color="0591DB"/>
            </w:tcBorders>
          </w:tcPr>
          <w:p>
            <w:pPr>
              <w:jc w:val="center"/>
              <w:ind w:left="3"/>
              <w:spacing w:after="0"/>
              <w:rPr>
                <w:sz w:val="20"/>
                <w:szCs w:val="20"/>
                <w:color w:val="auto"/>
              </w:rPr>
            </w:pPr>
            <w:r>
              <w:rPr>
                <w:rFonts w:ascii="Calibri" w:cs="Calibri" w:eastAsia="Calibri" w:hAnsi="Calibri"/>
                <w:sz w:val="21"/>
                <w:szCs w:val="21"/>
                <w:b w:val="1"/>
                <w:bCs w:val="1"/>
                <w:color w:val="0591DB"/>
                <w:w w:val="96"/>
              </w:rPr>
              <w:t>FORM</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00" w:type="dxa"/>
            <w:vAlign w:val="bottom"/>
            <w:tcBorders>
              <w:right w:val="single" w:sz="8" w:color="0591DB"/>
            </w:tcBorders>
          </w:tcPr>
          <w:p>
            <w:pPr>
              <w:jc w:val="center"/>
              <w:ind w:right="160"/>
              <w:spacing w:after="0"/>
              <w:rPr>
                <w:sz w:val="20"/>
                <w:szCs w:val="20"/>
                <w:color w:val="auto"/>
              </w:rPr>
            </w:pPr>
            <w:r>
              <w:rPr>
                <w:rFonts w:ascii="Calibri" w:cs="Calibri" w:eastAsia="Calibri" w:hAnsi="Calibri"/>
                <w:sz w:val="21"/>
                <w:szCs w:val="21"/>
                <w:b w:val="1"/>
                <w:bCs w:val="1"/>
                <w:color w:val="0591DB"/>
                <w:w w:val="95"/>
              </w:rPr>
              <w:t>METRICS</w:t>
            </w:r>
          </w:p>
        </w:tc>
        <w:tc>
          <w:tcPr>
            <w:tcW w:w="2520" w:type="dxa"/>
            <w:vAlign w:val="bottom"/>
            <w:tcBorders>
              <w:right w:val="single" w:sz="8" w:color="0591DB"/>
            </w:tcBorders>
          </w:tcPr>
          <w:p>
            <w:pPr>
              <w:jc w:val="center"/>
              <w:ind w:left="39"/>
              <w:spacing w:after="0" w:line="244" w:lineRule="exact"/>
              <w:rPr>
                <w:sz w:val="20"/>
                <w:szCs w:val="20"/>
                <w:color w:val="auto"/>
              </w:rPr>
            </w:pPr>
            <w:r>
              <w:rPr>
                <w:rFonts w:ascii="Calibri" w:cs="Calibri" w:eastAsia="Calibri" w:hAnsi="Calibri"/>
                <w:sz w:val="21"/>
                <w:szCs w:val="21"/>
                <w:b w:val="1"/>
                <w:bCs w:val="1"/>
                <w:color w:val="0591DB"/>
                <w:w w:val="95"/>
              </w:rPr>
              <w:t>OUTCOME</w:t>
            </w:r>
          </w:p>
        </w:tc>
        <w:tc>
          <w:tcPr>
            <w:tcW w:w="0" w:type="dxa"/>
            <w:vAlign w:val="bottom"/>
          </w:tcPr>
          <w:p>
            <w:pPr>
              <w:spacing w:after="0"/>
              <w:rPr>
                <w:sz w:val="1"/>
                <w:szCs w:val="1"/>
                <w:color w:val="auto"/>
              </w:rPr>
            </w:pPr>
          </w:p>
        </w:tc>
      </w:tr>
      <w:tr>
        <w:trPr>
          <w:trHeight w:val="97"/>
        </w:trPr>
        <w:tc>
          <w:tcPr>
            <w:tcW w:w="1440" w:type="dxa"/>
            <w:vAlign w:val="bottom"/>
            <w:tcBorders>
              <w:left w:val="single" w:sz="8" w:color="0591DB"/>
              <w:bottom w:val="single" w:sz="8" w:color="0591DB"/>
              <w:right w:val="single" w:sz="8" w:color="0591DB"/>
            </w:tcBorders>
          </w:tcPr>
          <w:p>
            <w:pPr>
              <w:spacing w:after="0"/>
              <w:rPr>
                <w:sz w:val="8"/>
                <w:szCs w:val="8"/>
                <w:color w:val="auto"/>
              </w:rPr>
            </w:pPr>
          </w:p>
        </w:tc>
        <w:tc>
          <w:tcPr>
            <w:tcW w:w="4680" w:type="dxa"/>
            <w:vAlign w:val="bottom"/>
            <w:tcBorders>
              <w:bottom w:val="single" w:sz="8" w:color="0591DB"/>
              <w:right w:val="single" w:sz="8" w:color="0591DB"/>
            </w:tcBorders>
          </w:tcPr>
          <w:p>
            <w:pPr>
              <w:spacing w:after="0"/>
              <w:rPr>
                <w:sz w:val="8"/>
                <w:szCs w:val="8"/>
                <w:color w:val="auto"/>
              </w:rPr>
            </w:pPr>
          </w:p>
        </w:tc>
        <w:tc>
          <w:tcPr>
            <w:tcW w:w="320" w:type="dxa"/>
            <w:vAlign w:val="bottom"/>
            <w:tcBorders>
              <w:bottom w:val="single" w:sz="8" w:color="0591DB"/>
            </w:tcBorders>
          </w:tcPr>
          <w:p>
            <w:pPr>
              <w:spacing w:after="0"/>
              <w:rPr>
                <w:sz w:val="8"/>
                <w:szCs w:val="8"/>
                <w:color w:val="auto"/>
              </w:rPr>
            </w:pPr>
          </w:p>
        </w:tc>
        <w:tc>
          <w:tcPr>
            <w:tcW w:w="80" w:type="dxa"/>
            <w:vAlign w:val="bottom"/>
            <w:tcBorders>
              <w:bottom w:val="single" w:sz="8" w:color="0591DB"/>
            </w:tcBorders>
          </w:tcPr>
          <w:p>
            <w:pPr>
              <w:spacing w:after="0"/>
              <w:rPr>
                <w:sz w:val="8"/>
                <w:szCs w:val="8"/>
                <w:color w:val="auto"/>
              </w:rPr>
            </w:pPr>
          </w:p>
        </w:tc>
        <w:tc>
          <w:tcPr>
            <w:tcW w:w="1900" w:type="dxa"/>
            <w:vAlign w:val="bottom"/>
            <w:tcBorders>
              <w:bottom w:val="single" w:sz="8" w:color="0591DB"/>
              <w:right w:val="single" w:sz="8" w:color="0591DB"/>
            </w:tcBorders>
          </w:tcPr>
          <w:p>
            <w:pPr>
              <w:spacing w:after="0"/>
              <w:rPr>
                <w:sz w:val="8"/>
                <w:szCs w:val="8"/>
                <w:color w:val="auto"/>
              </w:rPr>
            </w:pPr>
          </w:p>
        </w:tc>
        <w:tc>
          <w:tcPr>
            <w:tcW w:w="2520" w:type="dxa"/>
            <w:vAlign w:val="bottom"/>
            <w:tcBorders>
              <w:bottom w:val="single" w:sz="8" w:color="0591DB"/>
              <w:right w:val="single" w:sz="8" w:color="0591DB"/>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vMerge w:val="restart"/>
            <w:shd w:val="clear" w:color="auto" w:fill="EFF2EF"/>
          </w:tcPr>
          <w:p>
            <w:pPr>
              <w:jc w:val="center"/>
              <w:ind w:left="78"/>
              <w:spacing w:after="0"/>
              <w:rPr>
                <w:sz w:val="20"/>
                <w:szCs w:val="20"/>
                <w:color w:val="auto"/>
              </w:rPr>
            </w:pPr>
            <w:r>
              <w:rPr>
                <w:rFonts w:ascii="Calibri" w:cs="Calibri" w:eastAsia="Calibri" w:hAnsi="Calibri"/>
                <w:sz w:val="15"/>
                <w:szCs w:val="15"/>
                <w:b w:val="1"/>
                <w:bCs w:val="1"/>
                <w:color w:val="333333"/>
              </w:rPr>
              <w:t>Base Salary</w:t>
            </w:r>
          </w:p>
        </w:tc>
        <w:tc>
          <w:tcPr>
            <w:tcW w:w="4680" w:type="dxa"/>
            <w:vAlign w:val="bottom"/>
            <w:tcBorders>
              <w:right w:val="single" w:sz="8" w:color="333333"/>
            </w:tcBorders>
          </w:tcPr>
          <w:p>
            <w:pPr>
              <w:jc w:val="center"/>
              <w:spacing w:after="0" w:line="158" w:lineRule="exact"/>
              <w:rPr>
                <w:sz w:val="20"/>
                <w:szCs w:val="20"/>
                <w:color w:val="auto"/>
              </w:rPr>
            </w:pPr>
            <w:r>
              <w:rPr>
                <w:rFonts w:ascii="Calibri" w:cs="Calibri" w:eastAsia="Calibri" w:hAnsi="Calibri"/>
                <w:sz w:val="15"/>
                <w:szCs w:val="15"/>
                <w:b w:val="1"/>
                <w:bCs w:val="1"/>
                <w:color w:val="333333"/>
              </w:rPr>
              <w:t>Fixed Cash</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right w:val="single" w:sz="8" w:color="333333"/>
            </w:tcBorders>
            <w:vMerge w:val="restart"/>
          </w:tcPr>
          <w:p>
            <w:pPr>
              <w:jc w:val="center"/>
              <w:ind w:right="140"/>
              <w:spacing w:after="0"/>
              <w:rPr>
                <w:sz w:val="20"/>
                <w:szCs w:val="20"/>
                <w:color w:val="auto"/>
              </w:rPr>
            </w:pPr>
            <w:r>
              <w:rPr>
                <w:rFonts w:ascii="Calibri" w:cs="Calibri" w:eastAsia="Calibri" w:hAnsi="Calibri"/>
                <w:sz w:val="15"/>
                <w:szCs w:val="15"/>
                <w:b w:val="1"/>
                <w:bCs w:val="1"/>
                <w:color w:val="333333"/>
                <w:w w:val="94"/>
              </w:rPr>
              <w:t>N/A</w:t>
            </w:r>
          </w:p>
        </w:tc>
        <w:tc>
          <w:tcPr>
            <w:tcW w:w="2520" w:type="dxa"/>
            <w:vAlign w:val="bottom"/>
            <w:tcBorders>
              <w:right w:val="single" w:sz="8" w:color="333333"/>
            </w:tcBorders>
            <w:vMerge w:val="restart"/>
          </w:tcPr>
          <w:p>
            <w:pPr>
              <w:jc w:val="center"/>
              <w:ind w:left="79"/>
              <w:spacing w:after="0"/>
              <w:rPr>
                <w:sz w:val="20"/>
                <w:szCs w:val="20"/>
                <w:color w:val="auto"/>
              </w:rPr>
            </w:pPr>
            <w:r>
              <w:rPr>
                <w:rFonts w:ascii="Calibri" w:cs="Calibri" w:eastAsia="Calibri" w:hAnsi="Calibri"/>
                <w:sz w:val="15"/>
                <w:szCs w:val="15"/>
                <w:b w:val="1"/>
                <w:bCs w:val="1"/>
                <w:color w:val="333333"/>
                <w:w w:val="99"/>
              </w:rPr>
              <w:t>$1,000,000</w:t>
            </w:r>
          </w:p>
        </w:tc>
        <w:tc>
          <w:tcPr>
            <w:tcW w:w="0" w:type="dxa"/>
            <w:vAlign w:val="bottom"/>
          </w:tcPr>
          <w:p>
            <w:pPr>
              <w:spacing w:after="0"/>
              <w:rPr>
                <w:sz w:val="1"/>
                <w:szCs w:val="1"/>
                <w:color w:val="auto"/>
              </w:rPr>
            </w:pPr>
          </w:p>
        </w:tc>
      </w:tr>
      <w:tr>
        <w:trPr>
          <w:trHeight w:val="86"/>
        </w:trPr>
        <w:tc>
          <w:tcPr>
            <w:tcW w:w="1440" w:type="dxa"/>
            <w:vAlign w:val="bottom"/>
            <w:tcBorders>
              <w:left w:val="single" w:sz="8" w:color="333333"/>
              <w:right w:val="single" w:sz="8" w:color="333333"/>
            </w:tcBorders>
            <w:vMerge w:val="continue"/>
            <w:shd w:val="clear" w:color="auto" w:fill="EFF2EF"/>
          </w:tcPr>
          <w:p>
            <w:pPr>
              <w:spacing w:after="0"/>
              <w:rPr>
                <w:sz w:val="7"/>
                <w:szCs w:val="7"/>
                <w:color w:val="auto"/>
              </w:rPr>
            </w:pPr>
          </w:p>
        </w:tc>
        <w:tc>
          <w:tcPr>
            <w:tcW w:w="4680" w:type="dxa"/>
            <w:vAlign w:val="bottom"/>
            <w:tcBorders>
              <w:right w:val="single" w:sz="8" w:color="333333"/>
            </w:tcBorders>
            <w:vMerge w:val="restart"/>
          </w:tcPr>
          <w:p>
            <w:pPr>
              <w:jc w:val="right"/>
              <w:ind w:right="1883"/>
              <w:spacing w:after="0" w:line="180" w:lineRule="exact"/>
              <w:rPr>
                <w:sz w:val="20"/>
                <w:szCs w:val="20"/>
                <w:color w:val="auto"/>
              </w:rPr>
            </w:pPr>
            <w:r>
              <w:rPr>
                <w:rFonts w:ascii="Calibri" w:cs="Calibri" w:eastAsia="Calibri" w:hAnsi="Calibri"/>
                <w:sz w:val="15"/>
                <w:szCs w:val="15"/>
                <w:color w:val="333333"/>
              </w:rPr>
              <w:t>$1,000,000</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tcBorders>
              <w:right w:val="single" w:sz="8" w:color="333333"/>
            </w:tcBorders>
            <w:vMerge w:val="continue"/>
          </w:tcPr>
          <w:p>
            <w:pPr>
              <w:spacing w:after="0"/>
              <w:rPr>
                <w:sz w:val="7"/>
                <w:szCs w:val="7"/>
                <w:color w:val="auto"/>
              </w:rPr>
            </w:pPr>
          </w:p>
        </w:tc>
        <w:tc>
          <w:tcPr>
            <w:tcW w:w="2520" w:type="dxa"/>
            <w:vAlign w:val="bottom"/>
            <w:tcBorders>
              <w:right w:val="single" w:sz="8" w:color="33333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440" w:type="dxa"/>
            <w:vAlign w:val="bottom"/>
            <w:tcBorders>
              <w:left w:val="single" w:sz="8" w:color="333333"/>
              <w:bottom w:val="single" w:sz="8" w:color="EFF2EF"/>
              <w:right w:val="single" w:sz="8" w:color="333333"/>
            </w:tcBorders>
            <w:shd w:val="clear" w:color="auto" w:fill="EFF2EF"/>
          </w:tcPr>
          <w:p>
            <w:pPr>
              <w:spacing w:after="0"/>
              <w:rPr>
                <w:sz w:val="11"/>
                <w:szCs w:val="11"/>
                <w:color w:val="auto"/>
              </w:rPr>
            </w:pPr>
          </w:p>
        </w:tc>
        <w:tc>
          <w:tcPr>
            <w:tcW w:w="4680" w:type="dxa"/>
            <w:vAlign w:val="bottom"/>
            <w:tcBorders>
              <w:right w:val="single" w:sz="8" w:color="333333"/>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right w:val="single" w:sz="8" w:color="333333"/>
            </w:tcBorders>
          </w:tcPr>
          <w:p>
            <w:pPr>
              <w:spacing w:after="0"/>
              <w:rPr>
                <w:sz w:val="11"/>
                <w:szCs w:val="11"/>
                <w:color w:val="auto"/>
              </w:rPr>
            </w:pPr>
          </w:p>
        </w:tc>
        <w:tc>
          <w:tcPr>
            <w:tcW w:w="2520" w:type="dxa"/>
            <w:vAlign w:val="bottom"/>
            <w:tcBorders>
              <w:right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40" w:type="dxa"/>
            <w:vAlign w:val="bottom"/>
            <w:tcBorders>
              <w:top w:val="single" w:sz="8" w:color="333333"/>
              <w:left w:val="single" w:sz="8" w:color="333333"/>
            </w:tcBorders>
          </w:tcPr>
          <w:p>
            <w:pPr>
              <w:spacing w:after="0"/>
              <w:rPr>
                <w:sz w:val="13"/>
                <w:szCs w:val="13"/>
                <w:color w:val="auto"/>
              </w:rPr>
            </w:pPr>
          </w:p>
        </w:tc>
        <w:tc>
          <w:tcPr>
            <w:tcW w:w="5080" w:type="dxa"/>
            <w:vAlign w:val="bottom"/>
            <w:tcBorders>
              <w:top w:val="single" w:sz="8" w:color="333333"/>
            </w:tcBorders>
            <w:gridSpan w:val="3"/>
          </w:tcPr>
          <w:p>
            <w:pPr>
              <w:jc w:val="center"/>
              <w:ind w:left="3023"/>
              <w:spacing w:after="0" w:line="158" w:lineRule="exact"/>
              <w:rPr>
                <w:sz w:val="20"/>
                <w:szCs w:val="20"/>
                <w:color w:val="auto"/>
              </w:rPr>
            </w:pPr>
            <w:r>
              <w:rPr>
                <w:rFonts w:ascii="Calibri" w:cs="Calibri" w:eastAsia="Calibri" w:hAnsi="Calibri"/>
                <w:sz w:val="15"/>
                <w:szCs w:val="15"/>
                <w:b w:val="1"/>
                <w:bCs w:val="1"/>
                <w:color w:val="333333"/>
                <w:w w:val="98"/>
              </w:rPr>
              <w:t>Total AIP Opportunity at Target</w:t>
            </w:r>
          </w:p>
        </w:tc>
        <w:tc>
          <w:tcPr>
            <w:tcW w:w="1900" w:type="dxa"/>
            <w:vAlign w:val="bottom"/>
            <w:tcBorders>
              <w:top w:val="single" w:sz="8" w:color="333333"/>
            </w:tcBorders>
          </w:tcPr>
          <w:p>
            <w:pPr>
              <w:spacing w:after="0"/>
              <w:rPr>
                <w:sz w:val="13"/>
                <w:szCs w:val="13"/>
                <w:color w:val="auto"/>
              </w:rPr>
            </w:pPr>
          </w:p>
        </w:tc>
        <w:tc>
          <w:tcPr>
            <w:tcW w:w="2520" w:type="dxa"/>
            <w:vAlign w:val="bottom"/>
            <w:tcBorders>
              <w:top w:val="single" w:sz="8" w:color="333333"/>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tcBorders>
          </w:tcPr>
          <w:p>
            <w:pPr>
              <w:spacing w:after="0"/>
              <w:rPr>
                <w:sz w:val="15"/>
                <w:szCs w:val="15"/>
                <w:color w:val="auto"/>
              </w:rPr>
            </w:pPr>
          </w:p>
        </w:tc>
        <w:tc>
          <w:tcPr>
            <w:tcW w:w="5000" w:type="dxa"/>
            <w:vAlign w:val="bottom"/>
            <w:gridSpan w:val="2"/>
          </w:tcPr>
          <w:p>
            <w:pPr>
              <w:jc w:val="center"/>
              <w:ind w:left="3083"/>
              <w:spacing w:after="0" w:line="180" w:lineRule="exact"/>
              <w:rPr>
                <w:sz w:val="20"/>
                <w:szCs w:val="20"/>
                <w:color w:val="auto"/>
              </w:rPr>
            </w:pPr>
            <w:r>
              <w:rPr>
                <w:rFonts w:ascii="Calibri" w:cs="Calibri" w:eastAsia="Calibri" w:hAnsi="Calibri"/>
                <w:sz w:val="15"/>
                <w:szCs w:val="15"/>
                <w:color w:val="333333"/>
              </w:rPr>
              <w:t>$2,000,000 (2.0x Base Salary)</w:t>
            </w: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2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333333"/>
              <w:bottom w:val="single" w:sz="8" w:color="333333"/>
            </w:tcBorders>
          </w:tcPr>
          <w:p>
            <w:pPr>
              <w:spacing w:after="0"/>
              <w:rPr>
                <w:sz w:val="13"/>
                <w:szCs w:val="13"/>
                <w:color w:val="auto"/>
              </w:rPr>
            </w:pPr>
          </w:p>
        </w:tc>
        <w:tc>
          <w:tcPr>
            <w:tcW w:w="4680" w:type="dxa"/>
            <w:vAlign w:val="bottom"/>
            <w:tcBorders>
              <w:bottom w:val="single" w:sz="8" w:color="333333"/>
            </w:tcBorders>
          </w:tcPr>
          <w:p>
            <w:pPr>
              <w:spacing w:after="0"/>
              <w:rPr>
                <w:sz w:val="13"/>
                <w:szCs w:val="13"/>
                <w:color w:val="auto"/>
              </w:rPr>
            </w:pPr>
          </w:p>
        </w:tc>
        <w:tc>
          <w:tcPr>
            <w:tcW w:w="320" w:type="dxa"/>
            <w:vAlign w:val="bottom"/>
            <w:tcBorders>
              <w:bottom w:val="single" w:sz="8" w:color="333333"/>
            </w:tcBorders>
          </w:tcPr>
          <w:p>
            <w:pPr>
              <w:spacing w:after="0"/>
              <w:rPr>
                <w:sz w:val="13"/>
                <w:szCs w:val="13"/>
                <w:color w:val="auto"/>
              </w:rPr>
            </w:pPr>
          </w:p>
        </w:tc>
        <w:tc>
          <w:tcPr>
            <w:tcW w:w="80" w:type="dxa"/>
            <w:vAlign w:val="bottom"/>
            <w:tcBorders>
              <w:bottom w:val="single" w:sz="8" w:color="333333"/>
            </w:tcBorders>
          </w:tcPr>
          <w:p>
            <w:pPr>
              <w:spacing w:after="0"/>
              <w:rPr>
                <w:sz w:val="13"/>
                <w:szCs w:val="13"/>
                <w:color w:val="auto"/>
              </w:rPr>
            </w:pPr>
          </w:p>
        </w:tc>
        <w:tc>
          <w:tcPr>
            <w:tcW w:w="1900" w:type="dxa"/>
            <w:vAlign w:val="bottom"/>
            <w:tcBorders>
              <w:bottom w:val="single" w:sz="8" w:color="333333"/>
            </w:tcBorders>
          </w:tcPr>
          <w:p>
            <w:pPr>
              <w:spacing w:after="0"/>
              <w:rPr>
                <w:sz w:val="13"/>
                <w:szCs w:val="13"/>
                <w:color w:val="auto"/>
              </w:rPr>
            </w:pPr>
          </w:p>
        </w:tc>
        <w:tc>
          <w:tcPr>
            <w:tcW w:w="2520" w:type="dxa"/>
            <w:vAlign w:val="bottom"/>
            <w:tcBorders>
              <w:bottom w:val="single" w:sz="8" w:color="333333"/>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4680" w:type="dxa"/>
            <w:vAlign w:val="bottom"/>
            <w:tcBorders>
              <w:right w:val="single" w:sz="8" w:color="333333"/>
            </w:tcBorders>
          </w:tcPr>
          <w:p>
            <w:pPr>
              <w:jc w:val="center"/>
              <w:ind w:left="3"/>
              <w:spacing w:after="0" w:line="158" w:lineRule="exact"/>
              <w:rPr>
                <w:sz w:val="20"/>
                <w:szCs w:val="20"/>
                <w:color w:val="auto"/>
              </w:rPr>
            </w:pPr>
            <w:r>
              <w:rPr>
                <w:rFonts w:ascii="Calibri" w:cs="Calibri" w:eastAsia="Calibri" w:hAnsi="Calibri"/>
                <w:sz w:val="15"/>
                <w:szCs w:val="15"/>
                <w:b w:val="1"/>
                <w:bCs w:val="1"/>
                <w:color w:val="333333"/>
              </w:rPr>
              <w:t>AIP Target Opportunity as % of Base Salary</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right w:val="single" w:sz="8" w:color="333333"/>
            </w:tcBorders>
          </w:tcPr>
          <w:p>
            <w:pPr>
              <w:jc w:val="center"/>
              <w:ind w:right="140"/>
              <w:spacing w:after="0" w:line="158" w:lineRule="exact"/>
              <w:rPr>
                <w:sz w:val="20"/>
                <w:szCs w:val="20"/>
                <w:color w:val="auto"/>
              </w:rPr>
            </w:pPr>
            <w:r>
              <w:rPr>
                <w:rFonts w:ascii="Calibri" w:cs="Calibri" w:eastAsia="Calibri" w:hAnsi="Calibri"/>
                <w:sz w:val="15"/>
                <w:szCs w:val="15"/>
                <w:b w:val="1"/>
                <w:bCs w:val="1"/>
                <w:color w:val="333333"/>
                <w:w w:val="99"/>
              </w:rPr>
              <w:t>Metric as % of Total AIP</w:t>
            </w:r>
          </w:p>
        </w:tc>
        <w:tc>
          <w:tcPr>
            <w:tcW w:w="2520" w:type="dxa"/>
            <w:vAlign w:val="bottom"/>
            <w:tcBorders>
              <w:right w:val="single" w:sz="8" w:color="333333"/>
            </w:tcBorders>
          </w:tcPr>
          <w:p>
            <w:pPr>
              <w:jc w:val="center"/>
              <w:ind w:left="79"/>
              <w:spacing w:after="0" w:line="158" w:lineRule="exact"/>
              <w:rPr>
                <w:sz w:val="20"/>
                <w:szCs w:val="20"/>
                <w:color w:val="auto"/>
              </w:rPr>
            </w:pPr>
            <w:r>
              <w:rPr>
                <w:rFonts w:ascii="Calibri" w:cs="Calibri" w:eastAsia="Calibri" w:hAnsi="Calibri"/>
                <w:sz w:val="15"/>
                <w:szCs w:val="15"/>
                <w:b w:val="1"/>
                <w:bCs w:val="1"/>
                <w:color w:val="333333"/>
                <w:w w:val="99"/>
              </w:rPr>
              <w:t>$2,406,870</w:t>
            </w: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4680" w:type="dxa"/>
            <w:vAlign w:val="bottom"/>
            <w:tcBorders>
              <w:right w:val="single" w:sz="8" w:color="333333"/>
            </w:tcBorders>
            <w:vMerge w:val="restart"/>
          </w:tcPr>
          <w:p>
            <w:pPr>
              <w:jc w:val="center"/>
              <w:ind w:left="3"/>
              <w:spacing w:after="0"/>
              <w:rPr>
                <w:sz w:val="20"/>
                <w:szCs w:val="20"/>
                <w:color w:val="auto"/>
              </w:rPr>
            </w:pPr>
            <w:r>
              <w:rPr>
                <w:rFonts w:ascii="Calibri" w:cs="Calibri" w:eastAsia="Calibri" w:hAnsi="Calibri"/>
                <w:sz w:val="15"/>
                <w:szCs w:val="15"/>
                <w:color w:val="333333"/>
              </w:rPr>
              <w:t>Threshold – 100% ($1,000,000)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right w:val="single" w:sz="8" w:color="333333"/>
            </w:tcBorders>
          </w:tcPr>
          <w:p>
            <w:pPr>
              <w:jc w:val="center"/>
              <w:ind w:right="160"/>
              <w:spacing w:after="0" w:line="180" w:lineRule="exact"/>
              <w:rPr>
                <w:sz w:val="20"/>
                <w:szCs w:val="20"/>
                <w:color w:val="auto"/>
              </w:rPr>
            </w:pPr>
            <w:r>
              <w:rPr>
                <w:rFonts w:ascii="Calibri" w:cs="Calibri" w:eastAsia="Calibri" w:hAnsi="Calibri"/>
                <w:sz w:val="15"/>
                <w:szCs w:val="15"/>
                <w:b w:val="1"/>
                <w:bCs w:val="1"/>
                <w:color w:val="333333"/>
              </w:rPr>
              <w:t>Opportunity</w:t>
            </w:r>
          </w:p>
        </w:tc>
        <w:tc>
          <w:tcPr>
            <w:tcW w:w="2520" w:type="dxa"/>
            <w:vAlign w:val="bottom"/>
            <w:tcBorders>
              <w:right w:val="single" w:sz="8" w:color="333333"/>
            </w:tcBorders>
          </w:tcPr>
          <w:p>
            <w:pPr>
              <w:jc w:val="center"/>
              <w:ind w:left="79"/>
              <w:spacing w:after="0" w:line="180" w:lineRule="exact"/>
              <w:rPr>
                <w:sz w:val="20"/>
                <w:szCs w:val="20"/>
                <w:color w:val="auto"/>
              </w:rPr>
            </w:pPr>
            <w:r>
              <w:rPr>
                <w:rFonts w:ascii="Calibri" w:cs="Calibri" w:eastAsia="Calibri" w:hAnsi="Calibri"/>
                <w:sz w:val="15"/>
                <w:szCs w:val="15"/>
                <w:color w:val="333333"/>
                <w:w w:val="98"/>
              </w:rPr>
              <w:t>(120% of Target)</w:t>
            </w:r>
          </w:p>
        </w:tc>
        <w:tc>
          <w:tcPr>
            <w:tcW w:w="0" w:type="dxa"/>
            <w:vAlign w:val="bottom"/>
          </w:tcPr>
          <w:p>
            <w:pPr>
              <w:spacing w:after="0"/>
              <w:rPr>
                <w:sz w:val="1"/>
                <w:szCs w:val="1"/>
                <w:color w:val="auto"/>
              </w:rPr>
            </w:pPr>
          </w:p>
        </w:tc>
      </w:tr>
      <w:tr>
        <w:trPr>
          <w:trHeight w:val="134"/>
        </w:trPr>
        <w:tc>
          <w:tcPr>
            <w:tcW w:w="1440" w:type="dxa"/>
            <w:vAlign w:val="bottom"/>
            <w:tcBorders>
              <w:left w:val="single" w:sz="8" w:color="333333"/>
              <w:right w:val="single" w:sz="8" w:color="333333"/>
            </w:tcBorders>
            <w:shd w:val="clear" w:color="auto" w:fill="EFF2EF"/>
          </w:tcPr>
          <w:p>
            <w:pPr>
              <w:spacing w:after="0"/>
              <w:rPr>
                <w:sz w:val="11"/>
                <w:szCs w:val="11"/>
                <w:color w:val="auto"/>
              </w:rPr>
            </w:pPr>
          </w:p>
        </w:tc>
        <w:tc>
          <w:tcPr>
            <w:tcW w:w="4680" w:type="dxa"/>
            <w:vAlign w:val="bottom"/>
            <w:tcBorders>
              <w:right w:val="single" w:sz="8" w:color="333333"/>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right w:val="single" w:sz="8" w:color="333333"/>
            </w:tcBorders>
          </w:tcPr>
          <w:p>
            <w:pPr>
              <w:spacing w:after="0"/>
              <w:rPr>
                <w:sz w:val="11"/>
                <w:szCs w:val="11"/>
                <w:color w:val="auto"/>
              </w:rPr>
            </w:pPr>
          </w:p>
        </w:tc>
        <w:tc>
          <w:tcPr>
            <w:tcW w:w="2520" w:type="dxa"/>
            <w:vAlign w:val="bottom"/>
            <w:tcBorders>
              <w:right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4680" w:type="dxa"/>
            <w:vAlign w:val="bottom"/>
            <w:tcBorders>
              <w:right w:val="single" w:sz="8" w:color="333333"/>
            </w:tcBorders>
          </w:tcPr>
          <w:p>
            <w:pPr>
              <w:jc w:val="center"/>
              <w:ind w:left="3"/>
              <w:spacing w:after="0"/>
              <w:rPr>
                <w:sz w:val="20"/>
                <w:szCs w:val="20"/>
                <w:color w:val="auto"/>
              </w:rPr>
            </w:pPr>
            <w:r>
              <w:rPr>
                <w:rFonts w:ascii="Calibri" w:cs="Calibri" w:eastAsia="Calibri" w:hAnsi="Calibri"/>
                <w:sz w:val="15"/>
                <w:szCs w:val="15"/>
                <w:color w:val="333333"/>
              </w:rPr>
              <w:t>Target – 200% ($2,000,000)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Borders>
              <w:right w:val="single" w:sz="8" w:color="333333"/>
            </w:tcBorders>
            <w:vMerge w:val="restart"/>
          </w:tcPr>
          <w:p>
            <w:pPr>
              <w:jc w:val="center"/>
              <w:ind w:right="140"/>
              <w:spacing w:after="0"/>
              <w:rPr>
                <w:sz w:val="20"/>
                <w:szCs w:val="20"/>
                <w:color w:val="auto"/>
              </w:rPr>
            </w:pPr>
            <w:r>
              <w:rPr>
                <w:rFonts w:ascii="Calibri" w:cs="Calibri" w:eastAsia="Calibri" w:hAnsi="Calibri"/>
                <w:sz w:val="15"/>
                <w:szCs w:val="15"/>
                <w:color w:val="333333"/>
              </w:rPr>
              <w:t>Adjusted EPS – 37.5%</w:t>
            </w:r>
          </w:p>
        </w:tc>
        <w:tc>
          <w:tcPr>
            <w:tcW w:w="252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40" w:type="dxa"/>
            <w:vAlign w:val="bottom"/>
            <w:tcBorders>
              <w:left w:val="single" w:sz="8" w:color="333333"/>
              <w:right w:val="single" w:sz="8" w:color="333333"/>
            </w:tcBorders>
            <w:shd w:val="clear" w:color="auto" w:fill="EFF2EF"/>
          </w:tcPr>
          <w:p>
            <w:pPr>
              <w:spacing w:after="0"/>
              <w:rPr>
                <w:sz w:val="11"/>
                <w:szCs w:val="11"/>
                <w:color w:val="auto"/>
              </w:rPr>
            </w:pPr>
          </w:p>
        </w:tc>
        <w:tc>
          <w:tcPr>
            <w:tcW w:w="4680" w:type="dxa"/>
            <w:vAlign w:val="bottom"/>
            <w:tcBorders>
              <w:right w:val="single" w:sz="8" w:color="333333"/>
            </w:tcBorders>
            <w:vMerge w:val="restart"/>
          </w:tcPr>
          <w:p>
            <w:pPr>
              <w:jc w:val="center"/>
              <w:ind w:left="3"/>
              <w:spacing w:after="0"/>
              <w:rPr>
                <w:sz w:val="20"/>
                <w:szCs w:val="20"/>
                <w:color w:val="auto"/>
              </w:rPr>
            </w:pPr>
            <w:r>
              <w:rPr>
                <w:rFonts w:ascii="Calibri" w:cs="Calibri" w:eastAsia="Calibri" w:hAnsi="Calibri"/>
                <w:sz w:val="15"/>
                <w:szCs w:val="15"/>
                <w:color w:val="333333"/>
              </w:rPr>
              <w:t>Maximum – 300% ($3,000,000)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right w:val="single" w:sz="8" w:color="333333"/>
            </w:tcBorders>
            <w:vMerge w:val="continue"/>
          </w:tcPr>
          <w:p>
            <w:pPr>
              <w:spacing w:after="0"/>
              <w:rPr>
                <w:sz w:val="11"/>
                <w:szCs w:val="11"/>
                <w:color w:val="auto"/>
              </w:rPr>
            </w:pPr>
          </w:p>
        </w:tc>
        <w:tc>
          <w:tcPr>
            <w:tcW w:w="2520" w:type="dxa"/>
            <w:vAlign w:val="bottom"/>
            <w:tcBorders>
              <w:right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440" w:type="dxa"/>
            <w:vAlign w:val="bottom"/>
            <w:tcBorders>
              <w:left w:val="single" w:sz="8" w:color="333333"/>
              <w:right w:val="single" w:sz="8" w:color="333333"/>
            </w:tcBorders>
            <w:shd w:val="clear" w:color="auto" w:fill="EFF2EF"/>
          </w:tcPr>
          <w:p>
            <w:pPr>
              <w:spacing w:after="0"/>
              <w:rPr>
                <w:sz w:val="4"/>
                <w:szCs w:val="4"/>
                <w:color w:val="auto"/>
              </w:rPr>
            </w:pPr>
          </w:p>
        </w:tc>
        <w:tc>
          <w:tcPr>
            <w:tcW w:w="4680" w:type="dxa"/>
            <w:vAlign w:val="bottom"/>
            <w:tcBorders>
              <w:right w:val="single" w:sz="8" w:color="333333"/>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Borders>
              <w:right w:val="single" w:sz="8" w:color="333333"/>
            </w:tcBorders>
            <w:vMerge w:val="restart"/>
          </w:tcPr>
          <w:p>
            <w:pPr>
              <w:jc w:val="center"/>
              <w:ind w:right="140"/>
              <w:spacing w:after="0"/>
              <w:rPr>
                <w:sz w:val="20"/>
                <w:szCs w:val="20"/>
                <w:color w:val="auto"/>
              </w:rPr>
            </w:pPr>
            <w:r>
              <w:rPr>
                <w:rFonts w:ascii="Calibri" w:cs="Calibri" w:eastAsia="Calibri" w:hAnsi="Calibri"/>
                <w:sz w:val="15"/>
                <w:szCs w:val="15"/>
                <w:color w:val="333333"/>
              </w:rPr>
              <w:t>Adjusted EBITDA – 37.5%</w:t>
            </w:r>
          </w:p>
        </w:tc>
        <w:tc>
          <w:tcPr>
            <w:tcW w:w="2520" w:type="dxa"/>
            <w:vAlign w:val="bottom"/>
            <w:tcBorders>
              <w:right w:val="single" w:sz="8" w:color="333333"/>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440" w:type="dxa"/>
            <w:vAlign w:val="bottom"/>
            <w:tcBorders>
              <w:left w:val="single" w:sz="8" w:color="333333"/>
              <w:right w:val="single" w:sz="8" w:color="333333"/>
            </w:tcBorders>
            <w:vMerge w:val="restart"/>
            <w:shd w:val="clear" w:color="auto" w:fill="EFF2EF"/>
          </w:tcPr>
          <w:p>
            <w:pPr>
              <w:jc w:val="center"/>
              <w:ind w:left="58"/>
              <w:spacing w:after="0"/>
              <w:rPr>
                <w:sz w:val="20"/>
                <w:szCs w:val="20"/>
                <w:color w:val="auto"/>
              </w:rPr>
            </w:pPr>
            <w:r>
              <w:rPr>
                <w:rFonts w:ascii="Calibri" w:cs="Calibri" w:eastAsia="Calibri" w:hAnsi="Calibri"/>
                <w:sz w:val="15"/>
                <w:szCs w:val="15"/>
                <w:b w:val="1"/>
                <w:bCs w:val="1"/>
                <w:color w:val="333333"/>
              </w:rPr>
              <w:t>AIP</w:t>
            </w:r>
          </w:p>
        </w:tc>
        <w:tc>
          <w:tcPr>
            <w:tcW w:w="4680" w:type="dxa"/>
            <w:vAlign w:val="bottom"/>
            <w:tcBorders>
              <w:right w:val="single" w:sz="8" w:color="333333"/>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right w:val="single" w:sz="8" w:color="333333"/>
            </w:tcBorders>
            <w:vMerge w:val="continue"/>
          </w:tcPr>
          <w:p>
            <w:pPr>
              <w:spacing w:after="0"/>
              <w:rPr>
                <w:sz w:val="11"/>
                <w:szCs w:val="11"/>
                <w:color w:val="auto"/>
              </w:rPr>
            </w:pPr>
          </w:p>
        </w:tc>
        <w:tc>
          <w:tcPr>
            <w:tcW w:w="2520" w:type="dxa"/>
            <w:vAlign w:val="bottom"/>
            <w:tcBorders>
              <w:right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440" w:type="dxa"/>
            <w:vAlign w:val="bottom"/>
            <w:tcBorders>
              <w:left w:val="single" w:sz="8" w:color="333333"/>
              <w:right w:val="single" w:sz="8" w:color="333333"/>
            </w:tcBorders>
            <w:vMerge w:val="continue"/>
            <w:shd w:val="clear" w:color="auto" w:fill="EFF2EF"/>
          </w:tcPr>
          <w:p>
            <w:pPr>
              <w:spacing w:after="0"/>
              <w:rPr>
                <w:sz w:val="4"/>
                <w:szCs w:val="4"/>
                <w:color w:val="auto"/>
              </w:rPr>
            </w:pPr>
          </w:p>
        </w:tc>
        <w:tc>
          <w:tcPr>
            <w:tcW w:w="4680" w:type="dxa"/>
            <w:vAlign w:val="bottom"/>
            <w:tcBorders>
              <w:right w:val="single" w:sz="8" w:color="333333"/>
            </w:tcBorders>
          </w:tcPr>
          <w:p>
            <w:pPr>
              <w:spacing w:after="0"/>
              <w:rPr>
                <w:sz w:val="4"/>
                <w:szCs w:val="4"/>
                <w:color w:val="auto"/>
              </w:rPr>
            </w:pPr>
          </w:p>
        </w:tc>
        <w:tc>
          <w:tcPr>
            <w:tcW w:w="320" w:type="dxa"/>
            <w:vAlign w:val="bottom"/>
          </w:tcPr>
          <w:p>
            <w:pPr>
              <w:spacing w:after="0"/>
              <w:rPr>
                <w:sz w:val="4"/>
                <w:szCs w:val="4"/>
                <w:color w:val="auto"/>
              </w:rPr>
            </w:pPr>
          </w:p>
        </w:tc>
        <w:tc>
          <w:tcPr>
            <w:tcW w:w="1980" w:type="dxa"/>
            <w:vAlign w:val="bottom"/>
            <w:tcBorders>
              <w:right w:val="single" w:sz="8" w:color="333333"/>
            </w:tcBorders>
            <w:gridSpan w:val="2"/>
            <w:vMerge w:val="restart"/>
          </w:tcPr>
          <w:p>
            <w:pPr>
              <w:jc w:val="center"/>
              <w:ind w:right="60"/>
              <w:spacing w:after="0"/>
              <w:rPr>
                <w:sz w:val="20"/>
                <w:szCs w:val="20"/>
                <w:color w:val="auto"/>
              </w:rPr>
            </w:pPr>
            <w:r>
              <w:rPr>
                <w:rFonts w:ascii="Calibri" w:cs="Calibri" w:eastAsia="Calibri" w:hAnsi="Calibri"/>
                <w:sz w:val="15"/>
                <w:szCs w:val="15"/>
                <w:color w:val="333333"/>
              </w:rPr>
              <w:t>Individual Performance – 25%</w:t>
            </w:r>
          </w:p>
        </w:tc>
        <w:tc>
          <w:tcPr>
            <w:tcW w:w="2520" w:type="dxa"/>
            <w:vAlign w:val="bottom"/>
            <w:tcBorders>
              <w:right w:val="single" w:sz="8" w:color="333333"/>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1440" w:type="dxa"/>
            <w:vAlign w:val="bottom"/>
            <w:tcBorders>
              <w:left w:val="single" w:sz="8" w:color="333333"/>
              <w:bottom w:val="single" w:sz="8" w:color="EFF2EF"/>
              <w:right w:val="single" w:sz="8" w:color="333333"/>
            </w:tcBorders>
            <w:shd w:val="clear" w:color="auto" w:fill="EFF2EF"/>
          </w:tcPr>
          <w:p>
            <w:pPr>
              <w:spacing w:after="0"/>
              <w:rPr>
                <w:sz w:val="2"/>
                <w:szCs w:val="2"/>
                <w:color w:val="auto"/>
              </w:rPr>
            </w:pPr>
          </w:p>
        </w:tc>
        <w:tc>
          <w:tcPr>
            <w:tcW w:w="4680" w:type="dxa"/>
            <w:vAlign w:val="bottom"/>
            <w:tcBorders>
              <w:bottom w:val="single" w:sz="8" w:color="333333"/>
              <w:right w:val="single" w:sz="8" w:color="333333"/>
            </w:tcBorders>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Borders>
              <w:right w:val="single" w:sz="8" w:color="333333"/>
            </w:tcBorders>
            <w:gridSpan w:val="2"/>
            <w:vMerge w:val="continue"/>
          </w:tcPr>
          <w:p>
            <w:pPr>
              <w:spacing w:after="0"/>
              <w:rPr>
                <w:sz w:val="2"/>
                <w:szCs w:val="2"/>
                <w:color w:val="auto"/>
              </w:rPr>
            </w:pPr>
          </w:p>
        </w:tc>
        <w:tc>
          <w:tcPr>
            <w:tcW w:w="2520" w:type="dxa"/>
            <w:vAlign w:val="bottom"/>
            <w:tcBorders>
              <w:right w:val="single" w:sz="8" w:color="333333"/>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40" w:type="dxa"/>
            <w:vAlign w:val="bottom"/>
            <w:tcBorders>
              <w:left w:val="single" w:sz="8" w:color="333333"/>
              <w:right w:val="single" w:sz="8" w:color="333333"/>
            </w:tcBorders>
            <w:shd w:val="clear" w:color="auto" w:fill="EFF2EF"/>
          </w:tcPr>
          <w:p>
            <w:pPr>
              <w:spacing w:after="0"/>
              <w:rPr>
                <w:sz w:val="7"/>
                <w:szCs w:val="7"/>
                <w:color w:val="auto"/>
              </w:rPr>
            </w:pPr>
          </w:p>
        </w:tc>
        <w:tc>
          <w:tcPr>
            <w:tcW w:w="4680" w:type="dxa"/>
            <w:vAlign w:val="bottom"/>
            <w:tcBorders>
              <w:right w:val="single" w:sz="8" w:color="333333"/>
            </w:tcBorders>
            <w:vMerge w:val="restart"/>
          </w:tcPr>
          <w:p>
            <w:pPr>
              <w:jc w:val="center"/>
              <w:ind w:left="3"/>
              <w:spacing w:after="0" w:line="173" w:lineRule="exact"/>
              <w:rPr>
                <w:sz w:val="20"/>
                <w:szCs w:val="20"/>
                <w:color w:val="auto"/>
              </w:rPr>
            </w:pPr>
            <w:r>
              <w:rPr>
                <w:rFonts w:ascii="Calibri" w:cs="Calibri" w:eastAsia="Calibri" w:hAnsi="Calibri"/>
                <w:sz w:val="15"/>
                <w:szCs w:val="15"/>
                <w:b w:val="1"/>
                <w:bCs w:val="1"/>
                <w:color w:val="333333"/>
              </w:rPr>
              <w:t>Form of Payment as % of Total AIP</w:t>
            </w:r>
          </w:p>
        </w:tc>
        <w:tc>
          <w:tcPr>
            <w:tcW w:w="320" w:type="dxa"/>
            <w:vAlign w:val="bottom"/>
          </w:tcPr>
          <w:p>
            <w:pPr>
              <w:spacing w:after="0"/>
              <w:rPr>
                <w:sz w:val="7"/>
                <w:szCs w:val="7"/>
                <w:color w:val="auto"/>
              </w:rPr>
            </w:pPr>
          </w:p>
        </w:tc>
        <w:tc>
          <w:tcPr>
            <w:tcW w:w="1980" w:type="dxa"/>
            <w:vAlign w:val="bottom"/>
            <w:tcBorders>
              <w:right w:val="single" w:sz="8" w:color="333333"/>
            </w:tcBorders>
            <w:gridSpan w:val="2"/>
            <w:vMerge w:val="continue"/>
          </w:tcPr>
          <w:p>
            <w:pPr>
              <w:spacing w:after="0"/>
              <w:rPr>
                <w:sz w:val="7"/>
                <w:szCs w:val="7"/>
                <w:color w:val="auto"/>
              </w:rPr>
            </w:pPr>
          </w:p>
        </w:tc>
        <w:tc>
          <w:tcPr>
            <w:tcW w:w="2520" w:type="dxa"/>
            <w:vAlign w:val="bottom"/>
            <w:tcBorders>
              <w:right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40" w:type="dxa"/>
            <w:vAlign w:val="bottom"/>
            <w:tcBorders>
              <w:left w:val="single" w:sz="8" w:color="333333"/>
              <w:right w:val="single" w:sz="8" w:color="333333"/>
            </w:tcBorders>
            <w:shd w:val="clear" w:color="auto" w:fill="EFF2EF"/>
          </w:tcPr>
          <w:p>
            <w:pPr>
              <w:spacing w:after="0"/>
              <w:rPr>
                <w:sz w:val="7"/>
                <w:szCs w:val="7"/>
                <w:color w:val="auto"/>
              </w:rPr>
            </w:pPr>
          </w:p>
        </w:tc>
        <w:tc>
          <w:tcPr>
            <w:tcW w:w="4680" w:type="dxa"/>
            <w:vAlign w:val="bottom"/>
            <w:tcBorders>
              <w:right w:val="single" w:sz="8" w:color="333333"/>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tcBorders>
              <w:right w:val="single" w:sz="8" w:color="333333"/>
            </w:tcBorders>
          </w:tcPr>
          <w:p>
            <w:pPr>
              <w:spacing w:after="0"/>
              <w:rPr>
                <w:sz w:val="7"/>
                <w:szCs w:val="7"/>
                <w:color w:val="auto"/>
              </w:rPr>
            </w:pPr>
          </w:p>
        </w:tc>
        <w:tc>
          <w:tcPr>
            <w:tcW w:w="2520" w:type="dxa"/>
            <w:vAlign w:val="bottom"/>
            <w:tcBorders>
              <w:right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1440" w:type="dxa"/>
            <w:vAlign w:val="bottom"/>
            <w:tcBorders>
              <w:left w:val="single" w:sz="8" w:color="333333"/>
              <w:right w:val="single" w:sz="8" w:color="333333"/>
            </w:tcBorders>
            <w:shd w:val="clear" w:color="auto" w:fill="EFF2EF"/>
          </w:tcPr>
          <w:p>
            <w:pPr>
              <w:spacing w:after="0"/>
              <w:rPr>
                <w:sz w:val="24"/>
                <w:szCs w:val="24"/>
                <w:color w:val="auto"/>
              </w:rPr>
            </w:pPr>
          </w:p>
        </w:tc>
        <w:tc>
          <w:tcPr>
            <w:tcW w:w="4680" w:type="dxa"/>
            <w:vAlign w:val="bottom"/>
            <w:tcBorders>
              <w:right w:val="single" w:sz="8" w:color="333333"/>
            </w:tcBorders>
          </w:tcPr>
          <w:p>
            <w:pPr>
              <w:jc w:val="center"/>
              <w:ind w:left="3"/>
              <w:spacing w:after="0"/>
              <w:rPr>
                <w:sz w:val="20"/>
                <w:szCs w:val="20"/>
                <w:color w:val="auto"/>
              </w:rPr>
            </w:pPr>
            <w:r>
              <w:rPr>
                <w:rFonts w:ascii="Calibri" w:cs="Calibri" w:eastAsia="Calibri" w:hAnsi="Calibri"/>
                <w:sz w:val="15"/>
                <w:szCs w:val="15"/>
                <w:color w:val="333333"/>
                <w:w w:val="98"/>
              </w:rPr>
              <w:t>Cash – 75%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Borders>
              <w:right w:val="single" w:sz="8" w:color="333333"/>
            </w:tcBorders>
          </w:tcPr>
          <w:p>
            <w:pPr>
              <w:spacing w:after="0"/>
              <w:rPr>
                <w:sz w:val="24"/>
                <w:szCs w:val="24"/>
                <w:color w:val="auto"/>
              </w:rPr>
            </w:pPr>
          </w:p>
        </w:tc>
        <w:tc>
          <w:tcPr>
            <w:tcW w:w="2520" w:type="dxa"/>
            <w:vAlign w:val="bottom"/>
            <w:tcBorders>
              <w:right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4680" w:type="dxa"/>
            <w:vAlign w:val="bottom"/>
            <w:tcBorders>
              <w:right w:val="single" w:sz="8" w:color="333333"/>
            </w:tcBorders>
          </w:tcPr>
          <w:p>
            <w:pPr>
              <w:jc w:val="center"/>
              <w:spacing w:after="0"/>
              <w:rPr>
                <w:sz w:val="20"/>
                <w:szCs w:val="20"/>
                <w:color w:val="auto"/>
              </w:rPr>
            </w:pPr>
            <w:r>
              <w:rPr>
                <w:rFonts w:ascii="Calibri" w:cs="Calibri" w:eastAsia="Calibri" w:hAnsi="Calibri"/>
                <w:sz w:val="15"/>
                <w:szCs w:val="15"/>
                <w:color w:val="333333"/>
              </w:rPr>
              <w:t>RSAs – 25%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Borders>
              <w:right w:val="single" w:sz="8" w:color="333333"/>
            </w:tcBorders>
          </w:tcPr>
          <w:p>
            <w:pPr>
              <w:spacing w:after="0"/>
              <w:rPr>
                <w:sz w:val="16"/>
                <w:szCs w:val="16"/>
                <w:color w:val="auto"/>
              </w:rPr>
            </w:pPr>
          </w:p>
        </w:tc>
        <w:tc>
          <w:tcPr>
            <w:tcW w:w="252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40" w:type="dxa"/>
            <w:vAlign w:val="bottom"/>
            <w:tcBorders>
              <w:left w:val="single" w:sz="8" w:color="333333"/>
              <w:bottom w:val="single" w:sz="8" w:color="333333"/>
              <w:right w:val="single" w:sz="8" w:color="333333"/>
            </w:tcBorders>
            <w:shd w:val="clear" w:color="auto" w:fill="EFF2EF"/>
          </w:tcPr>
          <w:p>
            <w:pPr>
              <w:spacing w:after="0"/>
              <w:rPr>
                <w:sz w:val="18"/>
                <w:szCs w:val="18"/>
                <w:color w:val="auto"/>
              </w:rPr>
            </w:pPr>
          </w:p>
        </w:tc>
        <w:tc>
          <w:tcPr>
            <w:tcW w:w="4680" w:type="dxa"/>
            <w:vAlign w:val="bottom"/>
            <w:tcBorders>
              <w:bottom w:val="single" w:sz="8" w:color="333333"/>
              <w:right w:val="single" w:sz="8" w:color="333333"/>
            </w:tcBorders>
          </w:tcPr>
          <w:p>
            <w:pPr>
              <w:spacing w:after="0"/>
              <w:rPr>
                <w:sz w:val="18"/>
                <w:szCs w:val="18"/>
                <w:color w:val="auto"/>
              </w:rPr>
            </w:pPr>
          </w:p>
        </w:tc>
        <w:tc>
          <w:tcPr>
            <w:tcW w:w="400" w:type="dxa"/>
            <w:vAlign w:val="bottom"/>
            <w:tcBorders>
              <w:bottom w:val="single" w:sz="8" w:color="333333"/>
            </w:tcBorders>
            <w:gridSpan w:val="2"/>
          </w:tcPr>
          <w:p>
            <w:pPr>
              <w:spacing w:after="0"/>
              <w:rPr>
                <w:sz w:val="18"/>
                <w:szCs w:val="18"/>
                <w:color w:val="auto"/>
              </w:rPr>
            </w:pPr>
          </w:p>
        </w:tc>
        <w:tc>
          <w:tcPr>
            <w:tcW w:w="1900" w:type="dxa"/>
            <w:vAlign w:val="bottom"/>
            <w:tcBorders>
              <w:bottom w:val="single" w:sz="8" w:color="333333"/>
              <w:right w:val="single" w:sz="8" w:color="333333"/>
            </w:tcBorders>
          </w:tcPr>
          <w:p>
            <w:pPr>
              <w:spacing w:after="0"/>
              <w:rPr>
                <w:sz w:val="18"/>
                <w:szCs w:val="18"/>
                <w:color w:val="auto"/>
              </w:rPr>
            </w:pPr>
          </w:p>
        </w:tc>
        <w:tc>
          <w:tcPr>
            <w:tcW w:w="2520" w:type="dxa"/>
            <w:vAlign w:val="bottom"/>
            <w:tcBorders>
              <w:bottom w:val="single" w:sz="8" w:color="333333"/>
              <w:right w:val="single" w:sz="8" w:color="333333"/>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tcBorders>
          </w:tcPr>
          <w:p>
            <w:pPr>
              <w:spacing w:after="0"/>
              <w:rPr>
                <w:sz w:val="13"/>
                <w:szCs w:val="13"/>
                <w:color w:val="auto"/>
              </w:rPr>
            </w:pPr>
          </w:p>
        </w:tc>
        <w:tc>
          <w:tcPr>
            <w:tcW w:w="4680" w:type="dxa"/>
            <w:vAlign w:val="bottom"/>
          </w:tcPr>
          <w:p>
            <w:pPr>
              <w:ind w:left="3100"/>
              <w:spacing w:after="0" w:line="158" w:lineRule="exact"/>
              <w:rPr>
                <w:sz w:val="20"/>
                <w:szCs w:val="20"/>
                <w:color w:val="auto"/>
              </w:rPr>
            </w:pPr>
            <w:r>
              <w:rPr>
                <w:rFonts w:ascii="Calibri" w:cs="Calibri" w:eastAsia="Calibri" w:hAnsi="Calibri"/>
                <w:sz w:val="15"/>
                <w:szCs w:val="15"/>
                <w:b w:val="1"/>
                <w:bCs w:val="1"/>
                <w:color w:val="333333"/>
                <w:w w:val="97"/>
              </w:rPr>
              <w:t>Total LTIP Opportunity at</w:t>
            </w:r>
          </w:p>
        </w:tc>
        <w:tc>
          <w:tcPr>
            <w:tcW w:w="400" w:type="dxa"/>
            <w:vAlign w:val="bottom"/>
            <w:gridSpan w:val="2"/>
          </w:tcPr>
          <w:p>
            <w:pPr>
              <w:spacing w:after="0" w:line="158" w:lineRule="exact"/>
              <w:rPr>
                <w:sz w:val="20"/>
                <w:szCs w:val="20"/>
                <w:color w:val="auto"/>
              </w:rPr>
            </w:pPr>
            <w:r>
              <w:rPr>
                <w:rFonts w:ascii="Calibri" w:cs="Calibri" w:eastAsia="Calibri" w:hAnsi="Calibri"/>
                <w:sz w:val="15"/>
                <w:szCs w:val="15"/>
                <w:b w:val="1"/>
                <w:bCs w:val="1"/>
                <w:color w:val="333333"/>
                <w:w w:val="94"/>
              </w:rPr>
              <w:t>Target</w:t>
            </w:r>
          </w:p>
        </w:tc>
        <w:tc>
          <w:tcPr>
            <w:tcW w:w="1900" w:type="dxa"/>
            <w:vAlign w:val="bottom"/>
          </w:tcPr>
          <w:p>
            <w:pPr>
              <w:spacing w:after="0"/>
              <w:rPr>
                <w:sz w:val="13"/>
                <w:szCs w:val="13"/>
                <w:color w:val="auto"/>
              </w:rPr>
            </w:pPr>
          </w:p>
        </w:tc>
        <w:tc>
          <w:tcPr>
            <w:tcW w:w="2520" w:type="dxa"/>
            <w:vAlign w:val="bottom"/>
            <w:tcBorders>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tcBorders>
          </w:tcPr>
          <w:p>
            <w:pPr>
              <w:spacing w:after="0"/>
              <w:rPr>
                <w:sz w:val="15"/>
                <w:szCs w:val="15"/>
                <w:color w:val="auto"/>
              </w:rPr>
            </w:pPr>
          </w:p>
        </w:tc>
        <w:tc>
          <w:tcPr>
            <w:tcW w:w="5000" w:type="dxa"/>
            <w:vAlign w:val="bottom"/>
            <w:gridSpan w:val="2"/>
          </w:tcPr>
          <w:p>
            <w:pPr>
              <w:jc w:val="center"/>
              <w:ind w:left="3083"/>
              <w:spacing w:after="0" w:line="180" w:lineRule="exact"/>
              <w:rPr>
                <w:sz w:val="20"/>
                <w:szCs w:val="20"/>
                <w:color w:val="auto"/>
              </w:rPr>
            </w:pPr>
            <w:r>
              <w:rPr>
                <w:rFonts w:ascii="Calibri" w:cs="Calibri" w:eastAsia="Calibri" w:hAnsi="Calibri"/>
                <w:sz w:val="15"/>
                <w:szCs w:val="15"/>
                <w:color w:val="333333"/>
              </w:rPr>
              <w:t>$7,000,000 (7.0x Base Salary)</w:t>
            </w: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2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333333"/>
              <w:bottom w:val="single" w:sz="8" w:color="333333"/>
            </w:tcBorders>
          </w:tcPr>
          <w:p>
            <w:pPr>
              <w:spacing w:after="0"/>
              <w:rPr>
                <w:sz w:val="13"/>
                <w:szCs w:val="13"/>
                <w:color w:val="auto"/>
              </w:rPr>
            </w:pPr>
          </w:p>
        </w:tc>
        <w:tc>
          <w:tcPr>
            <w:tcW w:w="6980" w:type="dxa"/>
            <w:vAlign w:val="bottom"/>
            <w:tcBorders>
              <w:bottom w:val="single" w:sz="8" w:color="333333"/>
            </w:tcBorders>
            <w:gridSpan w:val="4"/>
          </w:tcPr>
          <w:p>
            <w:pPr>
              <w:spacing w:after="0"/>
              <w:rPr>
                <w:sz w:val="13"/>
                <w:szCs w:val="13"/>
                <w:color w:val="auto"/>
              </w:rPr>
            </w:pPr>
          </w:p>
        </w:tc>
        <w:tc>
          <w:tcPr>
            <w:tcW w:w="2520" w:type="dxa"/>
            <w:vAlign w:val="bottom"/>
            <w:tcBorders>
              <w:bottom w:val="single" w:sz="8" w:color="333333"/>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6980" w:type="dxa"/>
            <w:vAlign w:val="bottom"/>
            <w:gridSpan w:val="4"/>
          </w:tcPr>
          <w:p>
            <w:pPr>
              <w:jc w:val="center"/>
              <w:ind w:left="2483"/>
              <w:spacing w:after="0" w:line="173" w:lineRule="exact"/>
              <w:rPr>
                <w:sz w:val="20"/>
                <w:szCs w:val="20"/>
                <w:color w:val="auto"/>
              </w:rPr>
            </w:pPr>
            <w:r>
              <w:rPr>
                <w:rFonts w:ascii="Calibri" w:cs="Calibri" w:eastAsia="Calibri" w:hAnsi="Calibri"/>
                <w:sz w:val="15"/>
                <w:szCs w:val="15"/>
                <w:b w:val="1"/>
                <w:bCs w:val="1"/>
                <w:color w:val="333333"/>
              </w:rPr>
              <w:t>Time-Based RSUs</w:t>
            </w:r>
          </w:p>
        </w:tc>
        <w:tc>
          <w:tcPr>
            <w:tcW w:w="252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333333"/>
              <w:bottom w:val="single" w:sz="8" w:color="EFF2EF"/>
              <w:right w:val="single" w:sz="8" w:color="333333"/>
            </w:tcBorders>
            <w:shd w:val="clear" w:color="auto" w:fill="EFF2EF"/>
          </w:tcPr>
          <w:p>
            <w:pPr>
              <w:spacing w:after="0"/>
              <w:rPr>
                <w:sz w:val="9"/>
                <w:szCs w:val="9"/>
                <w:color w:val="auto"/>
              </w:rPr>
            </w:pPr>
          </w:p>
        </w:tc>
        <w:tc>
          <w:tcPr>
            <w:tcW w:w="4680" w:type="dxa"/>
            <w:vAlign w:val="bottom"/>
            <w:tcBorders>
              <w:bottom w:val="single" w:sz="8" w:color="333333"/>
            </w:tcBorders>
          </w:tcPr>
          <w:p>
            <w:pPr>
              <w:spacing w:after="0"/>
              <w:rPr>
                <w:sz w:val="9"/>
                <w:szCs w:val="9"/>
                <w:color w:val="auto"/>
              </w:rPr>
            </w:pPr>
          </w:p>
        </w:tc>
        <w:tc>
          <w:tcPr>
            <w:tcW w:w="320" w:type="dxa"/>
            <w:vAlign w:val="bottom"/>
            <w:tcBorders>
              <w:bottom w:val="single" w:sz="8" w:color="333333"/>
            </w:tcBorders>
          </w:tcPr>
          <w:p>
            <w:pPr>
              <w:spacing w:after="0"/>
              <w:rPr>
                <w:sz w:val="9"/>
                <w:szCs w:val="9"/>
                <w:color w:val="auto"/>
              </w:rPr>
            </w:pPr>
          </w:p>
        </w:tc>
        <w:tc>
          <w:tcPr>
            <w:tcW w:w="80" w:type="dxa"/>
            <w:vAlign w:val="bottom"/>
            <w:tcBorders>
              <w:bottom w:val="single" w:sz="8" w:color="333333"/>
            </w:tcBorders>
          </w:tcPr>
          <w:p>
            <w:pPr>
              <w:spacing w:after="0"/>
              <w:rPr>
                <w:sz w:val="9"/>
                <w:szCs w:val="9"/>
                <w:color w:val="auto"/>
              </w:rPr>
            </w:pPr>
          </w:p>
        </w:tc>
        <w:tc>
          <w:tcPr>
            <w:tcW w:w="1900" w:type="dxa"/>
            <w:vAlign w:val="bottom"/>
            <w:tcBorders>
              <w:bottom w:val="single" w:sz="8" w:color="333333"/>
            </w:tcBorders>
          </w:tcPr>
          <w:p>
            <w:pPr>
              <w:spacing w:after="0"/>
              <w:rPr>
                <w:sz w:val="9"/>
                <w:szCs w:val="9"/>
                <w:color w:val="auto"/>
              </w:rPr>
            </w:pPr>
          </w:p>
        </w:tc>
        <w:tc>
          <w:tcPr>
            <w:tcW w:w="2520" w:type="dxa"/>
            <w:vAlign w:val="bottom"/>
            <w:tcBorders>
              <w:bottom w:val="single" w:sz="8" w:color="333333"/>
              <w:right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4680" w:type="dxa"/>
            <w:vAlign w:val="bottom"/>
            <w:tcBorders>
              <w:right w:val="single" w:sz="8" w:color="333333"/>
            </w:tcBorders>
          </w:tcPr>
          <w:p>
            <w:pPr>
              <w:jc w:val="center"/>
              <w:ind w:left="3"/>
              <w:spacing w:after="0" w:line="158" w:lineRule="exact"/>
              <w:rPr>
                <w:sz w:val="20"/>
                <w:szCs w:val="20"/>
                <w:color w:val="auto"/>
              </w:rPr>
            </w:pPr>
            <w:r>
              <w:rPr>
                <w:rFonts w:ascii="Calibri" w:cs="Calibri" w:eastAsia="Calibri" w:hAnsi="Calibri"/>
                <w:sz w:val="15"/>
                <w:szCs w:val="15"/>
                <w:b w:val="1"/>
                <w:bCs w:val="1"/>
                <w:color w:val="333333"/>
                <w:w w:val="99"/>
              </w:rPr>
              <w:t>Time-Based RSU Opportunity as % of Total LTIP Opportunity at Target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right w:val="single" w:sz="8" w:color="333333"/>
            </w:tcBorders>
          </w:tcPr>
          <w:p>
            <w:pPr>
              <w:jc w:val="center"/>
              <w:ind w:right="140"/>
              <w:spacing w:after="0" w:line="158" w:lineRule="exact"/>
              <w:rPr>
                <w:sz w:val="20"/>
                <w:szCs w:val="20"/>
                <w:color w:val="auto"/>
              </w:rPr>
            </w:pPr>
            <w:r>
              <w:rPr>
                <w:rFonts w:ascii="Calibri" w:cs="Calibri" w:eastAsia="Calibri" w:hAnsi="Calibri"/>
                <w:sz w:val="15"/>
                <w:szCs w:val="15"/>
                <w:b w:val="1"/>
                <w:bCs w:val="1"/>
                <w:color w:val="333333"/>
                <w:w w:val="94"/>
              </w:rPr>
              <w:t>N/A</w:t>
            </w:r>
          </w:p>
        </w:tc>
        <w:tc>
          <w:tcPr>
            <w:tcW w:w="2520" w:type="dxa"/>
            <w:vAlign w:val="bottom"/>
            <w:tcBorders>
              <w:right w:val="single" w:sz="8" w:color="333333"/>
            </w:tcBorders>
          </w:tcPr>
          <w:p>
            <w:pPr>
              <w:jc w:val="center"/>
              <w:ind w:left="79"/>
              <w:spacing w:after="0" w:line="158" w:lineRule="exact"/>
              <w:rPr>
                <w:sz w:val="20"/>
                <w:szCs w:val="20"/>
                <w:color w:val="auto"/>
              </w:rPr>
            </w:pPr>
            <w:r>
              <w:rPr>
                <w:rFonts w:ascii="Calibri" w:cs="Calibri" w:eastAsia="Calibri" w:hAnsi="Calibri"/>
                <w:sz w:val="15"/>
                <w:szCs w:val="15"/>
                <w:b w:val="1"/>
                <w:bCs w:val="1"/>
                <w:color w:val="333333"/>
                <w:w w:val="99"/>
              </w:rPr>
              <w:t>Three-Year Pro Rata</w:t>
            </w: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4680" w:type="dxa"/>
            <w:vAlign w:val="bottom"/>
            <w:tcBorders>
              <w:right w:val="single" w:sz="8" w:color="333333"/>
            </w:tcBorders>
            <w:vMerge w:val="restart"/>
          </w:tcPr>
          <w:p>
            <w:pPr>
              <w:jc w:val="right"/>
              <w:ind w:right="1583"/>
              <w:spacing w:after="0"/>
              <w:rPr>
                <w:sz w:val="20"/>
                <w:szCs w:val="20"/>
                <w:color w:val="auto"/>
              </w:rPr>
            </w:pPr>
            <w:r>
              <w:rPr>
                <w:rFonts w:ascii="Calibri" w:cs="Calibri" w:eastAsia="Calibri" w:hAnsi="Calibri"/>
                <w:sz w:val="15"/>
                <w:szCs w:val="15"/>
                <w:color w:val="333333"/>
              </w:rPr>
              <w:t>33.33% ($2,333,333)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right w:val="single" w:sz="8" w:color="333333"/>
            </w:tcBorders>
          </w:tcPr>
          <w:p>
            <w:pPr>
              <w:spacing w:after="0"/>
              <w:rPr>
                <w:sz w:val="15"/>
                <w:szCs w:val="15"/>
                <w:color w:val="auto"/>
              </w:rPr>
            </w:pPr>
          </w:p>
        </w:tc>
        <w:tc>
          <w:tcPr>
            <w:tcW w:w="2520" w:type="dxa"/>
            <w:vAlign w:val="bottom"/>
            <w:tcBorders>
              <w:right w:val="single" w:sz="8" w:color="333333"/>
            </w:tcBorders>
          </w:tcPr>
          <w:p>
            <w:pPr>
              <w:jc w:val="center"/>
              <w:ind w:left="99"/>
              <w:spacing w:after="0" w:line="180" w:lineRule="exact"/>
              <w:rPr>
                <w:sz w:val="20"/>
                <w:szCs w:val="20"/>
                <w:color w:val="auto"/>
              </w:rPr>
            </w:pPr>
            <w:r>
              <w:rPr>
                <w:rFonts w:ascii="Calibri" w:cs="Calibri" w:eastAsia="Calibri" w:hAnsi="Calibri"/>
                <w:sz w:val="15"/>
                <w:szCs w:val="15"/>
                <w:b w:val="1"/>
                <w:bCs w:val="1"/>
                <w:color w:val="333333"/>
              </w:rPr>
              <w:t>Vestng Period</w:t>
            </w:r>
          </w:p>
        </w:tc>
        <w:tc>
          <w:tcPr>
            <w:tcW w:w="0" w:type="dxa"/>
            <w:vAlign w:val="bottom"/>
          </w:tcPr>
          <w:p>
            <w:pPr>
              <w:spacing w:after="0"/>
              <w:rPr>
                <w:sz w:val="1"/>
                <w:szCs w:val="1"/>
                <w:color w:val="auto"/>
              </w:rPr>
            </w:pPr>
          </w:p>
        </w:tc>
      </w:tr>
      <w:tr>
        <w:trPr>
          <w:trHeight w:val="134"/>
        </w:trPr>
        <w:tc>
          <w:tcPr>
            <w:tcW w:w="1440" w:type="dxa"/>
            <w:vAlign w:val="bottom"/>
            <w:tcBorders>
              <w:left w:val="single" w:sz="8" w:color="333333"/>
              <w:right w:val="single" w:sz="8" w:color="333333"/>
            </w:tcBorders>
            <w:shd w:val="clear" w:color="auto" w:fill="EFF2EF"/>
          </w:tcPr>
          <w:p>
            <w:pPr>
              <w:spacing w:after="0"/>
              <w:rPr>
                <w:sz w:val="11"/>
                <w:szCs w:val="11"/>
                <w:color w:val="auto"/>
              </w:rPr>
            </w:pPr>
          </w:p>
        </w:tc>
        <w:tc>
          <w:tcPr>
            <w:tcW w:w="4680" w:type="dxa"/>
            <w:vAlign w:val="bottom"/>
            <w:tcBorders>
              <w:right w:val="single" w:sz="8" w:color="333333"/>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right w:val="single" w:sz="8" w:color="333333"/>
            </w:tcBorders>
          </w:tcPr>
          <w:p>
            <w:pPr>
              <w:spacing w:after="0"/>
              <w:rPr>
                <w:sz w:val="11"/>
                <w:szCs w:val="11"/>
                <w:color w:val="auto"/>
              </w:rPr>
            </w:pPr>
          </w:p>
        </w:tc>
        <w:tc>
          <w:tcPr>
            <w:tcW w:w="2520" w:type="dxa"/>
            <w:vAlign w:val="bottom"/>
            <w:tcBorders>
              <w:right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440" w:type="dxa"/>
            <w:vAlign w:val="bottom"/>
            <w:tcBorders>
              <w:left w:val="single" w:sz="8" w:color="333333"/>
              <w:bottom w:val="single" w:sz="8" w:color="EFF2EF"/>
              <w:right w:val="single" w:sz="8" w:color="333333"/>
            </w:tcBorders>
            <w:shd w:val="clear" w:color="auto" w:fill="EFF2EF"/>
          </w:tcPr>
          <w:p>
            <w:pPr>
              <w:spacing w:after="0"/>
              <w:rPr>
                <w:sz w:val="18"/>
                <w:szCs w:val="18"/>
                <w:color w:val="auto"/>
              </w:rPr>
            </w:pPr>
          </w:p>
        </w:tc>
        <w:tc>
          <w:tcPr>
            <w:tcW w:w="4680" w:type="dxa"/>
            <w:vAlign w:val="bottom"/>
            <w:tcBorders>
              <w:bottom w:val="single" w:sz="8" w:color="333333"/>
              <w:right w:val="single" w:sz="8" w:color="333333"/>
            </w:tcBorders>
          </w:tcPr>
          <w:p>
            <w:pPr>
              <w:spacing w:after="0"/>
              <w:rPr>
                <w:sz w:val="18"/>
                <w:szCs w:val="18"/>
                <w:color w:val="auto"/>
              </w:rPr>
            </w:pPr>
          </w:p>
        </w:tc>
        <w:tc>
          <w:tcPr>
            <w:tcW w:w="2300" w:type="dxa"/>
            <w:vAlign w:val="bottom"/>
            <w:tcBorders>
              <w:bottom w:val="single" w:sz="8" w:color="333333"/>
              <w:right w:val="single" w:sz="8" w:color="333333"/>
            </w:tcBorders>
            <w:gridSpan w:val="3"/>
          </w:tcPr>
          <w:p>
            <w:pPr>
              <w:spacing w:after="0"/>
              <w:rPr>
                <w:sz w:val="18"/>
                <w:szCs w:val="18"/>
                <w:color w:val="auto"/>
              </w:rPr>
            </w:pPr>
          </w:p>
        </w:tc>
        <w:tc>
          <w:tcPr>
            <w:tcW w:w="2520" w:type="dxa"/>
            <w:vAlign w:val="bottom"/>
            <w:tcBorders>
              <w:bottom w:val="single" w:sz="8" w:color="333333"/>
              <w:right w:val="single" w:sz="8" w:color="333333"/>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6980" w:type="dxa"/>
            <w:vAlign w:val="bottom"/>
            <w:gridSpan w:val="4"/>
          </w:tcPr>
          <w:p>
            <w:pPr>
              <w:jc w:val="center"/>
              <w:ind w:left="2483"/>
              <w:spacing w:after="0" w:line="173" w:lineRule="exact"/>
              <w:rPr>
                <w:sz w:val="20"/>
                <w:szCs w:val="20"/>
                <w:color w:val="auto"/>
              </w:rPr>
            </w:pPr>
            <w:r>
              <w:rPr>
                <w:rFonts w:ascii="Calibri" w:cs="Calibri" w:eastAsia="Calibri" w:hAnsi="Calibri"/>
                <w:sz w:val="15"/>
                <w:szCs w:val="15"/>
                <w:b w:val="1"/>
                <w:bCs w:val="1"/>
                <w:color w:val="333333"/>
                <w:w w:val="98"/>
              </w:rPr>
              <w:t>Performance RSUs</w:t>
            </w:r>
          </w:p>
        </w:tc>
        <w:tc>
          <w:tcPr>
            <w:tcW w:w="252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333333"/>
              <w:bottom w:val="single" w:sz="8" w:color="EFF2EF"/>
              <w:right w:val="single" w:sz="8" w:color="333333"/>
            </w:tcBorders>
            <w:shd w:val="clear" w:color="auto" w:fill="EFF2EF"/>
          </w:tcPr>
          <w:p>
            <w:pPr>
              <w:spacing w:after="0"/>
              <w:rPr>
                <w:sz w:val="9"/>
                <w:szCs w:val="9"/>
                <w:color w:val="auto"/>
              </w:rPr>
            </w:pPr>
          </w:p>
        </w:tc>
        <w:tc>
          <w:tcPr>
            <w:tcW w:w="4680" w:type="dxa"/>
            <w:vAlign w:val="bottom"/>
            <w:tcBorders>
              <w:bottom w:val="single" w:sz="8" w:color="333333"/>
            </w:tcBorders>
          </w:tcPr>
          <w:p>
            <w:pPr>
              <w:spacing w:after="0"/>
              <w:rPr>
                <w:sz w:val="9"/>
                <w:szCs w:val="9"/>
                <w:color w:val="auto"/>
              </w:rPr>
            </w:pPr>
          </w:p>
        </w:tc>
        <w:tc>
          <w:tcPr>
            <w:tcW w:w="320" w:type="dxa"/>
            <w:vAlign w:val="bottom"/>
            <w:tcBorders>
              <w:bottom w:val="single" w:sz="8" w:color="333333"/>
            </w:tcBorders>
          </w:tcPr>
          <w:p>
            <w:pPr>
              <w:spacing w:after="0"/>
              <w:rPr>
                <w:sz w:val="9"/>
                <w:szCs w:val="9"/>
                <w:color w:val="auto"/>
              </w:rPr>
            </w:pPr>
          </w:p>
        </w:tc>
        <w:tc>
          <w:tcPr>
            <w:tcW w:w="80" w:type="dxa"/>
            <w:vAlign w:val="bottom"/>
            <w:tcBorders>
              <w:bottom w:val="single" w:sz="8" w:color="333333"/>
            </w:tcBorders>
          </w:tcPr>
          <w:p>
            <w:pPr>
              <w:spacing w:after="0"/>
              <w:rPr>
                <w:sz w:val="9"/>
                <w:szCs w:val="9"/>
                <w:color w:val="auto"/>
              </w:rPr>
            </w:pPr>
          </w:p>
        </w:tc>
        <w:tc>
          <w:tcPr>
            <w:tcW w:w="1900" w:type="dxa"/>
            <w:vAlign w:val="bottom"/>
            <w:tcBorders>
              <w:bottom w:val="single" w:sz="8" w:color="333333"/>
            </w:tcBorders>
          </w:tcPr>
          <w:p>
            <w:pPr>
              <w:spacing w:after="0"/>
              <w:rPr>
                <w:sz w:val="9"/>
                <w:szCs w:val="9"/>
                <w:color w:val="auto"/>
              </w:rPr>
            </w:pPr>
          </w:p>
        </w:tc>
        <w:tc>
          <w:tcPr>
            <w:tcW w:w="2520" w:type="dxa"/>
            <w:vAlign w:val="bottom"/>
            <w:tcBorders>
              <w:bottom w:val="single" w:sz="8" w:color="333333"/>
              <w:right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4680" w:type="dxa"/>
            <w:vAlign w:val="bottom"/>
            <w:tcBorders>
              <w:right w:val="single" w:sz="8" w:color="333333"/>
            </w:tcBorders>
          </w:tcPr>
          <w:p>
            <w:pPr>
              <w:jc w:val="center"/>
              <w:ind w:left="3"/>
              <w:spacing w:after="0" w:line="158" w:lineRule="exact"/>
              <w:rPr>
                <w:sz w:val="20"/>
                <w:szCs w:val="20"/>
                <w:color w:val="auto"/>
              </w:rPr>
            </w:pPr>
            <w:r>
              <w:rPr>
                <w:rFonts w:ascii="Calibri" w:cs="Calibri" w:eastAsia="Calibri" w:hAnsi="Calibri"/>
                <w:sz w:val="15"/>
                <w:szCs w:val="15"/>
                <w:b w:val="1"/>
                <w:bCs w:val="1"/>
                <w:color w:val="333333"/>
                <w:w w:val="99"/>
              </w:rPr>
              <w:t>Performance RSU Opportunity as % of Total LTIP Opportunity at Target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right w:val="single" w:sz="8" w:color="333333"/>
            </w:tcBorders>
          </w:tcPr>
          <w:p>
            <w:pPr>
              <w:jc w:val="center"/>
              <w:ind w:right="140"/>
              <w:spacing w:after="0" w:line="158" w:lineRule="exact"/>
              <w:rPr>
                <w:sz w:val="20"/>
                <w:szCs w:val="20"/>
                <w:color w:val="auto"/>
              </w:rPr>
            </w:pPr>
            <w:r>
              <w:rPr>
                <w:rFonts w:ascii="Calibri" w:cs="Calibri" w:eastAsia="Calibri" w:hAnsi="Calibri"/>
                <w:sz w:val="15"/>
                <w:szCs w:val="15"/>
                <w:b w:val="1"/>
                <w:bCs w:val="1"/>
                <w:color w:val="333333"/>
              </w:rPr>
              <w:t>Company Relatve TSR</w:t>
            </w:r>
          </w:p>
        </w:tc>
        <w:tc>
          <w:tcPr>
            <w:tcW w:w="2520" w:type="dxa"/>
            <w:vAlign w:val="bottom"/>
            <w:tcBorders>
              <w:right w:val="single" w:sz="8" w:color="333333"/>
            </w:tcBorders>
          </w:tcPr>
          <w:p>
            <w:pPr>
              <w:jc w:val="center"/>
              <w:ind w:left="79"/>
              <w:spacing w:after="0" w:line="158" w:lineRule="exact"/>
              <w:rPr>
                <w:sz w:val="20"/>
                <w:szCs w:val="20"/>
                <w:color w:val="auto"/>
              </w:rPr>
            </w:pPr>
            <w:r>
              <w:rPr>
                <w:rFonts w:ascii="Calibri" w:cs="Calibri" w:eastAsia="Calibri" w:hAnsi="Calibri"/>
                <w:sz w:val="15"/>
                <w:szCs w:val="15"/>
                <w:b w:val="1"/>
                <w:bCs w:val="1"/>
                <w:color w:val="333333"/>
                <w:w w:val="99"/>
              </w:rPr>
              <w:t>Three-Year</w:t>
            </w: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vMerge w:val="restart"/>
            <w:shd w:val="clear" w:color="auto" w:fill="EFF2EF"/>
          </w:tcPr>
          <w:p>
            <w:pPr>
              <w:jc w:val="center"/>
              <w:ind w:left="58"/>
              <w:spacing w:after="0"/>
              <w:rPr>
                <w:sz w:val="20"/>
                <w:szCs w:val="20"/>
                <w:color w:val="auto"/>
              </w:rPr>
            </w:pPr>
            <w:r>
              <w:rPr>
                <w:rFonts w:ascii="Calibri" w:cs="Calibri" w:eastAsia="Calibri" w:hAnsi="Calibri"/>
                <w:sz w:val="15"/>
                <w:szCs w:val="15"/>
                <w:b w:val="1"/>
                <w:bCs w:val="1"/>
                <w:color w:val="333333"/>
              </w:rPr>
              <w:t>LTIP</w:t>
            </w:r>
          </w:p>
        </w:tc>
        <w:tc>
          <w:tcPr>
            <w:tcW w:w="4680" w:type="dxa"/>
            <w:vAlign w:val="bottom"/>
            <w:tcBorders>
              <w:right w:val="single" w:sz="8" w:color="333333"/>
            </w:tcBorders>
            <w:vMerge w:val="restart"/>
          </w:tcPr>
          <w:p>
            <w:pPr>
              <w:jc w:val="center"/>
              <w:ind w:left="3"/>
              <w:spacing w:after="0"/>
              <w:rPr>
                <w:sz w:val="20"/>
                <w:szCs w:val="20"/>
                <w:color w:val="auto"/>
              </w:rPr>
            </w:pPr>
            <w:r>
              <w:rPr>
                <w:rFonts w:ascii="Calibri" w:cs="Calibri" w:eastAsia="Calibri" w:hAnsi="Calibri"/>
                <w:sz w:val="15"/>
                <w:szCs w:val="15"/>
                <w:color w:val="333333"/>
              </w:rPr>
              <w:t>66.67% ($4,666,667) (“CEO Performance RSU Target”)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right w:val="single" w:sz="8" w:color="333333"/>
            </w:tcBorders>
          </w:tcPr>
          <w:p>
            <w:pPr>
              <w:spacing w:after="0"/>
              <w:rPr>
                <w:sz w:val="15"/>
                <w:szCs w:val="15"/>
                <w:color w:val="auto"/>
              </w:rPr>
            </w:pPr>
          </w:p>
        </w:tc>
        <w:tc>
          <w:tcPr>
            <w:tcW w:w="2520" w:type="dxa"/>
            <w:vAlign w:val="bottom"/>
            <w:tcBorders>
              <w:right w:val="single" w:sz="8" w:color="333333"/>
            </w:tcBorders>
          </w:tcPr>
          <w:p>
            <w:pPr>
              <w:jc w:val="center"/>
              <w:ind w:left="79"/>
              <w:spacing w:after="0" w:line="180" w:lineRule="exact"/>
              <w:rPr>
                <w:sz w:val="20"/>
                <w:szCs w:val="20"/>
                <w:color w:val="auto"/>
              </w:rPr>
            </w:pPr>
            <w:r>
              <w:rPr>
                <w:rFonts w:ascii="Calibri" w:cs="Calibri" w:eastAsia="Calibri" w:hAnsi="Calibri"/>
                <w:sz w:val="15"/>
                <w:szCs w:val="15"/>
                <w:b w:val="1"/>
                <w:bCs w:val="1"/>
                <w:color w:val="333333"/>
                <w:w w:val="99"/>
              </w:rPr>
              <w:t>Performance Period</w:t>
            </w:r>
          </w:p>
        </w:tc>
        <w:tc>
          <w:tcPr>
            <w:tcW w:w="0" w:type="dxa"/>
            <w:vAlign w:val="bottom"/>
          </w:tcPr>
          <w:p>
            <w:pPr>
              <w:spacing w:after="0"/>
              <w:rPr>
                <w:sz w:val="1"/>
                <w:szCs w:val="1"/>
                <w:color w:val="auto"/>
              </w:rPr>
            </w:pPr>
          </w:p>
        </w:tc>
      </w:tr>
      <w:tr>
        <w:trPr>
          <w:trHeight w:val="134"/>
        </w:trPr>
        <w:tc>
          <w:tcPr>
            <w:tcW w:w="1440" w:type="dxa"/>
            <w:vAlign w:val="bottom"/>
            <w:tcBorders>
              <w:left w:val="single" w:sz="8" w:color="333333"/>
              <w:right w:val="single" w:sz="8" w:color="333333"/>
            </w:tcBorders>
            <w:vMerge w:val="continue"/>
            <w:shd w:val="clear" w:color="auto" w:fill="EFF2EF"/>
          </w:tcPr>
          <w:p>
            <w:pPr>
              <w:spacing w:after="0"/>
              <w:rPr>
                <w:sz w:val="11"/>
                <w:szCs w:val="11"/>
                <w:color w:val="auto"/>
              </w:rPr>
            </w:pPr>
          </w:p>
        </w:tc>
        <w:tc>
          <w:tcPr>
            <w:tcW w:w="4680" w:type="dxa"/>
            <w:vAlign w:val="bottom"/>
            <w:tcBorders>
              <w:right w:val="single" w:sz="8" w:color="333333"/>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right w:val="single" w:sz="8" w:color="333333"/>
            </w:tcBorders>
            <w:vMerge w:val="restart"/>
          </w:tcPr>
          <w:p>
            <w:pPr>
              <w:jc w:val="center"/>
              <w:ind w:right="160"/>
              <w:spacing w:after="0"/>
              <w:rPr>
                <w:sz w:val="20"/>
                <w:szCs w:val="20"/>
                <w:color w:val="auto"/>
              </w:rPr>
            </w:pPr>
            <w:r>
              <w:rPr>
                <w:rFonts w:ascii="Calibri" w:cs="Calibri" w:eastAsia="Calibri" w:hAnsi="Calibri"/>
                <w:sz w:val="15"/>
                <w:szCs w:val="15"/>
                <w:color w:val="333333"/>
              </w:rPr>
              <w:t>Threshold – 25</w:t>
            </w:r>
            <w:r>
              <w:rPr>
                <w:rFonts w:ascii="Calibri" w:cs="Calibri" w:eastAsia="Calibri" w:hAnsi="Calibri"/>
                <w:sz w:val="22"/>
                <w:szCs w:val="22"/>
                <w:color w:val="333333"/>
                <w:vertAlign w:val="superscript"/>
              </w:rPr>
              <w:t>th</w:t>
            </w:r>
            <w:r>
              <w:rPr>
                <w:rFonts w:ascii="Calibri" w:cs="Calibri" w:eastAsia="Calibri" w:hAnsi="Calibri"/>
                <w:sz w:val="15"/>
                <w:szCs w:val="15"/>
                <w:color w:val="333333"/>
              </w:rPr>
              <w:t xml:space="preserve"> Percentle</w:t>
            </w:r>
          </w:p>
        </w:tc>
        <w:tc>
          <w:tcPr>
            <w:tcW w:w="2520" w:type="dxa"/>
            <w:vAlign w:val="bottom"/>
            <w:tcBorders>
              <w:right w:val="single" w:sz="8" w:color="333333"/>
            </w:tcBorders>
            <w:vMerge w:val="restart"/>
          </w:tcPr>
          <w:p>
            <w:pPr>
              <w:jc w:val="center"/>
              <w:ind w:left="79"/>
              <w:spacing w:after="0"/>
              <w:rPr>
                <w:sz w:val="20"/>
                <w:szCs w:val="20"/>
                <w:color w:val="auto"/>
              </w:rPr>
            </w:pPr>
            <w:r>
              <w:rPr>
                <w:rFonts w:ascii="Calibri" w:cs="Calibri" w:eastAsia="Calibri" w:hAnsi="Calibri"/>
                <w:sz w:val="15"/>
                <w:szCs w:val="15"/>
                <w:b w:val="1"/>
                <w:bCs w:val="1"/>
                <w:color w:val="333333"/>
              </w:rPr>
              <w:t>Ending 12/31/2027</w:t>
            </w:r>
          </w:p>
        </w:tc>
        <w:tc>
          <w:tcPr>
            <w:tcW w:w="0" w:type="dxa"/>
            <w:vAlign w:val="bottom"/>
          </w:tcPr>
          <w:p>
            <w:pPr>
              <w:spacing w:after="0"/>
              <w:rPr>
                <w:sz w:val="1"/>
                <w:szCs w:val="1"/>
                <w:color w:val="auto"/>
              </w:rPr>
            </w:pPr>
          </w:p>
        </w:tc>
      </w:tr>
      <w:tr>
        <w:trPr>
          <w:trHeight w:val="53"/>
        </w:trPr>
        <w:tc>
          <w:tcPr>
            <w:tcW w:w="1440" w:type="dxa"/>
            <w:vAlign w:val="bottom"/>
            <w:tcBorders>
              <w:left w:val="single" w:sz="8" w:color="333333"/>
              <w:right w:val="single" w:sz="8" w:color="333333"/>
            </w:tcBorders>
            <w:shd w:val="clear" w:color="auto" w:fill="EFF2EF"/>
          </w:tcPr>
          <w:p>
            <w:pPr>
              <w:spacing w:after="0"/>
              <w:rPr>
                <w:sz w:val="4"/>
                <w:szCs w:val="4"/>
                <w:color w:val="auto"/>
              </w:rPr>
            </w:pPr>
          </w:p>
        </w:tc>
        <w:tc>
          <w:tcPr>
            <w:tcW w:w="4680" w:type="dxa"/>
            <w:vAlign w:val="bottom"/>
            <w:tcBorders>
              <w:right w:val="single" w:sz="8" w:color="333333"/>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Borders>
              <w:right w:val="single" w:sz="8" w:color="333333"/>
            </w:tcBorders>
            <w:vMerge w:val="continue"/>
          </w:tcPr>
          <w:p>
            <w:pPr>
              <w:spacing w:after="0"/>
              <w:rPr>
                <w:sz w:val="4"/>
                <w:szCs w:val="4"/>
                <w:color w:val="auto"/>
              </w:rPr>
            </w:pPr>
          </w:p>
        </w:tc>
        <w:tc>
          <w:tcPr>
            <w:tcW w:w="2520" w:type="dxa"/>
            <w:vAlign w:val="bottom"/>
            <w:tcBorders>
              <w:right w:val="single" w:sz="8" w:color="333333"/>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440" w:type="dxa"/>
            <w:vAlign w:val="bottom"/>
            <w:tcBorders>
              <w:left w:val="single" w:sz="8" w:color="333333"/>
              <w:right w:val="single" w:sz="8" w:color="333333"/>
            </w:tcBorders>
            <w:shd w:val="clear" w:color="auto" w:fill="EFF2EF"/>
          </w:tcPr>
          <w:p>
            <w:pPr>
              <w:spacing w:after="0"/>
              <w:rPr>
                <w:sz w:val="7"/>
                <w:szCs w:val="7"/>
                <w:color w:val="auto"/>
              </w:rPr>
            </w:pPr>
          </w:p>
        </w:tc>
        <w:tc>
          <w:tcPr>
            <w:tcW w:w="4680" w:type="dxa"/>
            <w:vAlign w:val="bottom"/>
            <w:tcBorders>
              <w:right w:val="single" w:sz="8" w:color="333333"/>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tcBorders>
              <w:right w:val="single" w:sz="8" w:color="333333"/>
            </w:tcBorders>
            <w:vMerge w:val="continue"/>
          </w:tcPr>
          <w:p>
            <w:pPr>
              <w:spacing w:after="0"/>
              <w:rPr>
                <w:sz w:val="7"/>
                <w:szCs w:val="7"/>
                <w:color w:val="auto"/>
              </w:rPr>
            </w:pPr>
          </w:p>
        </w:tc>
        <w:tc>
          <w:tcPr>
            <w:tcW w:w="2520" w:type="dxa"/>
            <w:vAlign w:val="bottom"/>
            <w:tcBorders>
              <w:right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4680" w:type="dxa"/>
            <w:vAlign w:val="bottom"/>
            <w:tcBorders>
              <w:right w:val="single" w:sz="8" w:color="333333"/>
            </w:tcBorders>
          </w:tcPr>
          <w:p>
            <w:pPr>
              <w:jc w:val="center"/>
              <w:ind w:left="3"/>
              <w:spacing w:after="0" w:line="180" w:lineRule="exact"/>
              <w:rPr>
                <w:sz w:val="20"/>
                <w:szCs w:val="20"/>
                <w:color w:val="auto"/>
              </w:rPr>
            </w:pPr>
            <w:r>
              <w:rPr>
                <w:rFonts w:ascii="Calibri" w:cs="Calibri" w:eastAsia="Calibri" w:hAnsi="Calibri"/>
                <w:sz w:val="15"/>
                <w:szCs w:val="15"/>
                <w:b w:val="1"/>
                <w:bCs w:val="1"/>
                <w:color w:val="333333"/>
              </w:rPr>
              <w:t>Performance RSU Payout Opportunity as % of CEO Performance RSU</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Borders>
              <w:right w:val="single" w:sz="8" w:color="333333"/>
            </w:tcBorders>
          </w:tcPr>
          <w:p>
            <w:pPr>
              <w:jc w:val="center"/>
              <w:ind w:right="160"/>
              <w:spacing w:after="0" w:line="188" w:lineRule="exact"/>
              <w:rPr>
                <w:sz w:val="20"/>
                <w:szCs w:val="20"/>
                <w:color w:val="auto"/>
              </w:rPr>
            </w:pPr>
            <w:r>
              <w:rPr>
                <w:rFonts w:ascii="Calibri" w:cs="Calibri" w:eastAsia="Calibri" w:hAnsi="Calibri"/>
                <w:sz w:val="14"/>
                <w:szCs w:val="14"/>
                <w:color w:val="333333"/>
              </w:rPr>
              <w:t>Target – 55</w:t>
            </w:r>
            <w:r>
              <w:rPr>
                <w:rFonts w:ascii="Calibri" w:cs="Calibri" w:eastAsia="Calibri" w:hAnsi="Calibri"/>
                <w:sz w:val="20"/>
                <w:szCs w:val="20"/>
                <w:color w:val="333333"/>
                <w:vertAlign w:val="superscript"/>
              </w:rPr>
              <w:t>th</w:t>
            </w:r>
            <w:r>
              <w:rPr>
                <w:rFonts w:ascii="Calibri" w:cs="Calibri" w:eastAsia="Calibri" w:hAnsi="Calibri"/>
                <w:sz w:val="14"/>
                <w:szCs w:val="14"/>
                <w:color w:val="333333"/>
              </w:rPr>
              <w:t xml:space="preserve"> Percentle</w:t>
            </w:r>
          </w:p>
        </w:tc>
        <w:tc>
          <w:tcPr>
            <w:tcW w:w="252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440" w:type="dxa"/>
            <w:vAlign w:val="bottom"/>
            <w:tcBorders>
              <w:left w:val="single" w:sz="8" w:color="333333"/>
              <w:right w:val="single" w:sz="8" w:color="333333"/>
            </w:tcBorders>
            <w:shd w:val="clear" w:color="auto" w:fill="EFF2EF"/>
          </w:tcPr>
          <w:p>
            <w:pPr>
              <w:spacing w:after="0"/>
              <w:rPr>
                <w:sz w:val="23"/>
                <w:szCs w:val="23"/>
                <w:color w:val="auto"/>
              </w:rPr>
            </w:pPr>
          </w:p>
        </w:tc>
        <w:tc>
          <w:tcPr>
            <w:tcW w:w="4680" w:type="dxa"/>
            <w:vAlign w:val="bottom"/>
            <w:tcBorders>
              <w:right w:val="single" w:sz="8" w:color="333333"/>
            </w:tcBorders>
          </w:tcPr>
          <w:p>
            <w:pPr>
              <w:jc w:val="center"/>
              <w:ind w:left="3"/>
              <w:spacing w:after="0" w:line="180" w:lineRule="exact"/>
              <w:rPr>
                <w:sz w:val="20"/>
                <w:szCs w:val="20"/>
                <w:color w:val="auto"/>
              </w:rPr>
            </w:pPr>
            <w:r>
              <w:rPr>
                <w:rFonts w:ascii="Calibri" w:cs="Calibri" w:eastAsia="Calibri" w:hAnsi="Calibri"/>
                <w:sz w:val="15"/>
                <w:szCs w:val="15"/>
                <w:b w:val="1"/>
                <w:bCs w:val="1"/>
                <w:color w:val="333333"/>
                <w:w w:val="99"/>
              </w:rPr>
              <w:t>Target</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tcBorders>
              <w:right w:val="single" w:sz="8" w:color="333333"/>
            </w:tcBorders>
          </w:tcPr>
          <w:p>
            <w:pPr>
              <w:jc w:val="center"/>
              <w:ind w:right="160"/>
              <w:spacing w:after="0"/>
              <w:rPr>
                <w:sz w:val="20"/>
                <w:szCs w:val="20"/>
                <w:color w:val="auto"/>
              </w:rPr>
            </w:pPr>
            <w:r>
              <w:rPr>
                <w:rFonts w:ascii="Calibri" w:cs="Calibri" w:eastAsia="Calibri" w:hAnsi="Calibri"/>
                <w:sz w:val="15"/>
                <w:szCs w:val="15"/>
                <w:color w:val="333333"/>
              </w:rPr>
              <w:t>Maximum – 80</w:t>
            </w:r>
            <w:r>
              <w:rPr>
                <w:rFonts w:ascii="Calibri" w:cs="Calibri" w:eastAsia="Calibri" w:hAnsi="Calibri"/>
                <w:sz w:val="22"/>
                <w:szCs w:val="22"/>
                <w:color w:val="333333"/>
                <w:vertAlign w:val="superscript"/>
              </w:rPr>
              <w:t>th</w:t>
            </w:r>
            <w:r>
              <w:rPr>
                <w:rFonts w:ascii="Calibri" w:cs="Calibri" w:eastAsia="Calibri" w:hAnsi="Calibri"/>
                <w:sz w:val="15"/>
                <w:szCs w:val="15"/>
                <w:color w:val="333333"/>
              </w:rPr>
              <w:t xml:space="preserve"> Percentle</w:t>
            </w:r>
          </w:p>
        </w:tc>
        <w:tc>
          <w:tcPr>
            <w:tcW w:w="2520" w:type="dxa"/>
            <w:vAlign w:val="bottom"/>
            <w:tcBorders>
              <w:right w:val="single" w:sz="8" w:color="333333"/>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333333"/>
              <w:right w:val="single" w:sz="8" w:color="333333"/>
            </w:tcBorders>
            <w:shd w:val="clear" w:color="auto" w:fill="EFF2EF"/>
          </w:tcPr>
          <w:p>
            <w:pPr>
              <w:spacing w:after="0"/>
              <w:rPr>
                <w:sz w:val="19"/>
                <w:szCs w:val="19"/>
                <w:color w:val="auto"/>
              </w:rPr>
            </w:pPr>
          </w:p>
        </w:tc>
        <w:tc>
          <w:tcPr>
            <w:tcW w:w="4680" w:type="dxa"/>
            <w:vAlign w:val="bottom"/>
            <w:tcBorders>
              <w:right w:val="single" w:sz="8" w:color="333333"/>
            </w:tcBorders>
          </w:tcPr>
          <w:p>
            <w:pPr>
              <w:jc w:val="center"/>
              <w:ind w:left="3"/>
              <w:spacing w:after="0"/>
              <w:rPr>
                <w:sz w:val="20"/>
                <w:szCs w:val="20"/>
                <w:color w:val="auto"/>
              </w:rPr>
            </w:pPr>
            <w:r>
              <w:rPr>
                <w:rFonts w:ascii="Calibri" w:cs="Calibri" w:eastAsia="Calibri" w:hAnsi="Calibri"/>
                <w:sz w:val="15"/>
                <w:szCs w:val="15"/>
                <w:color w:val="333333"/>
              </w:rPr>
              <w:t>Threshold – 50% ($2,333,333)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Borders>
              <w:right w:val="single" w:sz="8" w:color="333333"/>
            </w:tcBorders>
          </w:tcPr>
          <w:p>
            <w:pPr>
              <w:spacing w:after="0"/>
              <w:rPr>
                <w:sz w:val="19"/>
                <w:szCs w:val="19"/>
                <w:color w:val="auto"/>
              </w:rPr>
            </w:pPr>
          </w:p>
        </w:tc>
        <w:tc>
          <w:tcPr>
            <w:tcW w:w="2520" w:type="dxa"/>
            <w:vAlign w:val="bottom"/>
            <w:tcBorders>
              <w:right w:val="single" w:sz="8" w:color="333333"/>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4680" w:type="dxa"/>
            <w:vAlign w:val="bottom"/>
            <w:tcBorders>
              <w:right w:val="single" w:sz="8" w:color="333333"/>
            </w:tcBorders>
          </w:tcPr>
          <w:p>
            <w:pPr>
              <w:jc w:val="center"/>
              <w:ind w:left="3"/>
              <w:spacing w:after="0"/>
              <w:rPr>
                <w:sz w:val="20"/>
                <w:szCs w:val="20"/>
                <w:color w:val="auto"/>
              </w:rPr>
            </w:pPr>
            <w:r>
              <w:rPr>
                <w:rFonts w:ascii="Calibri" w:cs="Calibri" w:eastAsia="Calibri" w:hAnsi="Calibri"/>
                <w:sz w:val="15"/>
                <w:szCs w:val="15"/>
                <w:color w:val="333333"/>
              </w:rPr>
              <w:t>Target – 100% ($4,666,667)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Borders>
              <w:right w:val="single" w:sz="8" w:color="333333"/>
            </w:tcBorders>
          </w:tcPr>
          <w:p>
            <w:pPr>
              <w:spacing w:after="0"/>
              <w:rPr>
                <w:sz w:val="16"/>
                <w:szCs w:val="16"/>
                <w:color w:val="auto"/>
              </w:rPr>
            </w:pPr>
          </w:p>
        </w:tc>
        <w:tc>
          <w:tcPr>
            <w:tcW w:w="252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4680" w:type="dxa"/>
            <w:vAlign w:val="bottom"/>
            <w:tcBorders>
              <w:right w:val="single" w:sz="8" w:color="333333"/>
            </w:tcBorders>
          </w:tcPr>
          <w:p>
            <w:pPr>
              <w:jc w:val="center"/>
              <w:ind w:left="3"/>
              <w:spacing w:after="0"/>
              <w:rPr>
                <w:sz w:val="20"/>
                <w:szCs w:val="20"/>
                <w:color w:val="auto"/>
              </w:rPr>
            </w:pPr>
            <w:r>
              <w:rPr>
                <w:rFonts w:ascii="Calibri" w:cs="Calibri" w:eastAsia="Calibri" w:hAnsi="Calibri"/>
                <w:sz w:val="15"/>
                <w:szCs w:val="15"/>
                <w:color w:val="333333"/>
              </w:rPr>
              <w:t>Maximum – 150% ($7,000,000)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Borders>
              <w:right w:val="single" w:sz="8" w:color="333333"/>
            </w:tcBorders>
          </w:tcPr>
          <w:p>
            <w:pPr>
              <w:spacing w:after="0"/>
              <w:rPr>
                <w:sz w:val="16"/>
                <w:szCs w:val="16"/>
                <w:color w:val="auto"/>
              </w:rPr>
            </w:pPr>
          </w:p>
        </w:tc>
        <w:tc>
          <w:tcPr>
            <w:tcW w:w="252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1440" w:type="dxa"/>
            <w:vAlign w:val="bottom"/>
            <w:tcBorders>
              <w:left w:val="single" w:sz="8" w:color="333333"/>
              <w:bottom w:val="single" w:sz="8" w:color="333333"/>
              <w:right w:val="single" w:sz="8" w:color="333333"/>
            </w:tcBorders>
            <w:shd w:val="clear" w:color="auto" w:fill="EFF2EF"/>
          </w:tcPr>
          <w:p>
            <w:pPr>
              <w:spacing w:after="0"/>
              <w:rPr>
                <w:sz w:val="24"/>
                <w:szCs w:val="24"/>
                <w:color w:val="auto"/>
              </w:rPr>
            </w:pPr>
          </w:p>
        </w:tc>
        <w:tc>
          <w:tcPr>
            <w:tcW w:w="4680" w:type="dxa"/>
            <w:vAlign w:val="bottom"/>
            <w:tcBorders>
              <w:bottom w:val="single" w:sz="8" w:color="333333"/>
              <w:right w:val="single" w:sz="8" w:color="333333"/>
            </w:tcBorders>
          </w:tcPr>
          <w:p>
            <w:pPr>
              <w:spacing w:after="0"/>
              <w:rPr>
                <w:sz w:val="24"/>
                <w:szCs w:val="24"/>
                <w:color w:val="auto"/>
              </w:rPr>
            </w:pPr>
          </w:p>
        </w:tc>
        <w:tc>
          <w:tcPr>
            <w:tcW w:w="320" w:type="dxa"/>
            <w:vAlign w:val="bottom"/>
            <w:tcBorders>
              <w:bottom w:val="single" w:sz="8" w:color="333333"/>
            </w:tcBorders>
          </w:tcPr>
          <w:p>
            <w:pPr>
              <w:spacing w:after="0"/>
              <w:rPr>
                <w:sz w:val="24"/>
                <w:szCs w:val="24"/>
                <w:color w:val="auto"/>
              </w:rPr>
            </w:pPr>
          </w:p>
        </w:tc>
        <w:tc>
          <w:tcPr>
            <w:tcW w:w="80" w:type="dxa"/>
            <w:vAlign w:val="bottom"/>
            <w:tcBorders>
              <w:bottom w:val="single" w:sz="8" w:color="333333"/>
            </w:tcBorders>
          </w:tcPr>
          <w:p>
            <w:pPr>
              <w:spacing w:after="0"/>
              <w:rPr>
                <w:sz w:val="24"/>
                <w:szCs w:val="24"/>
                <w:color w:val="auto"/>
              </w:rPr>
            </w:pPr>
          </w:p>
        </w:tc>
        <w:tc>
          <w:tcPr>
            <w:tcW w:w="1900" w:type="dxa"/>
            <w:vAlign w:val="bottom"/>
            <w:tcBorders>
              <w:bottom w:val="single" w:sz="8" w:color="333333"/>
              <w:right w:val="single" w:sz="8" w:color="333333"/>
            </w:tcBorders>
          </w:tcPr>
          <w:p>
            <w:pPr>
              <w:spacing w:after="0"/>
              <w:rPr>
                <w:sz w:val="24"/>
                <w:szCs w:val="24"/>
                <w:color w:val="auto"/>
              </w:rPr>
            </w:pPr>
          </w:p>
        </w:tc>
        <w:tc>
          <w:tcPr>
            <w:tcW w:w="2520" w:type="dxa"/>
            <w:vAlign w:val="bottom"/>
            <w:tcBorders>
              <w:bottom w:val="single" w:sz="8" w:color="333333"/>
              <w:right w:val="single" w:sz="8" w:color="33333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57</w:t>
      </w:r>
    </w:p>
    <w:p>
      <w:pPr>
        <w:sectPr>
          <w:pgSz w:w="11900" w:h="16838" w:orient="portrait"/>
          <w:cols w:equalWidth="0" w:num="1">
            <w:col w:w="11100"/>
          </w:cols>
          <w:pgMar w:left="320" w:top="478"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jc w:val="center"/>
        <w:ind w:right="-139"/>
        <w:spacing w:after="0"/>
        <w:rPr>
          <w:sz w:val="20"/>
          <w:szCs w:val="20"/>
          <w:color w:val="auto"/>
        </w:rPr>
      </w:pPr>
      <w:r>
        <w:rPr>
          <w:rFonts w:ascii="Calibri" w:cs="Calibri" w:eastAsia="Calibri" w:hAnsi="Calibri"/>
          <w:sz w:val="21"/>
          <w:szCs w:val="21"/>
          <w:b w:val="1"/>
          <w:bCs w:val="1"/>
          <w:color w:val="0591DB"/>
        </w:rPr>
        <w:t xml:space="preserve">NEO COMPENSATION (Other than CEO and Mr. Keatng </w:t>
      </w:r>
      <w:r>
        <w:rPr>
          <w:rFonts w:ascii="Calibri" w:cs="Calibri" w:eastAsia="Calibri" w:hAnsi="Calibri"/>
          <w:sz w:val="15"/>
          <w:szCs w:val="15"/>
          <w:b w:val="1"/>
          <w:bCs w:val="1"/>
          <w:color w:val="0591DB"/>
        </w:rPr>
        <w:t>1</w:t>
      </w:r>
      <w:r>
        <w:rPr>
          <w:rFonts w:ascii="Calibri" w:cs="Calibri" w:eastAsia="Calibri" w:hAnsi="Calibri"/>
          <w:sz w:val="21"/>
          <w:szCs w:val="21"/>
          <w:b w:val="1"/>
          <w:bCs w:val="1"/>
          <w:color w:val="0591DB"/>
        </w:rPr>
        <w:t>)</w:t>
      </w:r>
    </w:p>
    <w:p>
      <w:pPr>
        <w:spacing w:after="0" w:line="90"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1440" w:type="dxa"/>
            <w:vAlign w:val="bottom"/>
            <w:tcBorders>
              <w:top w:val="single" w:sz="8" w:color="0591DB"/>
              <w:left w:val="single" w:sz="8" w:color="0591DB"/>
              <w:right w:val="single" w:sz="8" w:color="0591DB"/>
            </w:tcBorders>
          </w:tcPr>
          <w:p>
            <w:pPr>
              <w:spacing w:after="0"/>
              <w:rPr>
                <w:sz w:val="19"/>
                <w:szCs w:val="19"/>
                <w:color w:val="auto"/>
              </w:rPr>
            </w:pPr>
          </w:p>
        </w:tc>
        <w:tc>
          <w:tcPr>
            <w:tcW w:w="860" w:type="dxa"/>
            <w:vAlign w:val="bottom"/>
            <w:tcBorders>
              <w:top w:val="single" w:sz="8" w:color="0591DB"/>
            </w:tcBorders>
          </w:tcPr>
          <w:p>
            <w:pPr>
              <w:spacing w:after="0"/>
              <w:rPr>
                <w:sz w:val="19"/>
                <w:szCs w:val="19"/>
                <w:color w:val="auto"/>
              </w:rPr>
            </w:pPr>
          </w:p>
        </w:tc>
        <w:tc>
          <w:tcPr>
            <w:tcW w:w="3640" w:type="dxa"/>
            <w:vAlign w:val="bottom"/>
            <w:tcBorders>
              <w:top w:val="single" w:sz="8" w:color="0591DB"/>
              <w:right w:val="single" w:sz="8" w:color="0591DB"/>
            </w:tcBorders>
          </w:tcPr>
          <w:p>
            <w:pPr>
              <w:spacing w:after="0"/>
              <w:rPr>
                <w:sz w:val="19"/>
                <w:szCs w:val="19"/>
                <w:color w:val="auto"/>
              </w:rPr>
            </w:pPr>
          </w:p>
        </w:tc>
        <w:tc>
          <w:tcPr>
            <w:tcW w:w="2360" w:type="dxa"/>
            <w:vAlign w:val="bottom"/>
            <w:tcBorders>
              <w:top w:val="single" w:sz="8" w:color="0591DB"/>
              <w:right w:val="single" w:sz="8" w:color="0591DB"/>
            </w:tcBorders>
          </w:tcPr>
          <w:p>
            <w:pPr>
              <w:jc w:val="center"/>
              <w:ind w:left="81"/>
              <w:spacing w:after="0" w:line="221" w:lineRule="exact"/>
              <w:rPr>
                <w:sz w:val="20"/>
                <w:szCs w:val="20"/>
                <w:color w:val="auto"/>
              </w:rPr>
            </w:pPr>
            <w:r>
              <w:rPr>
                <w:rFonts w:ascii="Calibri" w:cs="Calibri" w:eastAsia="Calibri" w:hAnsi="Calibri"/>
                <w:sz w:val="21"/>
                <w:szCs w:val="21"/>
                <w:b w:val="1"/>
                <w:bCs w:val="1"/>
                <w:color w:val="0591DB"/>
                <w:w w:val="94"/>
              </w:rPr>
              <w:t>PERFORMANCE</w:t>
            </w:r>
          </w:p>
        </w:tc>
        <w:tc>
          <w:tcPr>
            <w:tcW w:w="2640" w:type="dxa"/>
            <w:vAlign w:val="bottom"/>
            <w:tcBorders>
              <w:top w:val="single" w:sz="8" w:color="0591DB"/>
              <w:right w:val="single" w:sz="8" w:color="0591DB"/>
            </w:tcBorders>
          </w:tcPr>
          <w:p>
            <w:pPr>
              <w:jc w:val="center"/>
              <w:ind w:left="82"/>
              <w:spacing w:after="0" w:line="221" w:lineRule="exact"/>
              <w:rPr>
                <w:sz w:val="20"/>
                <w:szCs w:val="20"/>
                <w:color w:val="auto"/>
              </w:rPr>
            </w:pPr>
            <w:r>
              <w:rPr>
                <w:rFonts w:ascii="Calibri" w:cs="Calibri" w:eastAsia="Calibri" w:hAnsi="Calibri"/>
                <w:sz w:val="21"/>
                <w:szCs w:val="21"/>
                <w:b w:val="1"/>
                <w:bCs w:val="1"/>
                <w:color w:val="0591DB"/>
                <w:w w:val="92"/>
              </w:rPr>
              <w:t>2025 FINAL PAY</w:t>
            </w:r>
          </w:p>
        </w:tc>
        <w:tc>
          <w:tcPr>
            <w:tcW w:w="0" w:type="dxa"/>
            <w:vAlign w:val="bottom"/>
          </w:tcPr>
          <w:p>
            <w:pPr>
              <w:spacing w:after="0"/>
              <w:rPr>
                <w:sz w:val="1"/>
                <w:szCs w:val="1"/>
                <w:color w:val="auto"/>
              </w:rPr>
            </w:pPr>
          </w:p>
        </w:tc>
      </w:tr>
      <w:tr>
        <w:trPr>
          <w:trHeight w:val="244"/>
        </w:trPr>
        <w:tc>
          <w:tcPr>
            <w:tcW w:w="1440" w:type="dxa"/>
            <w:vAlign w:val="bottom"/>
            <w:tcBorders>
              <w:left w:val="single" w:sz="8" w:color="0591DB"/>
              <w:right w:val="single" w:sz="8" w:color="0591DB"/>
            </w:tcBorders>
          </w:tcPr>
          <w:p>
            <w:pPr>
              <w:jc w:val="center"/>
              <w:ind w:left="78"/>
              <w:spacing w:after="0" w:line="244" w:lineRule="exact"/>
              <w:rPr>
                <w:sz w:val="20"/>
                <w:szCs w:val="20"/>
                <w:color w:val="auto"/>
              </w:rPr>
            </w:pPr>
            <w:r>
              <w:rPr>
                <w:rFonts w:ascii="Calibri" w:cs="Calibri" w:eastAsia="Calibri" w:hAnsi="Calibri"/>
                <w:sz w:val="21"/>
                <w:szCs w:val="21"/>
                <w:b w:val="1"/>
                <w:bCs w:val="1"/>
                <w:color w:val="0591DB"/>
                <w:w w:val="91"/>
              </w:rPr>
              <w:t>AWARD</w:t>
            </w:r>
          </w:p>
        </w:tc>
        <w:tc>
          <w:tcPr>
            <w:tcW w:w="860" w:type="dxa"/>
            <w:vAlign w:val="bottom"/>
          </w:tcPr>
          <w:p>
            <w:pPr>
              <w:spacing w:after="0"/>
              <w:rPr>
                <w:sz w:val="21"/>
                <w:szCs w:val="21"/>
                <w:color w:val="auto"/>
              </w:rPr>
            </w:pPr>
          </w:p>
        </w:tc>
        <w:tc>
          <w:tcPr>
            <w:tcW w:w="3640" w:type="dxa"/>
            <w:vAlign w:val="bottom"/>
            <w:tcBorders>
              <w:right w:val="single" w:sz="8" w:color="0591DB"/>
            </w:tcBorders>
          </w:tcPr>
          <w:p>
            <w:pPr>
              <w:jc w:val="center"/>
              <w:ind w:right="723"/>
              <w:spacing w:after="0" w:line="244" w:lineRule="exact"/>
              <w:rPr>
                <w:sz w:val="20"/>
                <w:szCs w:val="20"/>
                <w:color w:val="auto"/>
              </w:rPr>
            </w:pPr>
            <w:r>
              <w:rPr>
                <w:rFonts w:ascii="Calibri" w:cs="Calibri" w:eastAsia="Calibri" w:hAnsi="Calibri"/>
                <w:sz w:val="21"/>
                <w:szCs w:val="21"/>
                <w:b w:val="1"/>
                <w:bCs w:val="1"/>
                <w:color w:val="0591DB"/>
                <w:w w:val="96"/>
              </w:rPr>
              <w:t>FORM</w:t>
            </w:r>
          </w:p>
        </w:tc>
        <w:tc>
          <w:tcPr>
            <w:tcW w:w="2360" w:type="dxa"/>
            <w:vAlign w:val="bottom"/>
            <w:tcBorders>
              <w:right w:val="single" w:sz="8" w:color="0591DB"/>
            </w:tcBorders>
          </w:tcPr>
          <w:p>
            <w:pPr>
              <w:jc w:val="center"/>
              <w:ind w:left="61"/>
              <w:spacing w:after="0" w:line="244" w:lineRule="exact"/>
              <w:rPr>
                <w:sz w:val="20"/>
                <w:szCs w:val="20"/>
                <w:color w:val="auto"/>
              </w:rPr>
            </w:pPr>
            <w:r>
              <w:rPr>
                <w:rFonts w:ascii="Calibri" w:cs="Calibri" w:eastAsia="Calibri" w:hAnsi="Calibri"/>
                <w:sz w:val="21"/>
                <w:szCs w:val="21"/>
                <w:b w:val="1"/>
                <w:bCs w:val="1"/>
                <w:color w:val="0591DB"/>
                <w:w w:val="95"/>
              </w:rPr>
              <w:t>METRICS</w:t>
            </w:r>
          </w:p>
        </w:tc>
        <w:tc>
          <w:tcPr>
            <w:tcW w:w="2640" w:type="dxa"/>
            <w:vAlign w:val="bottom"/>
            <w:tcBorders>
              <w:right w:val="single" w:sz="8" w:color="0591DB"/>
            </w:tcBorders>
          </w:tcPr>
          <w:p>
            <w:pPr>
              <w:jc w:val="center"/>
              <w:ind w:left="82"/>
              <w:spacing w:after="0" w:line="244" w:lineRule="exact"/>
              <w:rPr>
                <w:sz w:val="20"/>
                <w:szCs w:val="20"/>
                <w:color w:val="auto"/>
              </w:rPr>
            </w:pPr>
            <w:r>
              <w:rPr>
                <w:rFonts w:ascii="Calibri" w:cs="Calibri" w:eastAsia="Calibri" w:hAnsi="Calibri"/>
                <w:sz w:val="21"/>
                <w:szCs w:val="21"/>
                <w:b w:val="1"/>
                <w:bCs w:val="1"/>
                <w:color w:val="0591DB"/>
                <w:w w:val="95"/>
              </w:rPr>
              <w:t>OUTCOME</w:t>
            </w:r>
          </w:p>
        </w:tc>
        <w:tc>
          <w:tcPr>
            <w:tcW w:w="0" w:type="dxa"/>
            <w:vAlign w:val="bottom"/>
          </w:tcPr>
          <w:p>
            <w:pPr>
              <w:spacing w:after="0"/>
              <w:rPr>
                <w:sz w:val="1"/>
                <w:szCs w:val="1"/>
                <w:color w:val="auto"/>
              </w:rPr>
            </w:pPr>
          </w:p>
        </w:tc>
      </w:tr>
      <w:tr>
        <w:trPr>
          <w:trHeight w:val="97"/>
        </w:trPr>
        <w:tc>
          <w:tcPr>
            <w:tcW w:w="1440" w:type="dxa"/>
            <w:vAlign w:val="bottom"/>
            <w:tcBorders>
              <w:left w:val="single" w:sz="8" w:color="0591DB"/>
              <w:bottom w:val="single" w:sz="8" w:color="0591DB"/>
              <w:right w:val="single" w:sz="8" w:color="0591DB"/>
            </w:tcBorders>
          </w:tcPr>
          <w:p>
            <w:pPr>
              <w:spacing w:after="0"/>
              <w:rPr>
                <w:sz w:val="8"/>
                <w:szCs w:val="8"/>
                <w:color w:val="auto"/>
              </w:rPr>
            </w:pPr>
          </w:p>
        </w:tc>
        <w:tc>
          <w:tcPr>
            <w:tcW w:w="860" w:type="dxa"/>
            <w:vAlign w:val="bottom"/>
            <w:tcBorders>
              <w:bottom w:val="single" w:sz="8" w:color="0591DB"/>
            </w:tcBorders>
          </w:tcPr>
          <w:p>
            <w:pPr>
              <w:spacing w:after="0"/>
              <w:rPr>
                <w:sz w:val="8"/>
                <w:szCs w:val="8"/>
                <w:color w:val="auto"/>
              </w:rPr>
            </w:pPr>
          </w:p>
        </w:tc>
        <w:tc>
          <w:tcPr>
            <w:tcW w:w="3640" w:type="dxa"/>
            <w:vAlign w:val="bottom"/>
            <w:tcBorders>
              <w:bottom w:val="single" w:sz="8" w:color="0591DB"/>
              <w:right w:val="single" w:sz="8" w:color="0591DB"/>
            </w:tcBorders>
          </w:tcPr>
          <w:p>
            <w:pPr>
              <w:spacing w:after="0"/>
              <w:rPr>
                <w:sz w:val="8"/>
                <w:szCs w:val="8"/>
                <w:color w:val="auto"/>
              </w:rPr>
            </w:pPr>
          </w:p>
        </w:tc>
        <w:tc>
          <w:tcPr>
            <w:tcW w:w="2360" w:type="dxa"/>
            <w:vAlign w:val="bottom"/>
            <w:tcBorders>
              <w:bottom w:val="single" w:sz="8" w:color="0591DB"/>
              <w:right w:val="single" w:sz="8" w:color="0591DB"/>
            </w:tcBorders>
          </w:tcPr>
          <w:p>
            <w:pPr>
              <w:spacing w:after="0"/>
              <w:rPr>
                <w:sz w:val="8"/>
                <w:szCs w:val="8"/>
                <w:color w:val="auto"/>
              </w:rPr>
            </w:pPr>
          </w:p>
        </w:tc>
        <w:tc>
          <w:tcPr>
            <w:tcW w:w="2640" w:type="dxa"/>
            <w:vAlign w:val="bottom"/>
            <w:tcBorders>
              <w:bottom w:val="single" w:sz="8" w:color="0591DB"/>
              <w:right w:val="single" w:sz="8" w:color="0591DB"/>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vMerge w:val="restart"/>
            <w:shd w:val="clear" w:color="auto" w:fill="EFF2EF"/>
          </w:tcPr>
          <w:p>
            <w:pPr>
              <w:jc w:val="center"/>
              <w:ind w:left="78"/>
              <w:spacing w:after="0"/>
              <w:rPr>
                <w:sz w:val="20"/>
                <w:szCs w:val="20"/>
                <w:color w:val="auto"/>
              </w:rPr>
            </w:pPr>
            <w:r>
              <w:rPr>
                <w:rFonts w:ascii="Calibri" w:cs="Calibri" w:eastAsia="Calibri" w:hAnsi="Calibri"/>
                <w:sz w:val="15"/>
                <w:szCs w:val="15"/>
                <w:b w:val="1"/>
                <w:bCs w:val="1"/>
                <w:color w:val="333333"/>
              </w:rPr>
              <w:t>Base Salary</w:t>
            </w:r>
          </w:p>
        </w:tc>
        <w:tc>
          <w:tcPr>
            <w:tcW w:w="860" w:type="dxa"/>
            <w:vAlign w:val="bottom"/>
          </w:tcPr>
          <w:p>
            <w:pPr>
              <w:spacing w:after="0"/>
              <w:rPr>
                <w:sz w:val="13"/>
                <w:szCs w:val="13"/>
                <w:color w:val="auto"/>
              </w:rPr>
            </w:pPr>
          </w:p>
        </w:tc>
        <w:tc>
          <w:tcPr>
            <w:tcW w:w="3640" w:type="dxa"/>
            <w:vAlign w:val="bottom"/>
            <w:tcBorders>
              <w:right w:val="single" w:sz="8" w:color="333333"/>
            </w:tcBorders>
          </w:tcPr>
          <w:p>
            <w:pPr>
              <w:jc w:val="center"/>
              <w:ind w:right="743"/>
              <w:spacing w:after="0" w:line="158" w:lineRule="exact"/>
              <w:rPr>
                <w:sz w:val="20"/>
                <w:szCs w:val="20"/>
                <w:color w:val="auto"/>
              </w:rPr>
            </w:pPr>
            <w:r>
              <w:rPr>
                <w:rFonts w:ascii="Calibri" w:cs="Calibri" w:eastAsia="Calibri" w:hAnsi="Calibri"/>
                <w:sz w:val="15"/>
                <w:szCs w:val="15"/>
                <w:b w:val="1"/>
                <w:bCs w:val="1"/>
                <w:color w:val="333333"/>
              </w:rPr>
              <w:t>Fixed Cash</w:t>
            </w:r>
          </w:p>
        </w:tc>
        <w:tc>
          <w:tcPr>
            <w:tcW w:w="2360" w:type="dxa"/>
            <w:vAlign w:val="bottom"/>
            <w:tcBorders>
              <w:right w:val="single" w:sz="8" w:color="333333"/>
            </w:tcBorders>
            <w:vMerge w:val="restart"/>
          </w:tcPr>
          <w:p>
            <w:pPr>
              <w:jc w:val="center"/>
              <w:ind w:left="81"/>
              <w:spacing w:after="0"/>
              <w:rPr>
                <w:sz w:val="20"/>
                <w:szCs w:val="20"/>
                <w:color w:val="auto"/>
              </w:rPr>
            </w:pPr>
            <w:r>
              <w:rPr>
                <w:rFonts w:ascii="Calibri" w:cs="Calibri" w:eastAsia="Calibri" w:hAnsi="Calibri"/>
                <w:sz w:val="15"/>
                <w:szCs w:val="15"/>
                <w:b w:val="1"/>
                <w:bCs w:val="1"/>
                <w:color w:val="333333"/>
                <w:w w:val="94"/>
              </w:rPr>
              <w:t>N/A</w:t>
            </w:r>
          </w:p>
        </w:tc>
        <w:tc>
          <w:tcPr>
            <w:tcW w:w="2640" w:type="dxa"/>
            <w:vAlign w:val="bottom"/>
            <w:tcBorders>
              <w:right w:val="single" w:sz="8" w:color="333333"/>
            </w:tcBorders>
            <w:vMerge w:val="restart"/>
          </w:tcPr>
          <w:p>
            <w:pPr>
              <w:jc w:val="center"/>
              <w:ind w:left="102"/>
              <w:spacing w:after="0"/>
              <w:rPr>
                <w:sz w:val="20"/>
                <w:szCs w:val="20"/>
                <w:color w:val="auto"/>
              </w:rPr>
            </w:pPr>
            <w:r>
              <w:rPr>
                <w:rFonts w:ascii="Calibri" w:cs="Calibri" w:eastAsia="Calibri" w:hAnsi="Calibri"/>
                <w:sz w:val="15"/>
                <w:szCs w:val="15"/>
                <w:b w:val="1"/>
                <w:bCs w:val="1"/>
                <w:color w:val="333333"/>
                <w:w w:val="95"/>
              </w:rPr>
              <w:t xml:space="preserve">$700,000 </w:t>
            </w:r>
            <w:r>
              <w:rPr>
                <w:rFonts w:ascii="Calibri" w:cs="Calibri" w:eastAsia="Calibri" w:hAnsi="Calibri"/>
                <w:sz w:val="22"/>
                <w:szCs w:val="22"/>
                <w:b w:val="1"/>
                <w:bCs w:val="1"/>
                <w:color w:val="333333"/>
                <w:w w:val="95"/>
                <w:vertAlign w:val="superscript"/>
              </w:rPr>
              <w:t>(2)</w:t>
            </w:r>
          </w:p>
        </w:tc>
        <w:tc>
          <w:tcPr>
            <w:tcW w:w="0" w:type="dxa"/>
            <w:vAlign w:val="bottom"/>
          </w:tcPr>
          <w:p>
            <w:pPr>
              <w:spacing w:after="0"/>
              <w:rPr>
                <w:sz w:val="1"/>
                <w:szCs w:val="1"/>
                <w:color w:val="auto"/>
              </w:rPr>
            </w:pPr>
          </w:p>
        </w:tc>
      </w:tr>
      <w:tr>
        <w:trPr>
          <w:trHeight w:val="144"/>
        </w:trPr>
        <w:tc>
          <w:tcPr>
            <w:tcW w:w="1440" w:type="dxa"/>
            <w:vAlign w:val="bottom"/>
            <w:tcBorders>
              <w:left w:val="single" w:sz="8" w:color="333333"/>
              <w:right w:val="single" w:sz="8" w:color="333333"/>
            </w:tcBorders>
            <w:vMerge w:val="continue"/>
            <w:shd w:val="clear" w:color="auto" w:fill="EFF2EF"/>
          </w:tcPr>
          <w:p>
            <w:pPr>
              <w:spacing w:after="0"/>
              <w:rPr>
                <w:sz w:val="12"/>
                <w:szCs w:val="12"/>
                <w:color w:val="auto"/>
              </w:rPr>
            </w:pPr>
          </w:p>
        </w:tc>
        <w:tc>
          <w:tcPr>
            <w:tcW w:w="4500" w:type="dxa"/>
            <w:vAlign w:val="bottom"/>
            <w:tcBorders>
              <w:right w:val="single" w:sz="8" w:color="333333"/>
            </w:tcBorders>
            <w:gridSpan w:val="2"/>
            <w:vMerge w:val="restart"/>
          </w:tcPr>
          <w:p>
            <w:pPr>
              <w:jc w:val="right"/>
              <w:ind w:right="1863"/>
              <w:spacing w:after="0" w:line="180" w:lineRule="exact"/>
              <w:rPr>
                <w:sz w:val="20"/>
                <w:szCs w:val="20"/>
                <w:color w:val="auto"/>
              </w:rPr>
            </w:pPr>
            <w:r>
              <w:rPr>
                <w:rFonts w:ascii="Calibri" w:cs="Calibri" w:eastAsia="Calibri" w:hAnsi="Calibri"/>
                <w:sz w:val="15"/>
                <w:szCs w:val="15"/>
                <w:color w:val="333333"/>
              </w:rPr>
              <w:t>$700,000</w:t>
            </w:r>
          </w:p>
        </w:tc>
        <w:tc>
          <w:tcPr>
            <w:tcW w:w="2360" w:type="dxa"/>
            <w:vAlign w:val="bottom"/>
            <w:tcBorders>
              <w:right w:val="single" w:sz="8" w:color="333333"/>
            </w:tcBorders>
            <w:vMerge w:val="continue"/>
          </w:tcPr>
          <w:p>
            <w:pPr>
              <w:spacing w:after="0"/>
              <w:rPr>
                <w:sz w:val="12"/>
                <w:szCs w:val="12"/>
                <w:color w:val="auto"/>
              </w:rPr>
            </w:pPr>
          </w:p>
        </w:tc>
        <w:tc>
          <w:tcPr>
            <w:tcW w:w="2640" w:type="dxa"/>
            <w:vAlign w:val="bottom"/>
            <w:tcBorders>
              <w:right w:val="single" w:sz="8" w:color="33333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440" w:type="dxa"/>
            <w:vAlign w:val="bottom"/>
            <w:tcBorders>
              <w:left w:val="single" w:sz="8" w:color="333333"/>
              <w:bottom w:val="single" w:sz="8" w:color="EFF2EF"/>
              <w:right w:val="single" w:sz="8" w:color="333333"/>
            </w:tcBorders>
            <w:shd w:val="clear" w:color="auto" w:fill="EFF2EF"/>
          </w:tcPr>
          <w:p>
            <w:pPr>
              <w:spacing w:after="0"/>
              <w:rPr>
                <w:sz w:val="6"/>
                <w:szCs w:val="6"/>
                <w:color w:val="auto"/>
              </w:rPr>
            </w:pPr>
          </w:p>
        </w:tc>
        <w:tc>
          <w:tcPr>
            <w:tcW w:w="4500" w:type="dxa"/>
            <w:vAlign w:val="bottom"/>
            <w:tcBorders>
              <w:right w:val="single" w:sz="8" w:color="333333"/>
            </w:tcBorders>
            <w:gridSpan w:val="2"/>
            <w:vMerge w:val="continue"/>
          </w:tcPr>
          <w:p>
            <w:pPr>
              <w:spacing w:after="0"/>
              <w:rPr>
                <w:sz w:val="6"/>
                <w:szCs w:val="6"/>
                <w:color w:val="auto"/>
              </w:rPr>
            </w:pPr>
          </w:p>
        </w:tc>
        <w:tc>
          <w:tcPr>
            <w:tcW w:w="2360" w:type="dxa"/>
            <w:vAlign w:val="bottom"/>
            <w:tcBorders>
              <w:right w:val="single" w:sz="8" w:color="333333"/>
            </w:tcBorders>
          </w:tcPr>
          <w:p>
            <w:pPr>
              <w:spacing w:after="0"/>
              <w:rPr>
                <w:sz w:val="6"/>
                <w:szCs w:val="6"/>
                <w:color w:val="auto"/>
              </w:rPr>
            </w:pPr>
          </w:p>
        </w:tc>
        <w:tc>
          <w:tcPr>
            <w:tcW w:w="2640" w:type="dxa"/>
            <w:vAlign w:val="bottom"/>
            <w:tcBorders>
              <w:right w:val="single" w:sz="8" w:color="333333"/>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40" w:type="dxa"/>
            <w:vAlign w:val="bottom"/>
            <w:tcBorders>
              <w:top w:val="single" w:sz="8" w:color="333333"/>
              <w:left w:val="single" w:sz="8" w:color="333333"/>
            </w:tcBorders>
          </w:tcPr>
          <w:p>
            <w:pPr>
              <w:spacing w:after="0"/>
              <w:rPr>
                <w:sz w:val="13"/>
                <w:szCs w:val="13"/>
                <w:color w:val="auto"/>
              </w:rPr>
            </w:pPr>
          </w:p>
        </w:tc>
        <w:tc>
          <w:tcPr>
            <w:tcW w:w="860" w:type="dxa"/>
            <w:vAlign w:val="bottom"/>
            <w:tcBorders>
              <w:top w:val="single" w:sz="8" w:color="333333"/>
            </w:tcBorders>
          </w:tcPr>
          <w:p>
            <w:pPr>
              <w:spacing w:after="0"/>
              <w:rPr>
                <w:sz w:val="13"/>
                <w:szCs w:val="13"/>
                <w:color w:val="auto"/>
              </w:rPr>
            </w:pPr>
          </w:p>
        </w:tc>
        <w:tc>
          <w:tcPr>
            <w:tcW w:w="6000" w:type="dxa"/>
            <w:vAlign w:val="bottom"/>
            <w:tcBorders>
              <w:top w:val="single" w:sz="8" w:color="333333"/>
            </w:tcBorders>
            <w:gridSpan w:val="2"/>
          </w:tcPr>
          <w:p>
            <w:pPr>
              <w:jc w:val="center"/>
              <w:ind w:left="383"/>
              <w:spacing w:after="0" w:line="158" w:lineRule="exact"/>
              <w:rPr>
                <w:sz w:val="20"/>
                <w:szCs w:val="20"/>
                <w:color w:val="auto"/>
              </w:rPr>
            </w:pPr>
            <w:r>
              <w:rPr>
                <w:rFonts w:ascii="Calibri" w:cs="Calibri" w:eastAsia="Calibri" w:hAnsi="Calibri"/>
                <w:sz w:val="15"/>
                <w:szCs w:val="15"/>
                <w:b w:val="1"/>
                <w:bCs w:val="1"/>
                <w:color w:val="333333"/>
                <w:w w:val="98"/>
              </w:rPr>
              <w:t>Total AIP Opportunity at Target</w:t>
            </w:r>
          </w:p>
        </w:tc>
        <w:tc>
          <w:tcPr>
            <w:tcW w:w="2640" w:type="dxa"/>
            <w:vAlign w:val="bottom"/>
            <w:tcBorders>
              <w:top w:val="single" w:sz="8" w:color="333333"/>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tcBorders>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gridSpan w:val="2"/>
          </w:tcPr>
          <w:p>
            <w:pPr>
              <w:jc w:val="center"/>
              <w:ind w:left="363"/>
              <w:spacing w:after="0" w:line="180" w:lineRule="exact"/>
              <w:rPr>
                <w:sz w:val="20"/>
                <w:szCs w:val="20"/>
                <w:color w:val="auto"/>
              </w:rPr>
            </w:pPr>
            <w:r>
              <w:rPr>
                <w:rFonts w:ascii="Calibri" w:cs="Calibri" w:eastAsia="Calibri" w:hAnsi="Calibri"/>
                <w:sz w:val="15"/>
                <w:szCs w:val="15"/>
                <w:color w:val="333333"/>
              </w:rPr>
              <w:t>$875,000 (1.25x Base Salary)</w:t>
            </w:r>
          </w:p>
        </w:tc>
        <w:tc>
          <w:tcPr>
            <w:tcW w:w="264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333333"/>
              <w:bottom w:val="single" w:sz="8" w:color="333333"/>
            </w:tcBorders>
          </w:tcPr>
          <w:p>
            <w:pPr>
              <w:spacing w:after="0"/>
              <w:rPr>
                <w:sz w:val="13"/>
                <w:szCs w:val="13"/>
                <w:color w:val="auto"/>
              </w:rPr>
            </w:pPr>
          </w:p>
        </w:tc>
        <w:tc>
          <w:tcPr>
            <w:tcW w:w="860" w:type="dxa"/>
            <w:vAlign w:val="bottom"/>
            <w:tcBorders>
              <w:bottom w:val="single" w:sz="8" w:color="333333"/>
            </w:tcBorders>
          </w:tcPr>
          <w:p>
            <w:pPr>
              <w:spacing w:after="0"/>
              <w:rPr>
                <w:sz w:val="13"/>
                <w:szCs w:val="13"/>
                <w:color w:val="auto"/>
              </w:rPr>
            </w:pPr>
          </w:p>
        </w:tc>
        <w:tc>
          <w:tcPr>
            <w:tcW w:w="3640" w:type="dxa"/>
            <w:vAlign w:val="bottom"/>
            <w:tcBorders>
              <w:bottom w:val="single" w:sz="8" w:color="333333"/>
            </w:tcBorders>
          </w:tcPr>
          <w:p>
            <w:pPr>
              <w:spacing w:after="0"/>
              <w:rPr>
                <w:sz w:val="13"/>
                <w:szCs w:val="13"/>
                <w:color w:val="auto"/>
              </w:rPr>
            </w:pPr>
          </w:p>
        </w:tc>
        <w:tc>
          <w:tcPr>
            <w:tcW w:w="2360" w:type="dxa"/>
            <w:vAlign w:val="bottom"/>
            <w:tcBorders>
              <w:bottom w:val="single" w:sz="8" w:color="333333"/>
            </w:tcBorders>
          </w:tcPr>
          <w:p>
            <w:pPr>
              <w:spacing w:after="0"/>
              <w:rPr>
                <w:sz w:val="13"/>
                <w:szCs w:val="13"/>
                <w:color w:val="auto"/>
              </w:rPr>
            </w:pPr>
          </w:p>
        </w:tc>
        <w:tc>
          <w:tcPr>
            <w:tcW w:w="2640" w:type="dxa"/>
            <w:vAlign w:val="bottom"/>
            <w:tcBorders>
              <w:bottom w:val="single" w:sz="8" w:color="333333"/>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860" w:type="dxa"/>
            <w:vAlign w:val="bottom"/>
          </w:tcPr>
          <w:p>
            <w:pPr>
              <w:spacing w:after="0"/>
              <w:rPr>
                <w:sz w:val="13"/>
                <w:szCs w:val="13"/>
                <w:color w:val="auto"/>
              </w:rPr>
            </w:pPr>
          </w:p>
        </w:tc>
        <w:tc>
          <w:tcPr>
            <w:tcW w:w="3640" w:type="dxa"/>
            <w:vAlign w:val="bottom"/>
            <w:tcBorders>
              <w:right w:val="single" w:sz="8" w:color="333333"/>
            </w:tcBorders>
          </w:tcPr>
          <w:p>
            <w:pPr>
              <w:jc w:val="center"/>
              <w:ind w:right="743"/>
              <w:spacing w:after="0" w:line="158" w:lineRule="exact"/>
              <w:rPr>
                <w:sz w:val="20"/>
                <w:szCs w:val="20"/>
                <w:color w:val="auto"/>
              </w:rPr>
            </w:pPr>
            <w:r>
              <w:rPr>
                <w:rFonts w:ascii="Calibri" w:cs="Calibri" w:eastAsia="Calibri" w:hAnsi="Calibri"/>
                <w:sz w:val="15"/>
                <w:szCs w:val="15"/>
                <w:b w:val="1"/>
                <w:bCs w:val="1"/>
                <w:color w:val="333333"/>
                <w:w w:val="99"/>
              </w:rPr>
              <w:t>AIP Target Opportunity as % of Base Salary</w:t>
            </w:r>
          </w:p>
        </w:tc>
        <w:tc>
          <w:tcPr>
            <w:tcW w:w="2360" w:type="dxa"/>
            <w:vAlign w:val="bottom"/>
            <w:tcBorders>
              <w:right w:val="single" w:sz="8" w:color="333333"/>
            </w:tcBorders>
          </w:tcPr>
          <w:p>
            <w:pPr>
              <w:jc w:val="center"/>
              <w:ind w:left="81"/>
              <w:spacing w:after="0" w:line="158" w:lineRule="exact"/>
              <w:rPr>
                <w:sz w:val="20"/>
                <w:szCs w:val="20"/>
                <w:color w:val="auto"/>
              </w:rPr>
            </w:pPr>
            <w:r>
              <w:rPr>
                <w:rFonts w:ascii="Calibri" w:cs="Calibri" w:eastAsia="Calibri" w:hAnsi="Calibri"/>
                <w:sz w:val="15"/>
                <w:szCs w:val="15"/>
                <w:b w:val="1"/>
                <w:bCs w:val="1"/>
                <w:color w:val="333333"/>
                <w:w w:val="99"/>
              </w:rPr>
              <w:t>Metric as % of Total AIP</w:t>
            </w:r>
          </w:p>
        </w:tc>
        <w:tc>
          <w:tcPr>
            <w:tcW w:w="2640" w:type="dxa"/>
            <w:vAlign w:val="bottom"/>
            <w:tcBorders>
              <w:right w:val="single" w:sz="8" w:color="333333"/>
            </w:tcBorders>
          </w:tcPr>
          <w:p>
            <w:pPr>
              <w:jc w:val="center"/>
              <w:ind w:left="102"/>
              <w:spacing w:after="0" w:line="158" w:lineRule="exact"/>
              <w:rPr>
                <w:sz w:val="20"/>
                <w:szCs w:val="20"/>
                <w:color w:val="auto"/>
              </w:rPr>
            </w:pPr>
            <w:r>
              <w:rPr>
                <w:rFonts w:ascii="Calibri" w:cs="Calibri" w:eastAsia="Calibri" w:hAnsi="Calibri"/>
                <w:sz w:val="15"/>
                <w:szCs w:val="15"/>
                <w:b w:val="1"/>
                <w:bCs w:val="1"/>
                <w:color w:val="333333"/>
              </w:rPr>
              <w:t>GC, CSTO and Interim</w:t>
            </w: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Borders>
              <w:right w:val="single" w:sz="8" w:color="333333"/>
            </w:tcBorders>
            <w:vMerge w:val="restart"/>
          </w:tcPr>
          <w:p>
            <w:pPr>
              <w:jc w:val="center"/>
              <w:ind w:right="723"/>
              <w:spacing w:after="0"/>
              <w:rPr>
                <w:sz w:val="20"/>
                <w:szCs w:val="20"/>
                <w:color w:val="auto"/>
              </w:rPr>
            </w:pPr>
            <w:r>
              <w:rPr>
                <w:rFonts w:ascii="Calibri" w:cs="Calibri" w:eastAsia="Calibri" w:hAnsi="Calibri"/>
                <w:sz w:val="15"/>
                <w:szCs w:val="15"/>
                <w:color w:val="333333"/>
              </w:rPr>
              <w:t>Threshold – 50% ($437,500)</w:t>
            </w:r>
          </w:p>
        </w:tc>
        <w:tc>
          <w:tcPr>
            <w:tcW w:w="2360" w:type="dxa"/>
            <w:vAlign w:val="bottom"/>
            <w:tcBorders>
              <w:right w:val="single" w:sz="8" w:color="333333"/>
            </w:tcBorders>
          </w:tcPr>
          <w:p>
            <w:pPr>
              <w:jc w:val="center"/>
              <w:ind w:left="61"/>
              <w:spacing w:after="0" w:line="180" w:lineRule="exact"/>
              <w:rPr>
                <w:sz w:val="20"/>
                <w:szCs w:val="20"/>
                <w:color w:val="auto"/>
              </w:rPr>
            </w:pPr>
            <w:r>
              <w:rPr>
                <w:rFonts w:ascii="Calibri" w:cs="Calibri" w:eastAsia="Calibri" w:hAnsi="Calibri"/>
                <w:sz w:val="15"/>
                <w:szCs w:val="15"/>
                <w:b w:val="1"/>
                <w:bCs w:val="1"/>
                <w:color w:val="333333"/>
              </w:rPr>
              <w:t>Opportunity</w:t>
            </w:r>
          </w:p>
        </w:tc>
        <w:tc>
          <w:tcPr>
            <w:tcW w:w="2640" w:type="dxa"/>
            <w:vAlign w:val="bottom"/>
            <w:tcBorders>
              <w:right w:val="single" w:sz="8" w:color="333333"/>
            </w:tcBorders>
          </w:tcPr>
          <w:p>
            <w:pPr>
              <w:jc w:val="center"/>
              <w:ind w:left="102"/>
              <w:spacing w:after="0" w:line="180" w:lineRule="exact"/>
              <w:rPr>
                <w:sz w:val="20"/>
                <w:szCs w:val="20"/>
                <w:color w:val="auto"/>
              </w:rPr>
            </w:pPr>
            <w:r>
              <w:rPr>
                <w:rFonts w:ascii="Calibri" w:cs="Calibri" w:eastAsia="Calibri" w:hAnsi="Calibri"/>
                <w:sz w:val="15"/>
                <w:szCs w:val="15"/>
                <w:b w:val="1"/>
                <w:bCs w:val="1"/>
                <w:color w:val="333333"/>
              </w:rPr>
              <w:t>CFO $1,057,533</w:t>
            </w:r>
          </w:p>
        </w:tc>
        <w:tc>
          <w:tcPr>
            <w:tcW w:w="0" w:type="dxa"/>
            <w:vAlign w:val="bottom"/>
          </w:tcPr>
          <w:p>
            <w:pPr>
              <w:spacing w:after="0"/>
              <w:rPr>
                <w:sz w:val="1"/>
                <w:szCs w:val="1"/>
                <w:color w:val="auto"/>
              </w:rPr>
            </w:pPr>
          </w:p>
        </w:tc>
      </w:tr>
      <w:tr>
        <w:trPr>
          <w:trHeight w:val="134"/>
        </w:trPr>
        <w:tc>
          <w:tcPr>
            <w:tcW w:w="1440" w:type="dxa"/>
            <w:vAlign w:val="bottom"/>
            <w:tcBorders>
              <w:left w:val="single" w:sz="8" w:color="333333"/>
              <w:right w:val="single" w:sz="8" w:color="333333"/>
            </w:tcBorders>
            <w:shd w:val="clear" w:color="auto" w:fill="EFF2EF"/>
          </w:tcPr>
          <w:p>
            <w:pPr>
              <w:spacing w:after="0"/>
              <w:rPr>
                <w:sz w:val="11"/>
                <w:szCs w:val="11"/>
                <w:color w:val="auto"/>
              </w:rPr>
            </w:pPr>
          </w:p>
        </w:tc>
        <w:tc>
          <w:tcPr>
            <w:tcW w:w="860" w:type="dxa"/>
            <w:vAlign w:val="bottom"/>
          </w:tcPr>
          <w:p>
            <w:pPr>
              <w:spacing w:after="0"/>
              <w:rPr>
                <w:sz w:val="11"/>
                <w:szCs w:val="11"/>
                <w:color w:val="auto"/>
              </w:rPr>
            </w:pPr>
          </w:p>
        </w:tc>
        <w:tc>
          <w:tcPr>
            <w:tcW w:w="3640" w:type="dxa"/>
            <w:vAlign w:val="bottom"/>
            <w:tcBorders>
              <w:right w:val="single" w:sz="8" w:color="333333"/>
            </w:tcBorders>
            <w:vMerge w:val="continue"/>
          </w:tcPr>
          <w:p>
            <w:pPr>
              <w:spacing w:after="0"/>
              <w:rPr>
                <w:sz w:val="11"/>
                <w:szCs w:val="11"/>
                <w:color w:val="auto"/>
              </w:rPr>
            </w:pPr>
          </w:p>
        </w:tc>
        <w:tc>
          <w:tcPr>
            <w:tcW w:w="2360" w:type="dxa"/>
            <w:vAlign w:val="bottom"/>
            <w:tcBorders>
              <w:right w:val="single" w:sz="8" w:color="333333"/>
            </w:tcBorders>
          </w:tcPr>
          <w:p>
            <w:pPr>
              <w:spacing w:after="0"/>
              <w:rPr>
                <w:sz w:val="11"/>
                <w:szCs w:val="11"/>
                <w:color w:val="auto"/>
              </w:rPr>
            </w:pPr>
          </w:p>
        </w:tc>
        <w:tc>
          <w:tcPr>
            <w:tcW w:w="2640" w:type="dxa"/>
            <w:vAlign w:val="bottom"/>
            <w:tcBorders>
              <w:right w:val="single" w:sz="8" w:color="333333"/>
            </w:tcBorders>
            <w:vMerge w:val="restart"/>
          </w:tcPr>
          <w:p>
            <w:pPr>
              <w:jc w:val="center"/>
              <w:ind w:left="102"/>
              <w:spacing w:after="0"/>
              <w:rPr>
                <w:sz w:val="20"/>
                <w:szCs w:val="20"/>
                <w:color w:val="auto"/>
              </w:rPr>
            </w:pPr>
            <w:r>
              <w:rPr>
                <w:rFonts w:ascii="Calibri" w:cs="Calibri" w:eastAsia="Calibri" w:hAnsi="Calibri"/>
                <w:sz w:val="15"/>
                <w:szCs w:val="15"/>
                <w:color w:val="333333"/>
              </w:rPr>
              <w:t>(121% of Target)</w:t>
            </w:r>
          </w:p>
        </w:tc>
        <w:tc>
          <w:tcPr>
            <w:tcW w:w="0" w:type="dxa"/>
            <w:vAlign w:val="bottom"/>
          </w:tcPr>
          <w:p>
            <w:pPr>
              <w:spacing w:after="0"/>
              <w:rPr>
                <w:sz w:val="1"/>
                <w:szCs w:val="1"/>
                <w:color w:val="auto"/>
              </w:rPr>
            </w:pPr>
          </w:p>
        </w:tc>
      </w:tr>
      <w:tr>
        <w:trPr>
          <w:trHeight w:val="53"/>
        </w:trPr>
        <w:tc>
          <w:tcPr>
            <w:tcW w:w="1440" w:type="dxa"/>
            <w:vAlign w:val="bottom"/>
            <w:tcBorders>
              <w:left w:val="single" w:sz="8" w:color="333333"/>
              <w:right w:val="single" w:sz="8" w:color="333333"/>
            </w:tcBorders>
            <w:shd w:val="clear" w:color="auto" w:fill="EFF2EF"/>
          </w:tcPr>
          <w:p>
            <w:pPr>
              <w:spacing w:after="0"/>
              <w:rPr>
                <w:sz w:val="4"/>
                <w:szCs w:val="4"/>
                <w:color w:val="auto"/>
              </w:rPr>
            </w:pPr>
          </w:p>
        </w:tc>
        <w:tc>
          <w:tcPr>
            <w:tcW w:w="860" w:type="dxa"/>
            <w:vAlign w:val="bottom"/>
          </w:tcPr>
          <w:p>
            <w:pPr>
              <w:spacing w:after="0"/>
              <w:rPr>
                <w:sz w:val="4"/>
                <w:szCs w:val="4"/>
                <w:color w:val="auto"/>
              </w:rPr>
            </w:pPr>
          </w:p>
        </w:tc>
        <w:tc>
          <w:tcPr>
            <w:tcW w:w="3640" w:type="dxa"/>
            <w:vAlign w:val="bottom"/>
            <w:tcBorders>
              <w:right w:val="single" w:sz="8" w:color="333333"/>
            </w:tcBorders>
            <w:vMerge w:val="restart"/>
          </w:tcPr>
          <w:p>
            <w:pPr>
              <w:jc w:val="center"/>
              <w:ind w:right="743"/>
              <w:spacing w:after="0"/>
              <w:rPr>
                <w:sz w:val="20"/>
                <w:szCs w:val="20"/>
                <w:color w:val="auto"/>
              </w:rPr>
            </w:pPr>
            <w:r>
              <w:rPr>
                <w:rFonts w:ascii="Calibri" w:cs="Calibri" w:eastAsia="Calibri" w:hAnsi="Calibri"/>
                <w:sz w:val="15"/>
                <w:szCs w:val="15"/>
                <w:color w:val="333333"/>
              </w:rPr>
              <w:t>Target – 100% ($875,000)</w:t>
            </w:r>
          </w:p>
        </w:tc>
        <w:tc>
          <w:tcPr>
            <w:tcW w:w="2360" w:type="dxa"/>
            <w:vAlign w:val="bottom"/>
            <w:tcBorders>
              <w:right w:val="single" w:sz="8" w:color="333333"/>
            </w:tcBorders>
          </w:tcPr>
          <w:p>
            <w:pPr>
              <w:spacing w:after="0"/>
              <w:rPr>
                <w:sz w:val="4"/>
                <w:szCs w:val="4"/>
                <w:color w:val="auto"/>
              </w:rPr>
            </w:pPr>
          </w:p>
        </w:tc>
        <w:tc>
          <w:tcPr>
            <w:tcW w:w="2640" w:type="dxa"/>
            <w:vAlign w:val="bottom"/>
            <w:tcBorders>
              <w:right w:val="single" w:sz="8" w:color="333333"/>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860" w:type="dxa"/>
            <w:vAlign w:val="bottom"/>
          </w:tcPr>
          <w:p>
            <w:pPr>
              <w:spacing w:after="0"/>
              <w:rPr>
                <w:sz w:val="13"/>
                <w:szCs w:val="13"/>
                <w:color w:val="auto"/>
              </w:rPr>
            </w:pPr>
          </w:p>
        </w:tc>
        <w:tc>
          <w:tcPr>
            <w:tcW w:w="3640" w:type="dxa"/>
            <w:vAlign w:val="bottom"/>
            <w:tcBorders>
              <w:right w:val="single" w:sz="8" w:color="333333"/>
            </w:tcBorders>
            <w:vMerge w:val="continue"/>
          </w:tcPr>
          <w:p>
            <w:pPr>
              <w:spacing w:after="0"/>
              <w:rPr>
                <w:sz w:val="13"/>
                <w:szCs w:val="13"/>
                <w:color w:val="auto"/>
              </w:rPr>
            </w:pPr>
          </w:p>
        </w:tc>
        <w:tc>
          <w:tcPr>
            <w:tcW w:w="2360" w:type="dxa"/>
            <w:vAlign w:val="bottom"/>
            <w:tcBorders>
              <w:right w:val="single" w:sz="8" w:color="333333"/>
            </w:tcBorders>
            <w:vMerge w:val="restart"/>
          </w:tcPr>
          <w:p>
            <w:pPr>
              <w:jc w:val="center"/>
              <w:ind w:left="81"/>
              <w:spacing w:after="0"/>
              <w:rPr>
                <w:sz w:val="20"/>
                <w:szCs w:val="20"/>
                <w:color w:val="auto"/>
              </w:rPr>
            </w:pPr>
            <w:r>
              <w:rPr>
                <w:rFonts w:ascii="Calibri" w:cs="Calibri" w:eastAsia="Calibri" w:hAnsi="Calibri"/>
                <w:sz w:val="15"/>
                <w:szCs w:val="15"/>
                <w:color w:val="333333"/>
              </w:rPr>
              <w:t>Adjusted EPS – 33.33%</w:t>
            </w:r>
          </w:p>
        </w:tc>
        <w:tc>
          <w:tcPr>
            <w:tcW w:w="2640" w:type="dxa"/>
            <w:vAlign w:val="bottom"/>
            <w:tcBorders>
              <w:right w:val="single" w:sz="8" w:color="333333"/>
            </w:tcBorders>
          </w:tcPr>
          <w:p>
            <w:pPr>
              <w:jc w:val="center"/>
              <w:ind w:left="102"/>
              <w:spacing w:after="0" w:line="151" w:lineRule="exact"/>
              <w:rPr>
                <w:sz w:val="20"/>
                <w:szCs w:val="20"/>
                <w:color w:val="auto"/>
              </w:rPr>
            </w:pPr>
            <w:r>
              <w:rPr>
                <w:rFonts w:ascii="Calibri" w:cs="Calibri" w:eastAsia="Calibri" w:hAnsi="Calibri"/>
                <w:sz w:val="12"/>
                <w:szCs w:val="12"/>
                <w:b w:val="1"/>
                <w:bCs w:val="1"/>
                <w:color w:val="333333"/>
              </w:rPr>
              <w:t xml:space="preserve">CHRO $528,767 </w:t>
            </w:r>
            <w:r>
              <w:rPr>
                <w:rFonts w:ascii="Calibri" w:cs="Calibri" w:eastAsia="Calibri" w:hAnsi="Calibri"/>
                <w:sz w:val="16"/>
                <w:szCs w:val="16"/>
                <w:b w:val="1"/>
                <w:bCs w:val="1"/>
                <w:color w:val="333333"/>
                <w:vertAlign w:val="superscript"/>
              </w:rPr>
              <w:t>(2)</w:t>
            </w:r>
          </w:p>
        </w:tc>
        <w:tc>
          <w:tcPr>
            <w:tcW w:w="0" w:type="dxa"/>
            <w:vAlign w:val="bottom"/>
          </w:tcPr>
          <w:p>
            <w:pPr>
              <w:spacing w:after="0"/>
              <w:rPr>
                <w:sz w:val="1"/>
                <w:szCs w:val="1"/>
                <w:color w:val="auto"/>
              </w:rPr>
            </w:pPr>
          </w:p>
        </w:tc>
      </w:tr>
      <w:tr>
        <w:trPr>
          <w:trHeight w:val="116"/>
        </w:trPr>
        <w:tc>
          <w:tcPr>
            <w:tcW w:w="1440" w:type="dxa"/>
            <w:vAlign w:val="bottom"/>
            <w:tcBorders>
              <w:left w:val="single" w:sz="8" w:color="333333"/>
              <w:right w:val="single" w:sz="8" w:color="333333"/>
            </w:tcBorders>
            <w:vMerge w:val="restart"/>
            <w:shd w:val="clear" w:color="auto" w:fill="EFF2EF"/>
          </w:tcPr>
          <w:p>
            <w:pPr>
              <w:jc w:val="center"/>
              <w:ind w:left="58"/>
              <w:spacing w:after="0"/>
              <w:rPr>
                <w:sz w:val="20"/>
                <w:szCs w:val="20"/>
                <w:color w:val="auto"/>
              </w:rPr>
            </w:pPr>
            <w:r>
              <w:rPr>
                <w:rFonts w:ascii="Calibri" w:cs="Calibri" w:eastAsia="Calibri" w:hAnsi="Calibri"/>
                <w:sz w:val="15"/>
                <w:szCs w:val="15"/>
                <w:b w:val="1"/>
                <w:bCs w:val="1"/>
                <w:color w:val="333333"/>
              </w:rPr>
              <w:t>AIP</w:t>
            </w:r>
          </w:p>
        </w:tc>
        <w:tc>
          <w:tcPr>
            <w:tcW w:w="860" w:type="dxa"/>
            <w:vAlign w:val="bottom"/>
          </w:tcPr>
          <w:p>
            <w:pPr>
              <w:spacing w:after="0"/>
              <w:rPr>
                <w:sz w:val="10"/>
                <w:szCs w:val="10"/>
                <w:color w:val="auto"/>
              </w:rPr>
            </w:pPr>
          </w:p>
        </w:tc>
        <w:tc>
          <w:tcPr>
            <w:tcW w:w="3640" w:type="dxa"/>
            <w:vAlign w:val="bottom"/>
            <w:tcBorders>
              <w:right w:val="single" w:sz="8" w:color="333333"/>
            </w:tcBorders>
            <w:vMerge w:val="restart"/>
          </w:tcPr>
          <w:p>
            <w:pPr>
              <w:jc w:val="center"/>
              <w:ind w:right="723"/>
              <w:spacing w:after="0" w:line="180" w:lineRule="exact"/>
              <w:rPr>
                <w:sz w:val="20"/>
                <w:szCs w:val="20"/>
                <w:color w:val="auto"/>
              </w:rPr>
            </w:pPr>
            <w:r>
              <w:rPr>
                <w:rFonts w:ascii="Calibri" w:cs="Calibri" w:eastAsia="Calibri" w:hAnsi="Calibri"/>
                <w:sz w:val="15"/>
                <w:szCs w:val="15"/>
                <w:color w:val="333333"/>
              </w:rPr>
              <w:t>Maximum – 150% ($1,312,500)</w:t>
            </w:r>
          </w:p>
        </w:tc>
        <w:tc>
          <w:tcPr>
            <w:tcW w:w="2360" w:type="dxa"/>
            <w:vAlign w:val="bottom"/>
            <w:tcBorders>
              <w:right w:val="single" w:sz="8" w:color="333333"/>
            </w:tcBorders>
            <w:vMerge w:val="continue"/>
          </w:tcPr>
          <w:p>
            <w:pPr>
              <w:spacing w:after="0"/>
              <w:rPr>
                <w:sz w:val="10"/>
                <w:szCs w:val="10"/>
                <w:color w:val="auto"/>
              </w:rPr>
            </w:pPr>
          </w:p>
        </w:tc>
        <w:tc>
          <w:tcPr>
            <w:tcW w:w="2640" w:type="dxa"/>
            <w:vAlign w:val="bottom"/>
            <w:tcBorders>
              <w:right w:val="single" w:sz="8" w:color="333333"/>
            </w:tcBorders>
            <w:vMerge w:val="restart"/>
          </w:tcPr>
          <w:p>
            <w:pPr>
              <w:jc w:val="center"/>
              <w:ind w:left="102"/>
              <w:spacing w:after="0"/>
              <w:rPr>
                <w:sz w:val="20"/>
                <w:szCs w:val="20"/>
                <w:color w:val="auto"/>
              </w:rPr>
            </w:pPr>
            <w:r>
              <w:rPr>
                <w:rFonts w:ascii="Calibri" w:cs="Calibri" w:eastAsia="Calibri" w:hAnsi="Calibri"/>
                <w:sz w:val="15"/>
                <w:szCs w:val="15"/>
                <w:color w:val="333333"/>
              </w:rPr>
              <w:t>(121% of Target)</w:t>
            </w:r>
          </w:p>
        </w:tc>
        <w:tc>
          <w:tcPr>
            <w:tcW w:w="0" w:type="dxa"/>
            <w:vAlign w:val="bottom"/>
          </w:tcPr>
          <w:p>
            <w:pPr>
              <w:spacing w:after="0"/>
              <w:rPr>
                <w:sz w:val="1"/>
                <w:szCs w:val="1"/>
                <w:color w:val="auto"/>
              </w:rPr>
            </w:pPr>
          </w:p>
        </w:tc>
      </w:tr>
      <w:tr>
        <w:trPr>
          <w:trHeight w:val="63"/>
        </w:trPr>
        <w:tc>
          <w:tcPr>
            <w:tcW w:w="1440" w:type="dxa"/>
            <w:vAlign w:val="bottom"/>
            <w:tcBorders>
              <w:left w:val="single" w:sz="8" w:color="333333"/>
              <w:right w:val="single" w:sz="8" w:color="333333"/>
            </w:tcBorders>
            <w:vMerge w:val="continue"/>
            <w:shd w:val="clear" w:color="auto" w:fill="EFF2EF"/>
          </w:tcPr>
          <w:p>
            <w:pPr>
              <w:spacing w:after="0"/>
              <w:rPr>
                <w:sz w:val="5"/>
                <w:szCs w:val="5"/>
                <w:color w:val="auto"/>
              </w:rPr>
            </w:pPr>
          </w:p>
        </w:tc>
        <w:tc>
          <w:tcPr>
            <w:tcW w:w="860" w:type="dxa"/>
            <w:vAlign w:val="bottom"/>
          </w:tcPr>
          <w:p>
            <w:pPr>
              <w:spacing w:after="0"/>
              <w:rPr>
                <w:sz w:val="5"/>
                <w:szCs w:val="5"/>
                <w:color w:val="auto"/>
              </w:rPr>
            </w:pPr>
          </w:p>
        </w:tc>
        <w:tc>
          <w:tcPr>
            <w:tcW w:w="3640" w:type="dxa"/>
            <w:vAlign w:val="bottom"/>
            <w:tcBorders>
              <w:right w:val="single" w:sz="8" w:color="333333"/>
            </w:tcBorders>
            <w:vMerge w:val="continue"/>
          </w:tcPr>
          <w:p>
            <w:pPr>
              <w:spacing w:after="0"/>
              <w:rPr>
                <w:sz w:val="5"/>
                <w:szCs w:val="5"/>
                <w:color w:val="auto"/>
              </w:rPr>
            </w:pPr>
          </w:p>
        </w:tc>
        <w:tc>
          <w:tcPr>
            <w:tcW w:w="2360" w:type="dxa"/>
            <w:vAlign w:val="bottom"/>
            <w:tcBorders>
              <w:right w:val="single" w:sz="8" w:color="333333"/>
            </w:tcBorders>
            <w:vMerge w:val="restart"/>
          </w:tcPr>
          <w:p>
            <w:pPr>
              <w:jc w:val="center"/>
              <w:ind w:left="61"/>
              <w:spacing w:after="0"/>
              <w:rPr>
                <w:sz w:val="20"/>
                <w:szCs w:val="20"/>
                <w:color w:val="auto"/>
              </w:rPr>
            </w:pPr>
            <w:r>
              <w:rPr>
                <w:rFonts w:ascii="Calibri" w:cs="Calibri" w:eastAsia="Calibri" w:hAnsi="Calibri"/>
                <w:sz w:val="15"/>
                <w:szCs w:val="15"/>
                <w:color w:val="333333"/>
              </w:rPr>
              <w:t>Adjusted EBITDA – 33.33%</w:t>
            </w:r>
          </w:p>
        </w:tc>
        <w:tc>
          <w:tcPr>
            <w:tcW w:w="2640" w:type="dxa"/>
            <w:vAlign w:val="bottom"/>
            <w:tcBorders>
              <w:right w:val="single" w:sz="8" w:color="333333"/>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440" w:type="dxa"/>
            <w:vAlign w:val="bottom"/>
            <w:tcBorders>
              <w:left w:val="single" w:sz="8" w:color="333333"/>
              <w:right w:val="single" w:sz="8" w:color="333333"/>
            </w:tcBorders>
            <w:vMerge w:val="continue"/>
            <w:shd w:val="clear" w:color="auto" w:fill="EFF2EF"/>
          </w:tcPr>
          <w:p>
            <w:pPr>
              <w:spacing w:after="0"/>
              <w:rPr>
                <w:sz w:val="6"/>
                <w:szCs w:val="6"/>
                <w:color w:val="auto"/>
              </w:rPr>
            </w:pPr>
          </w:p>
        </w:tc>
        <w:tc>
          <w:tcPr>
            <w:tcW w:w="860" w:type="dxa"/>
            <w:vAlign w:val="bottom"/>
          </w:tcPr>
          <w:p>
            <w:pPr>
              <w:spacing w:after="0"/>
              <w:rPr>
                <w:sz w:val="6"/>
                <w:szCs w:val="6"/>
                <w:color w:val="auto"/>
              </w:rPr>
            </w:pPr>
          </w:p>
        </w:tc>
        <w:tc>
          <w:tcPr>
            <w:tcW w:w="3640" w:type="dxa"/>
            <w:vAlign w:val="bottom"/>
            <w:tcBorders>
              <w:right w:val="single" w:sz="8" w:color="333333"/>
            </w:tcBorders>
          </w:tcPr>
          <w:p>
            <w:pPr>
              <w:spacing w:after="0"/>
              <w:rPr>
                <w:sz w:val="6"/>
                <w:szCs w:val="6"/>
                <w:color w:val="auto"/>
              </w:rPr>
            </w:pPr>
          </w:p>
        </w:tc>
        <w:tc>
          <w:tcPr>
            <w:tcW w:w="2360" w:type="dxa"/>
            <w:vAlign w:val="bottom"/>
            <w:tcBorders>
              <w:right w:val="single" w:sz="8" w:color="333333"/>
            </w:tcBorders>
            <w:vMerge w:val="continue"/>
          </w:tcPr>
          <w:p>
            <w:pPr>
              <w:spacing w:after="0"/>
              <w:rPr>
                <w:sz w:val="6"/>
                <w:szCs w:val="6"/>
                <w:color w:val="auto"/>
              </w:rPr>
            </w:pPr>
          </w:p>
        </w:tc>
        <w:tc>
          <w:tcPr>
            <w:tcW w:w="2640" w:type="dxa"/>
            <w:vAlign w:val="bottom"/>
            <w:tcBorders>
              <w:right w:val="single" w:sz="8" w:color="33333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40" w:type="dxa"/>
            <w:vAlign w:val="bottom"/>
            <w:tcBorders>
              <w:left w:val="single" w:sz="8" w:color="333333"/>
              <w:right w:val="single" w:sz="8" w:color="333333"/>
            </w:tcBorders>
            <w:shd w:val="clear" w:color="auto" w:fill="EFF2EF"/>
          </w:tcPr>
          <w:p>
            <w:pPr>
              <w:spacing w:after="0"/>
              <w:rPr>
                <w:sz w:val="4"/>
                <w:szCs w:val="4"/>
                <w:color w:val="auto"/>
              </w:rPr>
            </w:pPr>
          </w:p>
        </w:tc>
        <w:tc>
          <w:tcPr>
            <w:tcW w:w="860" w:type="dxa"/>
            <w:vAlign w:val="bottom"/>
          </w:tcPr>
          <w:p>
            <w:pPr>
              <w:spacing w:after="0"/>
              <w:rPr>
                <w:sz w:val="4"/>
                <w:szCs w:val="4"/>
                <w:color w:val="auto"/>
              </w:rPr>
            </w:pPr>
          </w:p>
        </w:tc>
        <w:tc>
          <w:tcPr>
            <w:tcW w:w="3640" w:type="dxa"/>
            <w:vAlign w:val="bottom"/>
            <w:tcBorders>
              <w:right w:val="single" w:sz="8" w:color="333333"/>
            </w:tcBorders>
          </w:tcPr>
          <w:p>
            <w:pPr>
              <w:spacing w:after="0"/>
              <w:rPr>
                <w:sz w:val="4"/>
                <w:szCs w:val="4"/>
                <w:color w:val="auto"/>
              </w:rPr>
            </w:pPr>
          </w:p>
        </w:tc>
        <w:tc>
          <w:tcPr>
            <w:tcW w:w="2360" w:type="dxa"/>
            <w:vAlign w:val="bottom"/>
            <w:tcBorders>
              <w:right w:val="single" w:sz="8" w:color="333333"/>
            </w:tcBorders>
            <w:vMerge w:val="continue"/>
          </w:tcPr>
          <w:p>
            <w:pPr>
              <w:spacing w:after="0"/>
              <w:rPr>
                <w:sz w:val="4"/>
                <w:szCs w:val="4"/>
                <w:color w:val="auto"/>
              </w:rPr>
            </w:pPr>
          </w:p>
        </w:tc>
        <w:tc>
          <w:tcPr>
            <w:tcW w:w="2640" w:type="dxa"/>
            <w:vAlign w:val="bottom"/>
            <w:tcBorders>
              <w:right w:val="single" w:sz="8" w:color="333333"/>
            </w:tcBorders>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1440" w:type="dxa"/>
            <w:vAlign w:val="bottom"/>
            <w:tcBorders>
              <w:left w:val="single" w:sz="8" w:color="333333"/>
              <w:bottom w:val="single" w:sz="8" w:color="EFF2EF"/>
              <w:right w:val="single" w:sz="8" w:color="333333"/>
            </w:tcBorders>
            <w:shd w:val="clear" w:color="auto" w:fill="EFF2EF"/>
          </w:tcPr>
          <w:p>
            <w:pPr>
              <w:spacing w:after="0"/>
              <w:rPr>
                <w:sz w:val="7"/>
                <w:szCs w:val="7"/>
                <w:color w:val="auto"/>
              </w:rPr>
            </w:pPr>
          </w:p>
        </w:tc>
        <w:tc>
          <w:tcPr>
            <w:tcW w:w="860" w:type="dxa"/>
            <w:vAlign w:val="bottom"/>
            <w:tcBorders>
              <w:bottom w:val="single" w:sz="8" w:color="333333"/>
            </w:tcBorders>
          </w:tcPr>
          <w:p>
            <w:pPr>
              <w:spacing w:after="0"/>
              <w:rPr>
                <w:sz w:val="7"/>
                <w:szCs w:val="7"/>
                <w:color w:val="auto"/>
              </w:rPr>
            </w:pPr>
          </w:p>
        </w:tc>
        <w:tc>
          <w:tcPr>
            <w:tcW w:w="3640" w:type="dxa"/>
            <w:vAlign w:val="bottom"/>
            <w:tcBorders>
              <w:bottom w:val="single" w:sz="8" w:color="333333"/>
              <w:right w:val="single" w:sz="8" w:color="333333"/>
            </w:tcBorders>
          </w:tcPr>
          <w:p>
            <w:pPr>
              <w:spacing w:after="0"/>
              <w:rPr>
                <w:sz w:val="7"/>
                <w:szCs w:val="7"/>
                <w:color w:val="auto"/>
              </w:rPr>
            </w:pPr>
          </w:p>
        </w:tc>
        <w:tc>
          <w:tcPr>
            <w:tcW w:w="2360" w:type="dxa"/>
            <w:vAlign w:val="bottom"/>
            <w:tcBorders>
              <w:right w:val="single" w:sz="8" w:color="333333"/>
            </w:tcBorders>
            <w:vMerge w:val="restart"/>
          </w:tcPr>
          <w:p>
            <w:pPr>
              <w:jc w:val="center"/>
              <w:ind w:left="61"/>
              <w:spacing w:after="0"/>
              <w:rPr>
                <w:sz w:val="20"/>
                <w:szCs w:val="20"/>
                <w:color w:val="auto"/>
              </w:rPr>
            </w:pPr>
            <w:r>
              <w:rPr>
                <w:rFonts w:ascii="Calibri" w:cs="Calibri" w:eastAsia="Calibri" w:hAnsi="Calibri"/>
                <w:sz w:val="15"/>
                <w:szCs w:val="15"/>
                <w:color w:val="333333"/>
              </w:rPr>
              <w:t>Individual Performance – 33.34%</w:t>
            </w:r>
          </w:p>
        </w:tc>
        <w:tc>
          <w:tcPr>
            <w:tcW w:w="2640" w:type="dxa"/>
            <w:vAlign w:val="bottom"/>
            <w:tcBorders>
              <w:right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40" w:type="dxa"/>
            <w:vAlign w:val="bottom"/>
            <w:tcBorders>
              <w:left w:val="single" w:sz="8" w:color="333333"/>
              <w:right w:val="single" w:sz="8" w:color="333333"/>
            </w:tcBorders>
            <w:shd w:val="clear" w:color="auto" w:fill="EFF2EF"/>
          </w:tcPr>
          <w:p>
            <w:pPr>
              <w:spacing w:after="0"/>
              <w:rPr>
                <w:sz w:val="7"/>
                <w:szCs w:val="7"/>
                <w:color w:val="auto"/>
              </w:rPr>
            </w:pPr>
          </w:p>
        </w:tc>
        <w:tc>
          <w:tcPr>
            <w:tcW w:w="860" w:type="dxa"/>
            <w:vAlign w:val="bottom"/>
          </w:tcPr>
          <w:p>
            <w:pPr>
              <w:spacing w:after="0"/>
              <w:rPr>
                <w:sz w:val="7"/>
                <w:szCs w:val="7"/>
                <w:color w:val="auto"/>
              </w:rPr>
            </w:pPr>
          </w:p>
        </w:tc>
        <w:tc>
          <w:tcPr>
            <w:tcW w:w="3640" w:type="dxa"/>
            <w:vAlign w:val="bottom"/>
            <w:tcBorders>
              <w:right w:val="single" w:sz="8" w:color="333333"/>
            </w:tcBorders>
            <w:vMerge w:val="restart"/>
          </w:tcPr>
          <w:p>
            <w:pPr>
              <w:jc w:val="center"/>
              <w:ind w:right="743"/>
              <w:spacing w:after="0" w:line="173" w:lineRule="exact"/>
              <w:rPr>
                <w:sz w:val="20"/>
                <w:szCs w:val="20"/>
                <w:color w:val="auto"/>
              </w:rPr>
            </w:pPr>
            <w:r>
              <w:rPr>
                <w:rFonts w:ascii="Calibri" w:cs="Calibri" w:eastAsia="Calibri" w:hAnsi="Calibri"/>
                <w:sz w:val="15"/>
                <w:szCs w:val="15"/>
                <w:b w:val="1"/>
                <w:bCs w:val="1"/>
                <w:color w:val="333333"/>
                <w:w w:val="99"/>
              </w:rPr>
              <w:t>Form of Payment as % of Total AIP</w:t>
            </w:r>
          </w:p>
        </w:tc>
        <w:tc>
          <w:tcPr>
            <w:tcW w:w="2360" w:type="dxa"/>
            <w:vAlign w:val="bottom"/>
            <w:tcBorders>
              <w:right w:val="single" w:sz="8" w:color="333333"/>
            </w:tcBorders>
            <w:vMerge w:val="continue"/>
          </w:tcPr>
          <w:p>
            <w:pPr>
              <w:spacing w:after="0"/>
              <w:rPr>
                <w:sz w:val="7"/>
                <w:szCs w:val="7"/>
                <w:color w:val="auto"/>
              </w:rPr>
            </w:pPr>
          </w:p>
        </w:tc>
        <w:tc>
          <w:tcPr>
            <w:tcW w:w="2640" w:type="dxa"/>
            <w:vAlign w:val="bottom"/>
            <w:tcBorders>
              <w:right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40" w:type="dxa"/>
            <w:vAlign w:val="bottom"/>
            <w:tcBorders>
              <w:left w:val="single" w:sz="8" w:color="333333"/>
              <w:right w:val="single" w:sz="8" w:color="333333"/>
            </w:tcBorders>
            <w:shd w:val="clear" w:color="auto" w:fill="EFF2EF"/>
          </w:tcPr>
          <w:p>
            <w:pPr>
              <w:spacing w:after="0"/>
              <w:rPr>
                <w:sz w:val="7"/>
                <w:szCs w:val="7"/>
                <w:color w:val="auto"/>
              </w:rPr>
            </w:pPr>
          </w:p>
        </w:tc>
        <w:tc>
          <w:tcPr>
            <w:tcW w:w="860" w:type="dxa"/>
            <w:vAlign w:val="bottom"/>
          </w:tcPr>
          <w:p>
            <w:pPr>
              <w:spacing w:after="0"/>
              <w:rPr>
                <w:sz w:val="7"/>
                <w:szCs w:val="7"/>
                <w:color w:val="auto"/>
              </w:rPr>
            </w:pPr>
          </w:p>
        </w:tc>
        <w:tc>
          <w:tcPr>
            <w:tcW w:w="3640" w:type="dxa"/>
            <w:vAlign w:val="bottom"/>
            <w:tcBorders>
              <w:right w:val="single" w:sz="8" w:color="333333"/>
            </w:tcBorders>
            <w:vMerge w:val="continue"/>
          </w:tcPr>
          <w:p>
            <w:pPr>
              <w:spacing w:after="0"/>
              <w:rPr>
                <w:sz w:val="7"/>
                <w:szCs w:val="7"/>
                <w:color w:val="auto"/>
              </w:rPr>
            </w:pPr>
          </w:p>
        </w:tc>
        <w:tc>
          <w:tcPr>
            <w:tcW w:w="2360" w:type="dxa"/>
            <w:vAlign w:val="bottom"/>
            <w:tcBorders>
              <w:right w:val="single" w:sz="8" w:color="333333"/>
            </w:tcBorders>
          </w:tcPr>
          <w:p>
            <w:pPr>
              <w:spacing w:after="0"/>
              <w:rPr>
                <w:sz w:val="7"/>
                <w:szCs w:val="7"/>
                <w:color w:val="auto"/>
              </w:rPr>
            </w:pPr>
          </w:p>
        </w:tc>
        <w:tc>
          <w:tcPr>
            <w:tcW w:w="2640" w:type="dxa"/>
            <w:vAlign w:val="bottom"/>
            <w:tcBorders>
              <w:right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1440" w:type="dxa"/>
            <w:vAlign w:val="bottom"/>
            <w:tcBorders>
              <w:left w:val="single" w:sz="8" w:color="333333"/>
              <w:right w:val="single" w:sz="8" w:color="333333"/>
            </w:tcBorders>
            <w:shd w:val="clear" w:color="auto" w:fill="EFF2EF"/>
          </w:tcPr>
          <w:p>
            <w:pPr>
              <w:spacing w:after="0"/>
              <w:rPr>
                <w:sz w:val="24"/>
                <w:szCs w:val="24"/>
                <w:color w:val="auto"/>
              </w:rPr>
            </w:pPr>
          </w:p>
        </w:tc>
        <w:tc>
          <w:tcPr>
            <w:tcW w:w="860" w:type="dxa"/>
            <w:vAlign w:val="bottom"/>
          </w:tcPr>
          <w:p>
            <w:pPr>
              <w:spacing w:after="0"/>
              <w:rPr>
                <w:sz w:val="24"/>
                <w:szCs w:val="24"/>
                <w:color w:val="auto"/>
              </w:rPr>
            </w:pPr>
          </w:p>
        </w:tc>
        <w:tc>
          <w:tcPr>
            <w:tcW w:w="3640" w:type="dxa"/>
            <w:vAlign w:val="bottom"/>
            <w:tcBorders>
              <w:right w:val="single" w:sz="8" w:color="333333"/>
            </w:tcBorders>
          </w:tcPr>
          <w:p>
            <w:pPr>
              <w:jc w:val="center"/>
              <w:ind w:right="743"/>
              <w:spacing w:after="0"/>
              <w:rPr>
                <w:sz w:val="20"/>
                <w:szCs w:val="20"/>
                <w:color w:val="auto"/>
              </w:rPr>
            </w:pPr>
            <w:r>
              <w:rPr>
                <w:rFonts w:ascii="Calibri" w:cs="Calibri" w:eastAsia="Calibri" w:hAnsi="Calibri"/>
                <w:sz w:val="15"/>
                <w:szCs w:val="15"/>
                <w:color w:val="333333"/>
              </w:rPr>
              <w:t>Cash – 100%</w:t>
            </w:r>
          </w:p>
        </w:tc>
        <w:tc>
          <w:tcPr>
            <w:tcW w:w="2360" w:type="dxa"/>
            <w:vAlign w:val="bottom"/>
            <w:tcBorders>
              <w:right w:val="single" w:sz="8" w:color="333333"/>
            </w:tcBorders>
          </w:tcPr>
          <w:p>
            <w:pPr>
              <w:spacing w:after="0"/>
              <w:rPr>
                <w:sz w:val="24"/>
                <w:szCs w:val="24"/>
                <w:color w:val="auto"/>
              </w:rPr>
            </w:pPr>
          </w:p>
        </w:tc>
        <w:tc>
          <w:tcPr>
            <w:tcW w:w="2640" w:type="dxa"/>
            <w:vAlign w:val="bottom"/>
            <w:tcBorders>
              <w:right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333333"/>
              <w:bottom w:val="single" w:sz="8" w:color="333333"/>
              <w:right w:val="single" w:sz="8" w:color="333333"/>
            </w:tcBorders>
            <w:shd w:val="clear" w:color="auto" w:fill="EFF2EF"/>
          </w:tcPr>
          <w:p>
            <w:pPr>
              <w:spacing w:after="0"/>
              <w:rPr>
                <w:sz w:val="15"/>
                <w:szCs w:val="15"/>
                <w:color w:val="auto"/>
              </w:rPr>
            </w:pPr>
          </w:p>
        </w:tc>
        <w:tc>
          <w:tcPr>
            <w:tcW w:w="860" w:type="dxa"/>
            <w:vAlign w:val="bottom"/>
            <w:tcBorders>
              <w:bottom w:val="single" w:sz="8" w:color="333333"/>
            </w:tcBorders>
          </w:tcPr>
          <w:p>
            <w:pPr>
              <w:spacing w:after="0"/>
              <w:rPr>
                <w:sz w:val="15"/>
                <w:szCs w:val="15"/>
                <w:color w:val="auto"/>
              </w:rPr>
            </w:pPr>
          </w:p>
        </w:tc>
        <w:tc>
          <w:tcPr>
            <w:tcW w:w="3640" w:type="dxa"/>
            <w:vAlign w:val="bottom"/>
            <w:tcBorders>
              <w:bottom w:val="single" w:sz="8" w:color="333333"/>
              <w:right w:val="single" w:sz="8" w:color="333333"/>
            </w:tcBorders>
          </w:tcPr>
          <w:p>
            <w:pPr>
              <w:spacing w:after="0"/>
              <w:rPr>
                <w:sz w:val="15"/>
                <w:szCs w:val="15"/>
                <w:color w:val="auto"/>
              </w:rPr>
            </w:pPr>
          </w:p>
        </w:tc>
        <w:tc>
          <w:tcPr>
            <w:tcW w:w="2360" w:type="dxa"/>
            <w:vAlign w:val="bottom"/>
            <w:tcBorders>
              <w:bottom w:val="single" w:sz="8" w:color="333333"/>
              <w:right w:val="single" w:sz="8" w:color="333333"/>
            </w:tcBorders>
          </w:tcPr>
          <w:p>
            <w:pPr>
              <w:spacing w:after="0"/>
              <w:rPr>
                <w:sz w:val="15"/>
                <w:szCs w:val="15"/>
                <w:color w:val="auto"/>
              </w:rPr>
            </w:pPr>
          </w:p>
        </w:tc>
        <w:tc>
          <w:tcPr>
            <w:tcW w:w="2640" w:type="dxa"/>
            <w:vAlign w:val="bottom"/>
            <w:tcBorders>
              <w:bottom w:val="single" w:sz="8" w:color="333333"/>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tcBorders>
          </w:tcPr>
          <w:p>
            <w:pPr>
              <w:spacing w:after="0"/>
              <w:rPr>
                <w:sz w:val="13"/>
                <w:szCs w:val="13"/>
                <w:color w:val="auto"/>
              </w:rPr>
            </w:pPr>
          </w:p>
        </w:tc>
        <w:tc>
          <w:tcPr>
            <w:tcW w:w="860" w:type="dxa"/>
            <w:vAlign w:val="bottom"/>
          </w:tcPr>
          <w:p>
            <w:pPr>
              <w:spacing w:after="0"/>
              <w:rPr>
                <w:sz w:val="13"/>
                <w:szCs w:val="13"/>
                <w:color w:val="auto"/>
              </w:rPr>
            </w:pPr>
          </w:p>
        </w:tc>
        <w:tc>
          <w:tcPr>
            <w:tcW w:w="3640" w:type="dxa"/>
            <w:vAlign w:val="bottom"/>
          </w:tcPr>
          <w:p>
            <w:pPr>
              <w:ind w:left="2240"/>
              <w:spacing w:after="0" w:line="158" w:lineRule="exact"/>
              <w:rPr>
                <w:sz w:val="20"/>
                <w:szCs w:val="20"/>
                <w:color w:val="auto"/>
              </w:rPr>
            </w:pPr>
            <w:r>
              <w:rPr>
                <w:rFonts w:ascii="Calibri" w:cs="Calibri" w:eastAsia="Calibri" w:hAnsi="Calibri"/>
                <w:sz w:val="15"/>
                <w:szCs w:val="15"/>
                <w:b w:val="1"/>
                <w:bCs w:val="1"/>
                <w:color w:val="333333"/>
                <w:w w:val="96"/>
              </w:rPr>
              <w:t>Total LTIP Opportunity</w:t>
            </w:r>
          </w:p>
        </w:tc>
        <w:tc>
          <w:tcPr>
            <w:tcW w:w="2360" w:type="dxa"/>
            <w:vAlign w:val="bottom"/>
          </w:tcPr>
          <w:p>
            <w:pPr>
              <w:ind w:left="20"/>
              <w:spacing w:after="0" w:line="158" w:lineRule="exact"/>
              <w:rPr>
                <w:sz w:val="20"/>
                <w:szCs w:val="20"/>
                <w:color w:val="auto"/>
              </w:rPr>
            </w:pPr>
            <w:r>
              <w:rPr>
                <w:rFonts w:ascii="Calibri" w:cs="Calibri" w:eastAsia="Calibri" w:hAnsi="Calibri"/>
                <w:sz w:val="15"/>
                <w:szCs w:val="15"/>
                <w:b w:val="1"/>
                <w:bCs w:val="1"/>
                <w:color w:val="333333"/>
              </w:rPr>
              <w:t>at Target</w:t>
            </w:r>
          </w:p>
        </w:tc>
        <w:tc>
          <w:tcPr>
            <w:tcW w:w="2640" w:type="dxa"/>
            <w:vAlign w:val="bottom"/>
            <w:tcBorders>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tcBorders>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gridSpan w:val="2"/>
          </w:tcPr>
          <w:p>
            <w:pPr>
              <w:jc w:val="center"/>
              <w:ind w:left="363"/>
              <w:spacing w:after="0" w:line="180" w:lineRule="exact"/>
              <w:rPr>
                <w:sz w:val="20"/>
                <w:szCs w:val="20"/>
                <w:color w:val="auto"/>
              </w:rPr>
            </w:pPr>
            <w:r>
              <w:rPr>
                <w:rFonts w:ascii="Calibri" w:cs="Calibri" w:eastAsia="Calibri" w:hAnsi="Calibri"/>
                <w:sz w:val="15"/>
                <w:szCs w:val="15"/>
                <w:color w:val="333333"/>
              </w:rPr>
              <w:t>$875,000 (1.25x Base Salary)</w:t>
            </w:r>
          </w:p>
        </w:tc>
        <w:tc>
          <w:tcPr>
            <w:tcW w:w="264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333333"/>
              <w:bottom w:val="single" w:sz="8" w:color="333333"/>
            </w:tcBorders>
          </w:tcPr>
          <w:p>
            <w:pPr>
              <w:spacing w:after="0"/>
              <w:rPr>
                <w:sz w:val="13"/>
                <w:szCs w:val="13"/>
                <w:color w:val="auto"/>
              </w:rPr>
            </w:pPr>
          </w:p>
        </w:tc>
        <w:tc>
          <w:tcPr>
            <w:tcW w:w="860" w:type="dxa"/>
            <w:vAlign w:val="bottom"/>
            <w:tcBorders>
              <w:bottom w:val="single" w:sz="8" w:color="333333"/>
            </w:tcBorders>
          </w:tcPr>
          <w:p>
            <w:pPr>
              <w:spacing w:after="0"/>
              <w:rPr>
                <w:sz w:val="13"/>
                <w:szCs w:val="13"/>
                <w:color w:val="auto"/>
              </w:rPr>
            </w:pPr>
          </w:p>
        </w:tc>
        <w:tc>
          <w:tcPr>
            <w:tcW w:w="3640" w:type="dxa"/>
            <w:vAlign w:val="bottom"/>
            <w:tcBorders>
              <w:bottom w:val="single" w:sz="8" w:color="333333"/>
            </w:tcBorders>
          </w:tcPr>
          <w:p>
            <w:pPr>
              <w:spacing w:after="0"/>
              <w:rPr>
                <w:sz w:val="13"/>
                <w:szCs w:val="13"/>
                <w:color w:val="auto"/>
              </w:rPr>
            </w:pPr>
          </w:p>
        </w:tc>
        <w:tc>
          <w:tcPr>
            <w:tcW w:w="2360" w:type="dxa"/>
            <w:vAlign w:val="bottom"/>
            <w:tcBorders>
              <w:bottom w:val="single" w:sz="8" w:color="333333"/>
            </w:tcBorders>
          </w:tcPr>
          <w:p>
            <w:pPr>
              <w:spacing w:after="0"/>
              <w:rPr>
                <w:sz w:val="13"/>
                <w:szCs w:val="13"/>
                <w:color w:val="auto"/>
              </w:rPr>
            </w:pPr>
          </w:p>
        </w:tc>
        <w:tc>
          <w:tcPr>
            <w:tcW w:w="2640" w:type="dxa"/>
            <w:vAlign w:val="bottom"/>
            <w:tcBorders>
              <w:bottom w:val="single" w:sz="8" w:color="333333"/>
              <w:right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gridSpan w:val="2"/>
          </w:tcPr>
          <w:p>
            <w:pPr>
              <w:jc w:val="center"/>
              <w:ind w:left="1743"/>
              <w:spacing w:after="0" w:line="173" w:lineRule="exact"/>
              <w:rPr>
                <w:sz w:val="20"/>
                <w:szCs w:val="20"/>
                <w:color w:val="auto"/>
              </w:rPr>
            </w:pPr>
            <w:r>
              <w:rPr>
                <w:rFonts w:ascii="Calibri" w:cs="Calibri" w:eastAsia="Calibri" w:hAnsi="Calibri"/>
                <w:sz w:val="15"/>
                <w:szCs w:val="15"/>
                <w:b w:val="1"/>
                <w:bCs w:val="1"/>
                <w:color w:val="333333"/>
                <w:w w:val="99"/>
              </w:rPr>
              <w:t>Time-Based RSAs</w:t>
            </w:r>
          </w:p>
        </w:tc>
        <w:tc>
          <w:tcPr>
            <w:tcW w:w="264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333333"/>
              <w:bottom w:val="single" w:sz="8" w:color="EFF2EF"/>
              <w:right w:val="single" w:sz="8" w:color="333333"/>
            </w:tcBorders>
            <w:shd w:val="clear" w:color="auto" w:fill="EFF2EF"/>
          </w:tcPr>
          <w:p>
            <w:pPr>
              <w:spacing w:after="0"/>
              <w:rPr>
                <w:sz w:val="9"/>
                <w:szCs w:val="9"/>
                <w:color w:val="auto"/>
              </w:rPr>
            </w:pPr>
          </w:p>
        </w:tc>
        <w:tc>
          <w:tcPr>
            <w:tcW w:w="860" w:type="dxa"/>
            <w:vAlign w:val="bottom"/>
            <w:tcBorders>
              <w:bottom w:val="single" w:sz="8" w:color="333333"/>
            </w:tcBorders>
          </w:tcPr>
          <w:p>
            <w:pPr>
              <w:spacing w:after="0"/>
              <w:rPr>
                <w:sz w:val="9"/>
                <w:szCs w:val="9"/>
                <w:color w:val="auto"/>
              </w:rPr>
            </w:pPr>
          </w:p>
        </w:tc>
        <w:tc>
          <w:tcPr>
            <w:tcW w:w="3640" w:type="dxa"/>
            <w:vAlign w:val="bottom"/>
            <w:tcBorders>
              <w:bottom w:val="single" w:sz="8" w:color="333333"/>
            </w:tcBorders>
          </w:tcPr>
          <w:p>
            <w:pPr>
              <w:spacing w:after="0"/>
              <w:rPr>
                <w:sz w:val="9"/>
                <w:szCs w:val="9"/>
                <w:color w:val="auto"/>
              </w:rPr>
            </w:pPr>
          </w:p>
        </w:tc>
        <w:tc>
          <w:tcPr>
            <w:tcW w:w="2360" w:type="dxa"/>
            <w:vAlign w:val="bottom"/>
            <w:tcBorders>
              <w:bottom w:val="single" w:sz="8" w:color="333333"/>
            </w:tcBorders>
          </w:tcPr>
          <w:p>
            <w:pPr>
              <w:spacing w:after="0"/>
              <w:rPr>
                <w:sz w:val="9"/>
                <w:szCs w:val="9"/>
                <w:color w:val="auto"/>
              </w:rPr>
            </w:pPr>
          </w:p>
        </w:tc>
        <w:tc>
          <w:tcPr>
            <w:tcW w:w="2640" w:type="dxa"/>
            <w:vAlign w:val="bottom"/>
            <w:tcBorders>
              <w:bottom w:val="single" w:sz="8" w:color="333333"/>
              <w:right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4500" w:type="dxa"/>
            <w:vAlign w:val="bottom"/>
            <w:tcBorders>
              <w:right w:val="single" w:sz="8" w:color="333333"/>
            </w:tcBorders>
            <w:gridSpan w:val="2"/>
          </w:tcPr>
          <w:p>
            <w:pPr>
              <w:jc w:val="center"/>
              <w:spacing w:after="0" w:line="158" w:lineRule="exact"/>
              <w:rPr>
                <w:sz w:val="20"/>
                <w:szCs w:val="20"/>
                <w:color w:val="auto"/>
              </w:rPr>
            </w:pPr>
            <w:r>
              <w:rPr>
                <w:rFonts w:ascii="Calibri" w:cs="Calibri" w:eastAsia="Calibri" w:hAnsi="Calibri"/>
                <w:sz w:val="15"/>
                <w:szCs w:val="15"/>
                <w:b w:val="1"/>
                <w:bCs w:val="1"/>
                <w:color w:val="333333"/>
                <w:w w:val="99"/>
              </w:rPr>
              <w:t>Time-Based RSA Opportunity as % of Total LTIP Opportunity at Target</w:t>
            </w:r>
          </w:p>
        </w:tc>
        <w:tc>
          <w:tcPr>
            <w:tcW w:w="2360" w:type="dxa"/>
            <w:vAlign w:val="bottom"/>
            <w:tcBorders>
              <w:right w:val="single" w:sz="8" w:color="333333"/>
            </w:tcBorders>
          </w:tcPr>
          <w:p>
            <w:pPr>
              <w:jc w:val="center"/>
              <w:ind w:left="81"/>
              <w:spacing w:after="0" w:line="158" w:lineRule="exact"/>
              <w:rPr>
                <w:sz w:val="20"/>
                <w:szCs w:val="20"/>
                <w:color w:val="auto"/>
              </w:rPr>
            </w:pPr>
            <w:r>
              <w:rPr>
                <w:rFonts w:ascii="Calibri" w:cs="Calibri" w:eastAsia="Calibri" w:hAnsi="Calibri"/>
                <w:sz w:val="15"/>
                <w:szCs w:val="15"/>
                <w:b w:val="1"/>
                <w:bCs w:val="1"/>
                <w:color w:val="333333"/>
                <w:w w:val="94"/>
              </w:rPr>
              <w:t>N/A</w:t>
            </w:r>
          </w:p>
        </w:tc>
        <w:tc>
          <w:tcPr>
            <w:tcW w:w="2640" w:type="dxa"/>
            <w:vAlign w:val="bottom"/>
            <w:tcBorders>
              <w:right w:val="single" w:sz="8" w:color="333333"/>
            </w:tcBorders>
          </w:tcPr>
          <w:p>
            <w:pPr>
              <w:jc w:val="center"/>
              <w:ind w:left="82"/>
              <w:spacing w:after="0" w:line="158" w:lineRule="exact"/>
              <w:rPr>
                <w:sz w:val="20"/>
                <w:szCs w:val="20"/>
                <w:color w:val="auto"/>
              </w:rPr>
            </w:pPr>
            <w:r>
              <w:rPr>
                <w:rFonts w:ascii="Calibri" w:cs="Calibri" w:eastAsia="Calibri" w:hAnsi="Calibri"/>
                <w:sz w:val="15"/>
                <w:szCs w:val="15"/>
                <w:b w:val="1"/>
                <w:bCs w:val="1"/>
                <w:color w:val="333333"/>
                <w:w w:val="99"/>
              </w:rPr>
              <w:t>Three-Year Pro Rata</w:t>
            </w: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4500" w:type="dxa"/>
            <w:vAlign w:val="bottom"/>
            <w:tcBorders>
              <w:right w:val="single" w:sz="8" w:color="333333"/>
            </w:tcBorders>
            <w:gridSpan w:val="2"/>
            <w:vMerge w:val="restart"/>
          </w:tcPr>
          <w:p>
            <w:pPr>
              <w:jc w:val="center"/>
              <w:ind w:right="1563"/>
              <w:spacing w:after="0"/>
              <w:rPr>
                <w:sz w:val="20"/>
                <w:szCs w:val="20"/>
                <w:color w:val="auto"/>
              </w:rPr>
            </w:pPr>
            <w:r>
              <w:rPr>
                <w:rFonts w:ascii="Calibri" w:cs="Calibri" w:eastAsia="Calibri" w:hAnsi="Calibri"/>
                <w:sz w:val="15"/>
                <w:szCs w:val="15"/>
                <w:color w:val="333333"/>
              </w:rPr>
              <w:t xml:space="preserve">40% ($350,000) </w:t>
            </w:r>
            <w:r>
              <w:rPr>
                <w:rFonts w:ascii="Calibri" w:cs="Calibri" w:eastAsia="Calibri" w:hAnsi="Calibri"/>
                <w:sz w:val="22"/>
                <w:szCs w:val="22"/>
                <w:color w:val="333333"/>
                <w:vertAlign w:val="superscript"/>
              </w:rPr>
              <w:t>(2)</w:t>
            </w:r>
          </w:p>
        </w:tc>
        <w:tc>
          <w:tcPr>
            <w:tcW w:w="2360" w:type="dxa"/>
            <w:vAlign w:val="bottom"/>
            <w:tcBorders>
              <w:right w:val="single" w:sz="8" w:color="333333"/>
            </w:tcBorders>
          </w:tcPr>
          <w:p>
            <w:pPr>
              <w:spacing w:after="0"/>
              <w:rPr>
                <w:sz w:val="15"/>
                <w:szCs w:val="15"/>
                <w:color w:val="auto"/>
              </w:rPr>
            </w:pPr>
          </w:p>
        </w:tc>
        <w:tc>
          <w:tcPr>
            <w:tcW w:w="2640" w:type="dxa"/>
            <w:vAlign w:val="bottom"/>
            <w:tcBorders>
              <w:right w:val="single" w:sz="8" w:color="333333"/>
            </w:tcBorders>
          </w:tcPr>
          <w:p>
            <w:pPr>
              <w:jc w:val="center"/>
              <w:ind w:left="102"/>
              <w:spacing w:after="0" w:line="180" w:lineRule="exact"/>
              <w:rPr>
                <w:sz w:val="20"/>
                <w:szCs w:val="20"/>
                <w:color w:val="auto"/>
              </w:rPr>
            </w:pPr>
            <w:r>
              <w:rPr>
                <w:rFonts w:ascii="Calibri" w:cs="Calibri" w:eastAsia="Calibri" w:hAnsi="Calibri"/>
                <w:sz w:val="15"/>
                <w:szCs w:val="15"/>
                <w:b w:val="1"/>
                <w:bCs w:val="1"/>
                <w:color w:val="333333"/>
              </w:rPr>
              <w:t>Vestng Period</w:t>
            </w:r>
          </w:p>
        </w:tc>
        <w:tc>
          <w:tcPr>
            <w:tcW w:w="0" w:type="dxa"/>
            <w:vAlign w:val="bottom"/>
          </w:tcPr>
          <w:p>
            <w:pPr>
              <w:spacing w:after="0"/>
              <w:rPr>
                <w:sz w:val="1"/>
                <w:szCs w:val="1"/>
                <w:color w:val="auto"/>
              </w:rPr>
            </w:pPr>
          </w:p>
        </w:tc>
      </w:tr>
      <w:tr>
        <w:trPr>
          <w:trHeight w:val="227"/>
        </w:trPr>
        <w:tc>
          <w:tcPr>
            <w:tcW w:w="1440" w:type="dxa"/>
            <w:vAlign w:val="bottom"/>
            <w:tcBorders>
              <w:left w:val="single" w:sz="8" w:color="333333"/>
              <w:right w:val="single" w:sz="8" w:color="333333"/>
            </w:tcBorders>
            <w:shd w:val="clear" w:color="auto" w:fill="EFF2EF"/>
          </w:tcPr>
          <w:p>
            <w:pPr>
              <w:spacing w:after="0"/>
              <w:rPr>
                <w:sz w:val="19"/>
                <w:szCs w:val="19"/>
                <w:color w:val="auto"/>
              </w:rPr>
            </w:pPr>
          </w:p>
        </w:tc>
        <w:tc>
          <w:tcPr>
            <w:tcW w:w="4500" w:type="dxa"/>
            <w:vAlign w:val="bottom"/>
            <w:tcBorders>
              <w:right w:val="single" w:sz="8" w:color="333333"/>
            </w:tcBorders>
            <w:gridSpan w:val="2"/>
            <w:vMerge w:val="continue"/>
          </w:tcPr>
          <w:p>
            <w:pPr>
              <w:spacing w:after="0"/>
              <w:rPr>
                <w:sz w:val="19"/>
                <w:szCs w:val="19"/>
                <w:color w:val="auto"/>
              </w:rPr>
            </w:pPr>
          </w:p>
        </w:tc>
        <w:tc>
          <w:tcPr>
            <w:tcW w:w="2360" w:type="dxa"/>
            <w:vAlign w:val="bottom"/>
            <w:tcBorders>
              <w:right w:val="single" w:sz="8" w:color="333333"/>
            </w:tcBorders>
          </w:tcPr>
          <w:p>
            <w:pPr>
              <w:spacing w:after="0"/>
              <w:rPr>
                <w:sz w:val="19"/>
                <w:szCs w:val="19"/>
                <w:color w:val="auto"/>
              </w:rPr>
            </w:pPr>
          </w:p>
        </w:tc>
        <w:tc>
          <w:tcPr>
            <w:tcW w:w="2640" w:type="dxa"/>
            <w:vAlign w:val="bottom"/>
            <w:tcBorders>
              <w:right w:val="single" w:sz="8" w:color="333333"/>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440" w:type="dxa"/>
            <w:vAlign w:val="bottom"/>
            <w:tcBorders>
              <w:left w:val="single" w:sz="8" w:color="333333"/>
              <w:bottom w:val="single" w:sz="8" w:color="EFF2EF"/>
              <w:right w:val="single" w:sz="8" w:color="333333"/>
            </w:tcBorders>
            <w:shd w:val="clear" w:color="auto" w:fill="EFF2EF"/>
          </w:tcPr>
          <w:p>
            <w:pPr>
              <w:spacing w:after="0"/>
              <w:rPr>
                <w:sz w:val="10"/>
                <w:szCs w:val="10"/>
                <w:color w:val="auto"/>
              </w:rPr>
            </w:pPr>
          </w:p>
        </w:tc>
        <w:tc>
          <w:tcPr>
            <w:tcW w:w="860" w:type="dxa"/>
            <w:vAlign w:val="bottom"/>
            <w:tcBorders>
              <w:bottom w:val="single" w:sz="8" w:color="333333"/>
            </w:tcBorders>
          </w:tcPr>
          <w:p>
            <w:pPr>
              <w:spacing w:after="0"/>
              <w:rPr>
                <w:sz w:val="10"/>
                <w:szCs w:val="10"/>
                <w:color w:val="auto"/>
              </w:rPr>
            </w:pPr>
          </w:p>
        </w:tc>
        <w:tc>
          <w:tcPr>
            <w:tcW w:w="3640" w:type="dxa"/>
            <w:vAlign w:val="bottom"/>
            <w:tcBorders>
              <w:bottom w:val="single" w:sz="8" w:color="333333"/>
              <w:right w:val="single" w:sz="8" w:color="333333"/>
            </w:tcBorders>
          </w:tcPr>
          <w:p>
            <w:pPr>
              <w:spacing w:after="0"/>
              <w:rPr>
                <w:sz w:val="10"/>
                <w:szCs w:val="10"/>
                <w:color w:val="auto"/>
              </w:rPr>
            </w:pPr>
          </w:p>
        </w:tc>
        <w:tc>
          <w:tcPr>
            <w:tcW w:w="2360" w:type="dxa"/>
            <w:vAlign w:val="bottom"/>
            <w:tcBorders>
              <w:bottom w:val="single" w:sz="8" w:color="333333"/>
              <w:right w:val="single" w:sz="8" w:color="333333"/>
            </w:tcBorders>
          </w:tcPr>
          <w:p>
            <w:pPr>
              <w:spacing w:after="0"/>
              <w:rPr>
                <w:sz w:val="10"/>
                <w:szCs w:val="10"/>
                <w:color w:val="auto"/>
              </w:rPr>
            </w:pPr>
          </w:p>
        </w:tc>
        <w:tc>
          <w:tcPr>
            <w:tcW w:w="2640" w:type="dxa"/>
            <w:vAlign w:val="bottom"/>
            <w:tcBorders>
              <w:bottom w:val="single" w:sz="8" w:color="333333"/>
              <w:right w:val="single" w:sz="8" w:color="333333"/>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gridSpan w:val="2"/>
          </w:tcPr>
          <w:p>
            <w:pPr>
              <w:jc w:val="center"/>
              <w:ind w:left="1743"/>
              <w:spacing w:after="0" w:line="173" w:lineRule="exact"/>
              <w:rPr>
                <w:sz w:val="20"/>
                <w:szCs w:val="20"/>
                <w:color w:val="auto"/>
              </w:rPr>
            </w:pPr>
            <w:r>
              <w:rPr>
                <w:rFonts w:ascii="Calibri" w:cs="Calibri" w:eastAsia="Calibri" w:hAnsi="Calibri"/>
                <w:sz w:val="15"/>
                <w:szCs w:val="15"/>
                <w:b w:val="1"/>
                <w:bCs w:val="1"/>
                <w:color w:val="333333"/>
                <w:w w:val="98"/>
              </w:rPr>
              <w:t>Performance RSUs</w:t>
            </w:r>
          </w:p>
        </w:tc>
        <w:tc>
          <w:tcPr>
            <w:tcW w:w="264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333333"/>
              <w:bottom w:val="single" w:sz="8" w:color="EFF2EF"/>
              <w:right w:val="single" w:sz="8" w:color="333333"/>
            </w:tcBorders>
            <w:shd w:val="clear" w:color="auto" w:fill="EFF2EF"/>
          </w:tcPr>
          <w:p>
            <w:pPr>
              <w:spacing w:after="0"/>
              <w:rPr>
                <w:sz w:val="9"/>
                <w:szCs w:val="9"/>
                <w:color w:val="auto"/>
              </w:rPr>
            </w:pPr>
          </w:p>
        </w:tc>
        <w:tc>
          <w:tcPr>
            <w:tcW w:w="860" w:type="dxa"/>
            <w:vAlign w:val="bottom"/>
            <w:tcBorders>
              <w:bottom w:val="single" w:sz="8" w:color="333333"/>
            </w:tcBorders>
          </w:tcPr>
          <w:p>
            <w:pPr>
              <w:spacing w:after="0"/>
              <w:rPr>
                <w:sz w:val="9"/>
                <w:szCs w:val="9"/>
                <w:color w:val="auto"/>
              </w:rPr>
            </w:pPr>
          </w:p>
        </w:tc>
        <w:tc>
          <w:tcPr>
            <w:tcW w:w="3640" w:type="dxa"/>
            <w:vAlign w:val="bottom"/>
            <w:tcBorders>
              <w:bottom w:val="single" w:sz="8" w:color="333333"/>
            </w:tcBorders>
          </w:tcPr>
          <w:p>
            <w:pPr>
              <w:spacing w:after="0"/>
              <w:rPr>
                <w:sz w:val="9"/>
                <w:szCs w:val="9"/>
                <w:color w:val="auto"/>
              </w:rPr>
            </w:pPr>
          </w:p>
        </w:tc>
        <w:tc>
          <w:tcPr>
            <w:tcW w:w="2360" w:type="dxa"/>
            <w:vAlign w:val="bottom"/>
            <w:tcBorders>
              <w:bottom w:val="single" w:sz="8" w:color="333333"/>
            </w:tcBorders>
          </w:tcPr>
          <w:p>
            <w:pPr>
              <w:spacing w:after="0"/>
              <w:rPr>
                <w:sz w:val="9"/>
                <w:szCs w:val="9"/>
                <w:color w:val="auto"/>
              </w:rPr>
            </w:pPr>
          </w:p>
        </w:tc>
        <w:tc>
          <w:tcPr>
            <w:tcW w:w="2640" w:type="dxa"/>
            <w:vAlign w:val="bottom"/>
            <w:tcBorders>
              <w:bottom w:val="single" w:sz="8" w:color="333333"/>
              <w:right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440" w:type="dxa"/>
            <w:vAlign w:val="bottom"/>
            <w:tcBorders>
              <w:left w:val="single" w:sz="8" w:color="333333"/>
              <w:right w:val="single" w:sz="8" w:color="333333"/>
            </w:tcBorders>
            <w:shd w:val="clear" w:color="auto" w:fill="EFF2EF"/>
          </w:tcPr>
          <w:p>
            <w:pPr>
              <w:spacing w:after="0"/>
              <w:rPr>
                <w:sz w:val="13"/>
                <w:szCs w:val="13"/>
                <w:color w:val="auto"/>
              </w:rPr>
            </w:pPr>
          </w:p>
        </w:tc>
        <w:tc>
          <w:tcPr>
            <w:tcW w:w="4500" w:type="dxa"/>
            <w:vAlign w:val="bottom"/>
            <w:tcBorders>
              <w:right w:val="single" w:sz="8" w:color="333333"/>
            </w:tcBorders>
            <w:gridSpan w:val="2"/>
          </w:tcPr>
          <w:p>
            <w:pPr>
              <w:jc w:val="center"/>
              <w:spacing w:after="0" w:line="158" w:lineRule="exact"/>
              <w:rPr>
                <w:sz w:val="20"/>
                <w:szCs w:val="20"/>
                <w:color w:val="auto"/>
              </w:rPr>
            </w:pPr>
            <w:r>
              <w:rPr>
                <w:rFonts w:ascii="Calibri" w:cs="Calibri" w:eastAsia="Calibri" w:hAnsi="Calibri"/>
                <w:sz w:val="15"/>
                <w:szCs w:val="15"/>
                <w:b w:val="1"/>
                <w:bCs w:val="1"/>
                <w:color w:val="333333"/>
              </w:rPr>
              <w:t>Performance RSU Opportunity as % of Total LTIP Opportunity at</w:t>
            </w:r>
          </w:p>
        </w:tc>
        <w:tc>
          <w:tcPr>
            <w:tcW w:w="2360" w:type="dxa"/>
            <w:vAlign w:val="bottom"/>
            <w:tcBorders>
              <w:right w:val="single" w:sz="8" w:color="333333"/>
            </w:tcBorders>
          </w:tcPr>
          <w:p>
            <w:pPr>
              <w:jc w:val="center"/>
              <w:ind w:left="81"/>
              <w:spacing w:after="0" w:line="158" w:lineRule="exact"/>
              <w:rPr>
                <w:sz w:val="20"/>
                <w:szCs w:val="20"/>
                <w:color w:val="auto"/>
              </w:rPr>
            </w:pPr>
            <w:r>
              <w:rPr>
                <w:rFonts w:ascii="Calibri" w:cs="Calibri" w:eastAsia="Calibri" w:hAnsi="Calibri"/>
                <w:sz w:val="15"/>
                <w:szCs w:val="15"/>
                <w:b w:val="1"/>
                <w:bCs w:val="1"/>
                <w:color w:val="333333"/>
              </w:rPr>
              <w:t>Company Relatve TSR</w:t>
            </w:r>
          </w:p>
        </w:tc>
        <w:tc>
          <w:tcPr>
            <w:tcW w:w="2640" w:type="dxa"/>
            <w:vAlign w:val="bottom"/>
            <w:tcBorders>
              <w:right w:val="single" w:sz="8" w:color="333333"/>
            </w:tcBorders>
          </w:tcPr>
          <w:p>
            <w:pPr>
              <w:jc w:val="center"/>
              <w:ind w:left="102"/>
              <w:spacing w:after="0" w:line="158" w:lineRule="exact"/>
              <w:rPr>
                <w:sz w:val="20"/>
                <w:szCs w:val="20"/>
                <w:color w:val="auto"/>
              </w:rPr>
            </w:pPr>
            <w:r>
              <w:rPr>
                <w:rFonts w:ascii="Calibri" w:cs="Calibri" w:eastAsia="Calibri" w:hAnsi="Calibri"/>
                <w:sz w:val="15"/>
                <w:szCs w:val="15"/>
                <w:b w:val="1"/>
                <w:bCs w:val="1"/>
                <w:color w:val="333333"/>
                <w:w w:val="96"/>
              </w:rPr>
              <w:t>Three-Year</w:t>
            </w: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vMerge w:val="restart"/>
            <w:shd w:val="clear" w:color="auto" w:fill="EFF2EF"/>
          </w:tcPr>
          <w:p>
            <w:pPr>
              <w:jc w:val="center"/>
              <w:ind w:left="58"/>
              <w:spacing w:after="0"/>
              <w:rPr>
                <w:sz w:val="20"/>
                <w:szCs w:val="20"/>
                <w:color w:val="auto"/>
              </w:rPr>
            </w:pPr>
            <w:r>
              <w:rPr>
                <w:rFonts w:ascii="Calibri" w:cs="Calibri" w:eastAsia="Calibri" w:hAnsi="Calibri"/>
                <w:sz w:val="15"/>
                <w:szCs w:val="15"/>
                <w:b w:val="1"/>
                <w:bCs w:val="1"/>
                <w:color w:val="333333"/>
              </w:rPr>
              <w:t>LTIP</w:t>
            </w:r>
          </w:p>
        </w:tc>
        <w:tc>
          <w:tcPr>
            <w:tcW w:w="860" w:type="dxa"/>
            <w:vAlign w:val="bottom"/>
          </w:tcPr>
          <w:p>
            <w:pPr>
              <w:spacing w:after="0"/>
              <w:rPr>
                <w:sz w:val="15"/>
                <w:szCs w:val="15"/>
                <w:color w:val="auto"/>
              </w:rPr>
            </w:pPr>
          </w:p>
        </w:tc>
        <w:tc>
          <w:tcPr>
            <w:tcW w:w="3640" w:type="dxa"/>
            <w:vAlign w:val="bottom"/>
            <w:tcBorders>
              <w:right w:val="single" w:sz="8" w:color="333333"/>
            </w:tcBorders>
          </w:tcPr>
          <w:p>
            <w:pPr>
              <w:jc w:val="center"/>
              <w:ind w:right="743"/>
              <w:spacing w:after="0" w:line="180" w:lineRule="exact"/>
              <w:rPr>
                <w:sz w:val="20"/>
                <w:szCs w:val="20"/>
                <w:color w:val="auto"/>
              </w:rPr>
            </w:pPr>
            <w:r>
              <w:rPr>
                <w:rFonts w:ascii="Calibri" w:cs="Calibri" w:eastAsia="Calibri" w:hAnsi="Calibri"/>
                <w:sz w:val="15"/>
                <w:szCs w:val="15"/>
                <w:b w:val="1"/>
                <w:bCs w:val="1"/>
                <w:color w:val="333333"/>
                <w:w w:val="94"/>
              </w:rPr>
              <w:t>Target</w:t>
            </w:r>
          </w:p>
        </w:tc>
        <w:tc>
          <w:tcPr>
            <w:tcW w:w="2360" w:type="dxa"/>
            <w:vAlign w:val="bottom"/>
            <w:tcBorders>
              <w:right w:val="single" w:sz="8" w:color="333333"/>
            </w:tcBorders>
          </w:tcPr>
          <w:p>
            <w:pPr>
              <w:spacing w:after="0"/>
              <w:rPr>
                <w:sz w:val="15"/>
                <w:szCs w:val="15"/>
                <w:color w:val="auto"/>
              </w:rPr>
            </w:pPr>
          </w:p>
        </w:tc>
        <w:tc>
          <w:tcPr>
            <w:tcW w:w="2640" w:type="dxa"/>
            <w:vAlign w:val="bottom"/>
            <w:tcBorders>
              <w:right w:val="single" w:sz="8" w:color="333333"/>
            </w:tcBorders>
          </w:tcPr>
          <w:p>
            <w:pPr>
              <w:jc w:val="center"/>
              <w:ind w:left="102"/>
              <w:spacing w:after="0" w:line="180" w:lineRule="exact"/>
              <w:rPr>
                <w:sz w:val="20"/>
                <w:szCs w:val="20"/>
                <w:color w:val="auto"/>
              </w:rPr>
            </w:pPr>
            <w:r>
              <w:rPr>
                <w:rFonts w:ascii="Calibri" w:cs="Calibri" w:eastAsia="Calibri" w:hAnsi="Calibri"/>
                <w:sz w:val="15"/>
                <w:szCs w:val="15"/>
                <w:b w:val="1"/>
                <w:bCs w:val="1"/>
                <w:color w:val="333333"/>
              </w:rPr>
              <w:t>Performance Period</w:t>
            </w: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vMerge w:val="continue"/>
            <w:shd w:val="clear" w:color="auto" w:fill="EFF2EF"/>
          </w:tcPr>
          <w:p>
            <w:pPr>
              <w:spacing w:after="0"/>
              <w:rPr>
                <w:sz w:val="16"/>
                <w:szCs w:val="16"/>
                <w:color w:val="auto"/>
              </w:rPr>
            </w:pPr>
          </w:p>
        </w:tc>
        <w:tc>
          <w:tcPr>
            <w:tcW w:w="4500" w:type="dxa"/>
            <w:vAlign w:val="bottom"/>
            <w:tcBorders>
              <w:right w:val="single" w:sz="8" w:color="333333"/>
            </w:tcBorders>
            <w:gridSpan w:val="2"/>
            <w:vMerge w:val="restart"/>
          </w:tcPr>
          <w:p>
            <w:pPr>
              <w:jc w:val="center"/>
              <w:spacing w:after="0"/>
              <w:rPr>
                <w:sz w:val="20"/>
                <w:szCs w:val="20"/>
                <w:color w:val="auto"/>
              </w:rPr>
            </w:pPr>
            <w:r>
              <w:rPr>
                <w:rFonts w:ascii="Calibri" w:cs="Calibri" w:eastAsia="Calibri" w:hAnsi="Calibri"/>
                <w:sz w:val="15"/>
                <w:szCs w:val="15"/>
                <w:color w:val="333333"/>
                <w:w w:val="99"/>
              </w:rPr>
              <w:t xml:space="preserve">60% ($525,000) </w:t>
            </w:r>
            <w:r>
              <w:rPr>
                <w:rFonts w:ascii="Calibri" w:cs="Calibri" w:eastAsia="Calibri" w:hAnsi="Calibri"/>
                <w:sz w:val="22"/>
                <w:szCs w:val="22"/>
                <w:color w:val="333333"/>
                <w:w w:val="99"/>
                <w:vertAlign w:val="superscript"/>
              </w:rPr>
              <w:t>(2)</w:t>
            </w:r>
            <w:r>
              <w:rPr>
                <w:rFonts w:ascii="Calibri" w:cs="Calibri" w:eastAsia="Calibri" w:hAnsi="Calibri"/>
                <w:sz w:val="15"/>
                <w:szCs w:val="15"/>
                <w:color w:val="333333"/>
                <w:w w:val="99"/>
              </w:rPr>
              <w:t xml:space="preserve"> (</w:t>
            </w:r>
            <w:r>
              <w:rPr>
                <w:rFonts w:ascii="Calibri" w:cs="Calibri" w:eastAsia="Calibri" w:hAnsi="Calibri"/>
                <w:sz w:val="15"/>
                <w:szCs w:val="15"/>
                <w:b w:val="1"/>
                <w:bCs w:val="1"/>
                <w:color w:val="333333"/>
                <w:w w:val="99"/>
              </w:rPr>
              <w:t>“</w:t>
            </w:r>
            <w:r>
              <w:rPr>
                <w:rFonts w:ascii="Calibri" w:cs="Calibri" w:eastAsia="Calibri" w:hAnsi="Calibri"/>
                <w:sz w:val="15"/>
                <w:szCs w:val="15"/>
                <w:color w:val="333333"/>
                <w:w w:val="99"/>
              </w:rPr>
              <w:t>NEO Performance RSU Target</w:t>
            </w:r>
            <w:r>
              <w:rPr>
                <w:rFonts w:ascii="Calibri" w:cs="Calibri" w:eastAsia="Calibri" w:hAnsi="Calibri"/>
                <w:sz w:val="15"/>
                <w:szCs w:val="15"/>
                <w:b w:val="1"/>
                <w:bCs w:val="1"/>
                <w:color w:val="333333"/>
                <w:w w:val="99"/>
              </w:rPr>
              <w:t>”</w:t>
            </w:r>
            <w:r>
              <w:rPr>
                <w:rFonts w:ascii="Calibri" w:cs="Calibri" w:eastAsia="Calibri" w:hAnsi="Calibri"/>
                <w:sz w:val="15"/>
                <w:szCs w:val="15"/>
                <w:color w:val="333333"/>
                <w:w w:val="99"/>
              </w:rPr>
              <w:t>)</w:t>
            </w:r>
          </w:p>
        </w:tc>
        <w:tc>
          <w:tcPr>
            <w:tcW w:w="2360" w:type="dxa"/>
            <w:vAlign w:val="bottom"/>
            <w:tcBorders>
              <w:right w:val="single" w:sz="8" w:color="333333"/>
            </w:tcBorders>
            <w:vMerge w:val="restart"/>
          </w:tcPr>
          <w:p>
            <w:pPr>
              <w:jc w:val="center"/>
              <w:ind w:left="61"/>
              <w:spacing w:after="0"/>
              <w:rPr>
                <w:sz w:val="20"/>
                <w:szCs w:val="20"/>
                <w:color w:val="auto"/>
              </w:rPr>
            </w:pPr>
            <w:r>
              <w:rPr>
                <w:rFonts w:ascii="Calibri" w:cs="Calibri" w:eastAsia="Calibri" w:hAnsi="Calibri"/>
                <w:sz w:val="15"/>
                <w:szCs w:val="15"/>
                <w:color w:val="333333"/>
              </w:rPr>
              <w:t>Threshold – 25</w:t>
            </w:r>
            <w:r>
              <w:rPr>
                <w:rFonts w:ascii="Calibri" w:cs="Calibri" w:eastAsia="Calibri" w:hAnsi="Calibri"/>
                <w:sz w:val="22"/>
                <w:szCs w:val="22"/>
                <w:color w:val="333333"/>
                <w:vertAlign w:val="superscript"/>
              </w:rPr>
              <w:t>th</w:t>
            </w:r>
            <w:r>
              <w:rPr>
                <w:rFonts w:ascii="Calibri" w:cs="Calibri" w:eastAsia="Calibri" w:hAnsi="Calibri"/>
                <w:sz w:val="15"/>
                <w:szCs w:val="15"/>
                <w:color w:val="333333"/>
              </w:rPr>
              <w:t xml:space="preserve"> Percentle</w:t>
            </w:r>
          </w:p>
        </w:tc>
        <w:tc>
          <w:tcPr>
            <w:tcW w:w="2640" w:type="dxa"/>
            <w:vAlign w:val="bottom"/>
            <w:tcBorders>
              <w:right w:val="single" w:sz="8" w:color="333333"/>
            </w:tcBorders>
          </w:tcPr>
          <w:p>
            <w:pPr>
              <w:jc w:val="center"/>
              <w:ind w:left="102"/>
              <w:spacing w:after="0"/>
              <w:rPr>
                <w:sz w:val="20"/>
                <w:szCs w:val="20"/>
                <w:color w:val="auto"/>
              </w:rPr>
            </w:pPr>
            <w:r>
              <w:rPr>
                <w:rFonts w:ascii="Calibri" w:cs="Calibri" w:eastAsia="Calibri" w:hAnsi="Calibri"/>
                <w:sz w:val="15"/>
                <w:szCs w:val="15"/>
                <w:b w:val="1"/>
                <w:bCs w:val="1"/>
                <w:color w:val="333333"/>
              </w:rPr>
              <w:t>Ending 12/31/2027</w:t>
            </w:r>
          </w:p>
        </w:tc>
        <w:tc>
          <w:tcPr>
            <w:tcW w:w="0" w:type="dxa"/>
            <w:vAlign w:val="bottom"/>
          </w:tcPr>
          <w:p>
            <w:pPr>
              <w:spacing w:after="0"/>
              <w:rPr>
                <w:sz w:val="1"/>
                <w:szCs w:val="1"/>
                <w:color w:val="auto"/>
              </w:rPr>
            </w:pPr>
          </w:p>
        </w:tc>
      </w:tr>
      <w:tr>
        <w:trPr>
          <w:trHeight w:val="98"/>
        </w:trPr>
        <w:tc>
          <w:tcPr>
            <w:tcW w:w="1440" w:type="dxa"/>
            <w:vAlign w:val="bottom"/>
            <w:tcBorders>
              <w:left w:val="single" w:sz="8" w:color="333333"/>
              <w:right w:val="single" w:sz="8" w:color="333333"/>
            </w:tcBorders>
            <w:shd w:val="clear" w:color="auto" w:fill="EFF2EF"/>
          </w:tcPr>
          <w:p>
            <w:pPr>
              <w:spacing w:after="0"/>
              <w:rPr>
                <w:sz w:val="8"/>
                <w:szCs w:val="8"/>
                <w:color w:val="auto"/>
              </w:rPr>
            </w:pPr>
          </w:p>
        </w:tc>
        <w:tc>
          <w:tcPr>
            <w:tcW w:w="4500" w:type="dxa"/>
            <w:vAlign w:val="bottom"/>
            <w:tcBorders>
              <w:right w:val="single" w:sz="8" w:color="333333"/>
            </w:tcBorders>
            <w:gridSpan w:val="2"/>
            <w:vMerge w:val="continue"/>
          </w:tcPr>
          <w:p>
            <w:pPr>
              <w:spacing w:after="0"/>
              <w:rPr>
                <w:sz w:val="8"/>
                <w:szCs w:val="8"/>
                <w:color w:val="auto"/>
              </w:rPr>
            </w:pPr>
          </w:p>
        </w:tc>
        <w:tc>
          <w:tcPr>
            <w:tcW w:w="2360" w:type="dxa"/>
            <w:vAlign w:val="bottom"/>
            <w:tcBorders>
              <w:right w:val="single" w:sz="8" w:color="333333"/>
            </w:tcBorders>
            <w:vMerge w:val="continue"/>
          </w:tcPr>
          <w:p>
            <w:pPr>
              <w:spacing w:after="0"/>
              <w:rPr>
                <w:sz w:val="8"/>
                <w:szCs w:val="8"/>
                <w:color w:val="auto"/>
              </w:rPr>
            </w:pPr>
          </w:p>
        </w:tc>
        <w:tc>
          <w:tcPr>
            <w:tcW w:w="2640" w:type="dxa"/>
            <w:vAlign w:val="bottom"/>
            <w:tcBorders>
              <w:right w:val="single" w:sz="8" w:color="333333"/>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Borders>
              <w:right w:val="single" w:sz="8" w:color="333333"/>
            </w:tcBorders>
          </w:tcPr>
          <w:p>
            <w:pPr>
              <w:spacing w:after="0"/>
              <w:rPr>
                <w:sz w:val="15"/>
                <w:szCs w:val="15"/>
                <w:color w:val="auto"/>
              </w:rPr>
            </w:pPr>
          </w:p>
        </w:tc>
        <w:tc>
          <w:tcPr>
            <w:tcW w:w="2360" w:type="dxa"/>
            <w:vAlign w:val="bottom"/>
            <w:tcBorders>
              <w:right w:val="single" w:sz="8" w:color="333333"/>
            </w:tcBorders>
          </w:tcPr>
          <w:p>
            <w:pPr>
              <w:jc w:val="center"/>
              <w:ind w:left="61"/>
              <w:spacing w:after="0" w:line="177" w:lineRule="exact"/>
              <w:rPr>
                <w:sz w:val="20"/>
                <w:szCs w:val="20"/>
                <w:color w:val="auto"/>
              </w:rPr>
            </w:pPr>
            <w:r>
              <w:rPr>
                <w:rFonts w:ascii="Calibri" w:cs="Calibri" w:eastAsia="Calibri" w:hAnsi="Calibri"/>
                <w:sz w:val="13"/>
                <w:szCs w:val="13"/>
                <w:color w:val="333333"/>
              </w:rPr>
              <w:t>Target – 50</w:t>
            </w:r>
            <w:r>
              <w:rPr>
                <w:rFonts w:ascii="Calibri" w:cs="Calibri" w:eastAsia="Calibri" w:hAnsi="Calibri"/>
                <w:sz w:val="19"/>
                <w:szCs w:val="19"/>
                <w:color w:val="333333"/>
                <w:vertAlign w:val="superscript"/>
              </w:rPr>
              <w:t>th</w:t>
            </w:r>
            <w:r>
              <w:rPr>
                <w:rFonts w:ascii="Calibri" w:cs="Calibri" w:eastAsia="Calibri" w:hAnsi="Calibri"/>
                <w:sz w:val="13"/>
                <w:szCs w:val="13"/>
                <w:color w:val="333333"/>
              </w:rPr>
              <w:t xml:space="preserve"> Percentle</w:t>
            </w:r>
          </w:p>
        </w:tc>
        <w:tc>
          <w:tcPr>
            <w:tcW w:w="264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4500" w:type="dxa"/>
            <w:vAlign w:val="bottom"/>
            <w:tcBorders>
              <w:right w:val="single" w:sz="8" w:color="333333"/>
            </w:tcBorders>
            <w:gridSpan w:val="2"/>
          </w:tcPr>
          <w:p>
            <w:pPr>
              <w:jc w:val="center"/>
              <w:spacing w:after="0" w:line="180" w:lineRule="exact"/>
              <w:rPr>
                <w:sz w:val="20"/>
                <w:szCs w:val="20"/>
                <w:color w:val="auto"/>
              </w:rPr>
            </w:pPr>
            <w:r>
              <w:rPr>
                <w:rFonts w:ascii="Calibri" w:cs="Calibri" w:eastAsia="Calibri" w:hAnsi="Calibri"/>
                <w:sz w:val="15"/>
                <w:szCs w:val="15"/>
                <w:b w:val="1"/>
                <w:bCs w:val="1"/>
                <w:color w:val="333333"/>
              </w:rPr>
              <w:t>Performance RSU Payout Opportunity as % of NEO Performance RSU</w:t>
            </w:r>
          </w:p>
        </w:tc>
        <w:tc>
          <w:tcPr>
            <w:tcW w:w="2360" w:type="dxa"/>
            <w:vAlign w:val="bottom"/>
            <w:tcBorders>
              <w:right w:val="single" w:sz="8" w:color="333333"/>
            </w:tcBorders>
          </w:tcPr>
          <w:p>
            <w:pPr>
              <w:jc w:val="center"/>
              <w:ind w:left="61"/>
              <w:spacing w:after="0" w:line="188" w:lineRule="exact"/>
              <w:rPr>
                <w:sz w:val="20"/>
                <w:szCs w:val="20"/>
                <w:color w:val="auto"/>
              </w:rPr>
            </w:pPr>
            <w:r>
              <w:rPr>
                <w:rFonts w:ascii="Calibri" w:cs="Calibri" w:eastAsia="Calibri" w:hAnsi="Calibri"/>
                <w:sz w:val="14"/>
                <w:szCs w:val="14"/>
                <w:color w:val="333333"/>
              </w:rPr>
              <w:t>Maximum – 75</w:t>
            </w:r>
            <w:r>
              <w:rPr>
                <w:rFonts w:ascii="Calibri" w:cs="Calibri" w:eastAsia="Calibri" w:hAnsi="Calibri"/>
                <w:sz w:val="20"/>
                <w:szCs w:val="20"/>
                <w:color w:val="333333"/>
                <w:vertAlign w:val="superscript"/>
              </w:rPr>
              <w:t>th</w:t>
            </w:r>
            <w:r>
              <w:rPr>
                <w:rFonts w:ascii="Calibri" w:cs="Calibri" w:eastAsia="Calibri" w:hAnsi="Calibri"/>
                <w:sz w:val="14"/>
                <w:szCs w:val="14"/>
                <w:color w:val="333333"/>
              </w:rPr>
              <w:t xml:space="preserve"> Percentle</w:t>
            </w:r>
          </w:p>
        </w:tc>
        <w:tc>
          <w:tcPr>
            <w:tcW w:w="264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333333"/>
              <w:right w:val="single" w:sz="8" w:color="333333"/>
            </w:tcBorders>
            <w:shd w:val="clear" w:color="auto" w:fill="EFF2EF"/>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Borders>
              <w:right w:val="single" w:sz="8" w:color="333333"/>
            </w:tcBorders>
          </w:tcPr>
          <w:p>
            <w:pPr>
              <w:jc w:val="center"/>
              <w:ind w:right="743"/>
              <w:spacing w:after="0" w:line="180" w:lineRule="exact"/>
              <w:rPr>
                <w:sz w:val="20"/>
                <w:szCs w:val="20"/>
                <w:color w:val="auto"/>
              </w:rPr>
            </w:pPr>
            <w:r>
              <w:rPr>
                <w:rFonts w:ascii="Calibri" w:cs="Calibri" w:eastAsia="Calibri" w:hAnsi="Calibri"/>
                <w:sz w:val="15"/>
                <w:szCs w:val="15"/>
                <w:b w:val="1"/>
                <w:bCs w:val="1"/>
                <w:color w:val="333333"/>
                <w:w w:val="94"/>
              </w:rPr>
              <w:t>Target</w:t>
            </w:r>
          </w:p>
        </w:tc>
        <w:tc>
          <w:tcPr>
            <w:tcW w:w="2360" w:type="dxa"/>
            <w:vAlign w:val="bottom"/>
            <w:tcBorders>
              <w:right w:val="single" w:sz="8" w:color="333333"/>
            </w:tcBorders>
          </w:tcPr>
          <w:p>
            <w:pPr>
              <w:spacing w:after="0"/>
              <w:rPr>
                <w:sz w:val="15"/>
                <w:szCs w:val="15"/>
                <w:color w:val="auto"/>
              </w:rPr>
            </w:pPr>
          </w:p>
        </w:tc>
        <w:tc>
          <w:tcPr>
            <w:tcW w:w="2640" w:type="dxa"/>
            <w:vAlign w:val="bottom"/>
            <w:tcBorders>
              <w:right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440" w:type="dxa"/>
            <w:vAlign w:val="bottom"/>
            <w:tcBorders>
              <w:left w:val="single" w:sz="8" w:color="333333"/>
              <w:right w:val="single" w:sz="8" w:color="333333"/>
            </w:tcBorders>
            <w:shd w:val="clear" w:color="auto" w:fill="EFF2EF"/>
          </w:tcPr>
          <w:p>
            <w:pPr>
              <w:spacing w:after="0"/>
              <w:rPr>
                <w:sz w:val="24"/>
                <w:szCs w:val="24"/>
                <w:color w:val="auto"/>
              </w:rPr>
            </w:pPr>
          </w:p>
        </w:tc>
        <w:tc>
          <w:tcPr>
            <w:tcW w:w="860" w:type="dxa"/>
            <w:vAlign w:val="bottom"/>
          </w:tcPr>
          <w:p>
            <w:pPr>
              <w:spacing w:after="0"/>
              <w:rPr>
                <w:sz w:val="24"/>
                <w:szCs w:val="24"/>
                <w:color w:val="auto"/>
              </w:rPr>
            </w:pPr>
          </w:p>
        </w:tc>
        <w:tc>
          <w:tcPr>
            <w:tcW w:w="3640" w:type="dxa"/>
            <w:vAlign w:val="bottom"/>
            <w:tcBorders>
              <w:right w:val="single" w:sz="8" w:color="333333"/>
            </w:tcBorders>
          </w:tcPr>
          <w:p>
            <w:pPr>
              <w:jc w:val="center"/>
              <w:ind w:right="723"/>
              <w:spacing w:after="0"/>
              <w:rPr>
                <w:sz w:val="20"/>
                <w:szCs w:val="20"/>
                <w:color w:val="auto"/>
              </w:rPr>
            </w:pPr>
            <w:r>
              <w:rPr>
                <w:rFonts w:ascii="Calibri" w:cs="Calibri" w:eastAsia="Calibri" w:hAnsi="Calibri"/>
                <w:sz w:val="15"/>
                <w:szCs w:val="15"/>
                <w:color w:val="333333"/>
                <w:w w:val="98"/>
              </w:rPr>
              <w:t xml:space="preserve">Threshold – 50% ($262,500) </w:t>
            </w:r>
            <w:r>
              <w:rPr>
                <w:rFonts w:ascii="Calibri" w:cs="Calibri" w:eastAsia="Calibri" w:hAnsi="Calibri"/>
                <w:sz w:val="22"/>
                <w:szCs w:val="22"/>
                <w:color w:val="333333"/>
                <w:w w:val="98"/>
                <w:vertAlign w:val="superscript"/>
              </w:rPr>
              <w:t>(2)</w:t>
            </w:r>
          </w:p>
        </w:tc>
        <w:tc>
          <w:tcPr>
            <w:tcW w:w="2360" w:type="dxa"/>
            <w:vAlign w:val="bottom"/>
            <w:tcBorders>
              <w:right w:val="single" w:sz="8" w:color="333333"/>
            </w:tcBorders>
          </w:tcPr>
          <w:p>
            <w:pPr>
              <w:spacing w:after="0"/>
              <w:rPr>
                <w:sz w:val="24"/>
                <w:szCs w:val="24"/>
                <w:color w:val="auto"/>
              </w:rPr>
            </w:pPr>
          </w:p>
        </w:tc>
        <w:tc>
          <w:tcPr>
            <w:tcW w:w="2640" w:type="dxa"/>
            <w:vAlign w:val="bottom"/>
            <w:tcBorders>
              <w:right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333333"/>
              <w:right w:val="single" w:sz="8" w:color="333333"/>
            </w:tcBorders>
            <w:shd w:val="clear" w:color="auto" w:fill="EFF2EF"/>
          </w:tcPr>
          <w:p>
            <w:pPr>
              <w:spacing w:after="0"/>
              <w:rPr>
                <w:sz w:val="16"/>
                <w:szCs w:val="16"/>
                <w:color w:val="auto"/>
              </w:rPr>
            </w:pPr>
          </w:p>
        </w:tc>
        <w:tc>
          <w:tcPr>
            <w:tcW w:w="860" w:type="dxa"/>
            <w:vAlign w:val="bottom"/>
          </w:tcPr>
          <w:p>
            <w:pPr>
              <w:spacing w:after="0"/>
              <w:rPr>
                <w:sz w:val="16"/>
                <w:szCs w:val="16"/>
                <w:color w:val="auto"/>
              </w:rPr>
            </w:pPr>
          </w:p>
        </w:tc>
        <w:tc>
          <w:tcPr>
            <w:tcW w:w="3640" w:type="dxa"/>
            <w:vAlign w:val="bottom"/>
            <w:tcBorders>
              <w:right w:val="single" w:sz="8" w:color="333333"/>
            </w:tcBorders>
          </w:tcPr>
          <w:p>
            <w:pPr>
              <w:jc w:val="center"/>
              <w:ind w:right="743"/>
              <w:spacing w:after="0" w:line="188" w:lineRule="exact"/>
              <w:rPr>
                <w:sz w:val="20"/>
                <w:szCs w:val="20"/>
                <w:color w:val="auto"/>
              </w:rPr>
            </w:pPr>
            <w:r>
              <w:rPr>
                <w:rFonts w:ascii="Calibri" w:cs="Calibri" w:eastAsia="Calibri" w:hAnsi="Calibri"/>
                <w:sz w:val="14"/>
                <w:szCs w:val="14"/>
                <w:color w:val="333333"/>
              </w:rPr>
              <w:t xml:space="preserve">Target – 100% ($525,000) </w:t>
            </w:r>
            <w:r>
              <w:rPr>
                <w:rFonts w:ascii="Calibri" w:cs="Calibri" w:eastAsia="Calibri" w:hAnsi="Calibri"/>
                <w:sz w:val="20"/>
                <w:szCs w:val="20"/>
                <w:color w:val="333333"/>
                <w:vertAlign w:val="superscript"/>
              </w:rPr>
              <w:t>(2)</w:t>
            </w:r>
          </w:p>
        </w:tc>
        <w:tc>
          <w:tcPr>
            <w:tcW w:w="2360" w:type="dxa"/>
            <w:vAlign w:val="bottom"/>
            <w:tcBorders>
              <w:right w:val="single" w:sz="8" w:color="333333"/>
            </w:tcBorders>
          </w:tcPr>
          <w:p>
            <w:pPr>
              <w:spacing w:after="0"/>
              <w:rPr>
                <w:sz w:val="16"/>
                <w:szCs w:val="16"/>
                <w:color w:val="auto"/>
              </w:rPr>
            </w:pPr>
          </w:p>
        </w:tc>
        <w:tc>
          <w:tcPr>
            <w:tcW w:w="2640" w:type="dxa"/>
            <w:vAlign w:val="bottom"/>
            <w:tcBorders>
              <w:right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440" w:type="dxa"/>
            <w:vAlign w:val="bottom"/>
            <w:tcBorders>
              <w:left w:val="single" w:sz="8" w:color="333333"/>
              <w:right w:val="single" w:sz="8" w:color="333333"/>
            </w:tcBorders>
            <w:shd w:val="clear" w:color="auto" w:fill="EFF2EF"/>
          </w:tcPr>
          <w:p>
            <w:pPr>
              <w:spacing w:after="0"/>
              <w:rPr>
                <w:sz w:val="23"/>
                <w:szCs w:val="23"/>
                <w:color w:val="auto"/>
              </w:rPr>
            </w:pPr>
          </w:p>
        </w:tc>
        <w:tc>
          <w:tcPr>
            <w:tcW w:w="860" w:type="dxa"/>
            <w:vAlign w:val="bottom"/>
          </w:tcPr>
          <w:p>
            <w:pPr>
              <w:spacing w:after="0"/>
              <w:rPr>
                <w:sz w:val="23"/>
                <w:szCs w:val="23"/>
                <w:color w:val="auto"/>
              </w:rPr>
            </w:pPr>
          </w:p>
        </w:tc>
        <w:tc>
          <w:tcPr>
            <w:tcW w:w="3640" w:type="dxa"/>
            <w:vAlign w:val="bottom"/>
            <w:tcBorders>
              <w:right w:val="single" w:sz="8" w:color="333333"/>
            </w:tcBorders>
          </w:tcPr>
          <w:p>
            <w:pPr>
              <w:jc w:val="center"/>
              <w:ind w:right="743"/>
              <w:spacing w:after="0"/>
              <w:rPr>
                <w:sz w:val="20"/>
                <w:szCs w:val="20"/>
                <w:color w:val="auto"/>
              </w:rPr>
            </w:pPr>
            <w:r>
              <w:rPr>
                <w:rFonts w:ascii="Calibri" w:cs="Calibri" w:eastAsia="Calibri" w:hAnsi="Calibri"/>
                <w:sz w:val="15"/>
                <w:szCs w:val="15"/>
                <w:color w:val="333333"/>
                <w:w w:val="99"/>
              </w:rPr>
              <w:t xml:space="preserve">Maximum – 150% ($787,500) </w:t>
            </w:r>
            <w:r>
              <w:rPr>
                <w:rFonts w:ascii="Calibri" w:cs="Calibri" w:eastAsia="Calibri" w:hAnsi="Calibri"/>
                <w:sz w:val="22"/>
                <w:szCs w:val="22"/>
                <w:color w:val="333333"/>
                <w:w w:val="99"/>
                <w:vertAlign w:val="superscript"/>
              </w:rPr>
              <w:t>(2)</w:t>
            </w:r>
          </w:p>
        </w:tc>
        <w:tc>
          <w:tcPr>
            <w:tcW w:w="2360" w:type="dxa"/>
            <w:vAlign w:val="bottom"/>
            <w:tcBorders>
              <w:right w:val="single" w:sz="8" w:color="333333"/>
            </w:tcBorders>
          </w:tcPr>
          <w:p>
            <w:pPr>
              <w:spacing w:after="0"/>
              <w:rPr>
                <w:sz w:val="23"/>
                <w:szCs w:val="23"/>
                <w:color w:val="auto"/>
              </w:rPr>
            </w:pPr>
          </w:p>
        </w:tc>
        <w:tc>
          <w:tcPr>
            <w:tcW w:w="2640" w:type="dxa"/>
            <w:vAlign w:val="bottom"/>
            <w:tcBorders>
              <w:right w:val="single" w:sz="8" w:color="333333"/>
            </w:tcBorders>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1440" w:type="dxa"/>
            <w:vAlign w:val="bottom"/>
            <w:tcBorders>
              <w:left w:val="single" w:sz="8" w:color="333333"/>
              <w:bottom w:val="single" w:sz="8" w:color="333333"/>
              <w:right w:val="single" w:sz="8" w:color="333333"/>
            </w:tcBorders>
            <w:shd w:val="clear" w:color="auto" w:fill="EFF2EF"/>
          </w:tcPr>
          <w:p>
            <w:pPr>
              <w:spacing w:after="0"/>
              <w:rPr>
                <w:sz w:val="24"/>
                <w:szCs w:val="24"/>
                <w:color w:val="auto"/>
              </w:rPr>
            </w:pPr>
          </w:p>
        </w:tc>
        <w:tc>
          <w:tcPr>
            <w:tcW w:w="860" w:type="dxa"/>
            <w:vAlign w:val="bottom"/>
            <w:tcBorders>
              <w:bottom w:val="single" w:sz="8" w:color="333333"/>
            </w:tcBorders>
          </w:tcPr>
          <w:p>
            <w:pPr>
              <w:spacing w:after="0"/>
              <w:rPr>
                <w:sz w:val="24"/>
                <w:szCs w:val="24"/>
                <w:color w:val="auto"/>
              </w:rPr>
            </w:pPr>
          </w:p>
        </w:tc>
        <w:tc>
          <w:tcPr>
            <w:tcW w:w="3640" w:type="dxa"/>
            <w:vAlign w:val="bottom"/>
            <w:tcBorders>
              <w:bottom w:val="single" w:sz="8" w:color="333333"/>
              <w:right w:val="single" w:sz="8" w:color="333333"/>
            </w:tcBorders>
          </w:tcPr>
          <w:p>
            <w:pPr>
              <w:spacing w:after="0"/>
              <w:rPr>
                <w:sz w:val="24"/>
                <w:szCs w:val="24"/>
                <w:color w:val="auto"/>
              </w:rPr>
            </w:pPr>
          </w:p>
        </w:tc>
        <w:tc>
          <w:tcPr>
            <w:tcW w:w="2360" w:type="dxa"/>
            <w:vAlign w:val="bottom"/>
            <w:tcBorders>
              <w:bottom w:val="single" w:sz="8" w:color="333333"/>
              <w:right w:val="single" w:sz="8" w:color="333333"/>
            </w:tcBorders>
          </w:tcPr>
          <w:p>
            <w:pPr>
              <w:spacing w:after="0"/>
              <w:rPr>
                <w:sz w:val="24"/>
                <w:szCs w:val="24"/>
                <w:color w:val="auto"/>
              </w:rPr>
            </w:pPr>
          </w:p>
        </w:tc>
        <w:tc>
          <w:tcPr>
            <w:tcW w:w="2640" w:type="dxa"/>
            <w:vAlign w:val="bottom"/>
            <w:tcBorders>
              <w:bottom w:val="single" w:sz="8" w:color="333333"/>
              <w:right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440" w:type="dxa"/>
            <w:vAlign w:val="bottom"/>
            <w:tcBorders>
              <w:bottom w:val="single" w:sz="8" w:color="333333"/>
            </w:tcBorders>
          </w:tcPr>
          <w:p>
            <w:pPr>
              <w:spacing w:after="0"/>
              <w:rPr>
                <w:sz w:val="11"/>
                <w:szCs w:val="11"/>
                <w:color w:val="auto"/>
              </w:rPr>
            </w:pPr>
          </w:p>
        </w:tc>
        <w:tc>
          <w:tcPr>
            <w:tcW w:w="860" w:type="dxa"/>
            <w:vAlign w:val="bottom"/>
            <w:tcBorders>
              <w:bottom w:val="single" w:sz="8" w:color="333333"/>
            </w:tcBorders>
          </w:tcPr>
          <w:p>
            <w:pPr>
              <w:spacing w:after="0"/>
              <w:rPr>
                <w:sz w:val="11"/>
                <w:szCs w:val="11"/>
                <w:color w:val="auto"/>
              </w:rPr>
            </w:pPr>
          </w:p>
        </w:tc>
        <w:tc>
          <w:tcPr>
            <w:tcW w:w="36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40" w:hanging="433"/>
        <w:spacing w:after="0" w:line="220" w:lineRule="auto"/>
        <w:tabs>
          <w:tab w:leader="none" w:pos="600" w:val="left"/>
        </w:tabs>
        <w:numPr>
          <w:ilvl w:val="0"/>
          <w:numId w:val="73"/>
        </w:numPr>
        <w:rPr>
          <w:rFonts w:ascii="Calibri" w:cs="Calibri" w:eastAsia="Calibri" w:hAnsi="Calibri"/>
          <w:sz w:val="21"/>
          <w:szCs w:val="21"/>
          <w:color w:val="333333"/>
          <w:vertAlign w:val="superscript"/>
        </w:rPr>
      </w:pPr>
      <w:r>
        <w:rPr>
          <w:rFonts w:ascii="Calibri" w:cs="Calibri" w:eastAsia="Calibri" w:hAnsi="Calibri"/>
          <w:sz w:val="14"/>
          <w:szCs w:val="14"/>
          <w:color w:val="333333"/>
        </w:rPr>
        <w:t>Mr. Keatng’s base salary for 2025 was $515,000. He does not partcipate in the AIP. Instead, he is eligible for an annual bonus opportunity under the FTI Discretonary Incentve Plan (the “DIP”) with an annual bonus target equal to 50% of base salary, with achievement determined based on individual and Company performance during the year as determined in the discreton of the Company. In additon, in 2025, he was awarded annual equity awards outside of our LTIP program, 50% of which were in the form of Performance RSUs that vest based on FTI Consultng’s Relatve TSR over a two-year performance period ending December 31, 2026, and 50% of which were in the form of tme-based RSUs that vest pro-rata over a two-year period.</w:t>
      </w:r>
    </w:p>
    <w:p>
      <w:pPr>
        <w:spacing w:after="0" w:line="128" w:lineRule="exact"/>
        <w:rPr>
          <w:rFonts w:ascii="Calibri" w:cs="Calibri" w:eastAsia="Calibri" w:hAnsi="Calibri"/>
          <w:sz w:val="21"/>
          <w:szCs w:val="21"/>
          <w:color w:val="333333"/>
          <w:vertAlign w:val="superscript"/>
        </w:rPr>
      </w:pPr>
    </w:p>
    <w:p>
      <w:pPr>
        <w:ind w:left="600" w:right="80" w:hanging="433"/>
        <w:spacing w:after="0" w:line="192" w:lineRule="auto"/>
        <w:tabs>
          <w:tab w:leader="none" w:pos="600" w:val="left"/>
        </w:tabs>
        <w:numPr>
          <w:ilvl w:val="0"/>
          <w:numId w:val="73"/>
        </w:numPr>
        <w:rPr>
          <w:rFonts w:ascii="Calibri" w:cs="Calibri" w:eastAsia="Calibri" w:hAnsi="Calibri"/>
          <w:sz w:val="21"/>
          <w:szCs w:val="21"/>
          <w:color w:val="333333"/>
          <w:vertAlign w:val="superscript"/>
        </w:rPr>
      </w:pPr>
      <w:r>
        <w:rPr>
          <w:rFonts w:ascii="Calibri" w:cs="Calibri" w:eastAsia="Calibri" w:hAnsi="Calibri"/>
          <w:sz w:val="14"/>
          <w:szCs w:val="14"/>
          <w:color w:val="333333"/>
        </w:rPr>
        <w:t>Beginning January 1, 2025, Ms. Paul reduced her schedule from 80% tme to 50% tme. As a result, all of her compensaton was pro-rated at the same 50%, including her base salary, AIP payout (as a result of the opportunity being based on pro-rated base salary) and total LTIP opportunity.</w:t>
      </w:r>
    </w:p>
    <w:p>
      <w:pPr>
        <w:spacing w:after="0" w:line="13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58</w:t>
      </w:r>
    </w:p>
    <w:p>
      <w:pPr>
        <w:sectPr>
          <w:pgSz w:w="11900" w:h="16838" w:orient="portrait"/>
          <w:cols w:equalWidth="0" w:num="1">
            <w:col w:w="11100"/>
          </w:cols>
          <w:pgMar w:left="320" w:top="478"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2025 Shareholder Engagement and Outreach</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Most Recent Say-on-Pay Vote Results</w:t>
      </w:r>
    </w:p>
    <w:p>
      <w:pPr>
        <w:spacing w:after="0" w:line="10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 xml:space="preserve">At our annual meetng of shareholders on June 4, 2025 (the “2025 Annual Meetng”), our shareholders expressed support for our executve compensaton program with approximately </w:t>
      </w:r>
      <w:r>
        <w:rPr>
          <w:rFonts w:ascii="Calibri" w:cs="Calibri" w:eastAsia="Calibri" w:hAnsi="Calibri"/>
          <w:sz w:val="17"/>
          <w:szCs w:val="17"/>
          <w:b w:val="1"/>
          <w:bCs w:val="1"/>
          <w:color w:val="333333"/>
        </w:rPr>
        <w:t>99%</w:t>
      </w:r>
      <w:r>
        <w:rPr>
          <w:rFonts w:ascii="Calibri" w:cs="Calibri" w:eastAsia="Calibri" w:hAnsi="Calibri"/>
          <w:sz w:val="17"/>
          <w:szCs w:val="17"/>
          <w:color w:val="333333"/>
        </w:rPr>
        <w:t xml:space="preserve"> of the votes cast in favor of our say-on-pay proposal approving NEO compensaton for the year ended December 31, 2025. Our 2026 compensaton decisions were informed by shareholder discussions conducted in late 2025 and early 2026, facilitated through outreach to our top 20 non-executve shareholders, representng approximately 70% of our outstanding shares. Discussions with our shareholders reinforced our belief that the changes we have adopted over the past several years were responsive to our shareholders’ feedback. See the secton of this CD&amp;A ttled “— What Guides Our Program — Compensaton Philosophy” and “— What Guides Our Program — How We Make Compensaton Decisions — The Decision-Making Process” for discussions of our guiding compensaton principles on </w:t>
      </w:r>
      <w:r>
        <w:rPr>
          <w:rFonts w:ascii="Calibri" w:cs="Calibri" w:eastAsia="Calibri" w:hAnsi="Calibri"/>
          <w:sz w:val="17"/>
          <w:szCs w:val="17"/>
          <w:color w:val="0591DB"/>
        </w:rPr>
        <w:t>page 60</w:t>
      </w:r>
      <w:r>
        <w:rPr>
          <w:rFonts w:ascii="Calibri" w:cs="Calibri" w:eastAsia="Calibri" w:hAnsi="Calibri"/>
          <w:sz w:val="17"/>
          <w:szCs w:val="17"/>
          <w:color w:val="333333"/>
        </w:rPr>
        <w:t xml:space="preserve"> and </w:t>
      </w:r>
      <w:r>
        <w:rPr>
          <w:rFonts w:ascii="Calibri" w:cs="Calibri" w:eastAsia="Calibri" w:hAnsi="Calibri"/>
          <w:sz w:val="17"/>
          <w:szCs w:val="17"/>
          <w:color w:val="0591DB"/>
        </w:rPr>
        <w:t>page 61</w:t>
      </w:r>
      <w:r>
        <w:rPr>
          <w:rFonts w:ascii="Calibri" w:cs="Calibri" w:eastAsia="Calibri" w:hAnsi="Calibri"/>
          <w:sz w:val="17"/>
          <w:szCs w:val="17"/>
          <w:color w:val="333333"/>
        </w:rPr>
        <w:t>, respectvely.</w:t>
      </w:r>
    </w:p>
    <w:p>
      <w:pPr>
        <w:spacing w:after="0" w:line="214"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 xml:space="preserve">Following our 2025 Annual Meetng, feedback on the compensaton changes we enacted over the past several years was positve. We contnued to reach out to our top 20 non-executve shareholders throughout 2025, representng an aggregate of approximately 70% of our outstanding shares of Common Stock, to ofer them one-on-one meetngs where we discussed key topics, including our executve compensaton program, equity compensaton, disclosure, peer group selecton, and environmental-, social- and governance-related topics. See the secton of this CD&amp;A ttled “— What Guides Our Program — Compensaton Philosophy” and “— What Guides Our Program — How We Make Compensaton Decisions — Role of Peer Companies” for discussions of our guiding compensaton principles and our peer group beginning on </w:t>
      </w:r>
      <w:r>
        <w:rPr>
          <w:rFonts w:ascii="Calibri" w:cs="Calibri" w:eastAsia="Calibri" w:hAnsi="Calibri"/>
          <w:sz w:val="17"/>
          <w:szCs w:val="17"/>
          <w:color w:val="0591DB"/>
        </w:rPr>
        <w:t>page 60</w:t>
      </w:r>
      <w:r>
        <w:rPr>
          <w:rFonts w:ascii="Calibri" w:cs="Calibri" w:eastAsia="Calibri" w:hAnsi="Calibri"/>
          <w:sz w:val="17"/>
          <w:szCs w:val="17"/>
          <w:color w:val="333333"/>
        </w:rPr>
        <w:t xml:space="preserve"> and </w:t>
      </w:r>
      <w:r>
        <w:rPr>
          <w:rFonts w:ascii="Calibri" w:cs="Calibri" w:eastAsia="Calibri" w:hAnsi="Calibri"/>
          <w:sz w:val="17"/>
          <w:szCs w:val="17"/>
          <w:color w:val="0591DB"/>
        </w:rPr>
        <w:t>page 63</w:t>
      </w:r>
      <w:r>
        <w:rPr>
          <w:rFonts w:ascii="Calibri" w:cs="Calibri" w:eastAsia="Calibri" w:hAnsi="Calibri"/>
          <w:sz w:val="17"/>
          <w:szCs w:val="17"/>
          <w:color w:val="333333"/>
        </w:rPr>
        <w:t>, respectvely.</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Compensaton Governance Practces</w:t>
      </w:r>
    </w:p>
    <w:p>
      <w:pPr>
        <w:spacing w:after="0" w:line="10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Our executve compensaton program is administered by our independent Compensaton Commitee. In additon to designing an executve compensaton program that incentvizes long-term value creaton, our program is contngent on achieving specifc fnancial goals, and our compensaton practces include a number of key features highlighted below:</w:t>
      </w:r>
    </w:p>
    <w:p>
      <w:pPr>
        <w:spacing w:after="0" w:line="116" w:lineRule="exact"/>
        <w:rPr>
          <w:sz w:val="20"/>
          <w:szCs w:val="20"/>
          <w:color w:val="auto"/>
        </w:rPr>
      </w:pPr>
    </w:p>
    <w:p>
      <w:pPr>
        <w:ind w:left="1020" w:hanging="318"/>
        <w:spacing w:after="0"/>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Pay-for-performance — with 90.0% of compensaton at-risk for our CEO and 71.4% at-risk for each other NEO (excluding Mr. Keatng) in 2025.</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Appropriate balance between short-term and long-term pay.</w:t>
      </w:r>
    </w:p>
    <w:p>
      <w:pPr>
        <w:spacing w:after="0" w:line="131" w:lineRule="exact"/>
        <w:rPr>
          <w:rFonts w:ascii="MS PGothic" w:cs="MS PGothic" w:eastAsia="MS PGothic" w:hAnsi="MS PGothic"/>
          <w:sz w:val="17"/>
          <w:szCs w:val="17"/>
          <w:color w:val="0591DB"/>
        </w:rPr>
      </w:pPr>
    </w:p>
    <w:p>
      <w:pPr>
        <w:ind w:left="1020" w:right="60" w:hanging="318"/>
        <w:spacing w:after="0" w:line="233" w:lineRule="auto"/>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Robust stock ownership requirements for our CEO — seven tmes (7.0x) base salary — and each other covered NEO — three tmes (3.0x) base salary — in 2025.</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No automatc acceleraton of equity awards upon a “change in control.”</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Ant-hedging and pledging policies.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NYSE-compliant Compensaton Recoupment (Clawback) Policy.</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4"/>
        </w:numPr>
        <w:rPr>
          <w:rFonts w:ascii="MS PGothic" w:cs="MS PGothic" w:eastAsia="MS PGothic" w:hAnsi="MS PGothic"/>
          <w:sz w:val="17"/>
          <w:szCs w:val="17"/>
          <w:color w:val="0591DB"/>
        </w:rPr>
      </w:pPr>
      <w:r>
        <w:rPr>
          <w:rFonts w:ascii="Calibri" w:cs="Calibri" w:eastAsia="Calibri" w:hAnsi="Calibri"/>
          <w:sz w:val="17"/>
          <w:szCs w:val="17"/>
          <w:color w:val="333333"/>
        </w:rPr>
        <w:t>Use of independent compensaton consultant to advise Compensaton Commitee.</w:t>
      </w:r>
    </w:p>
    <w:p>
      <w:pPr>
        <w:spacing w:after="0" w:line="154"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59</w:t>
      </w:r>
    </w:p>
    <w:p>
      <w:pPr>
        <w:sectPr>
          <w:pgSz w:w="11900" w:h="16838" w:orient="portrait"/>
          <w:cols w:equalWidth="0" w:num="1">
            <w:col w:w="11060"/>
          </w:cols>
          <w:pgMar w:left="320" w:top="478"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What Guides Our Program</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Compensaton Philosophy</w:t>
      </w:r>
    </w:p>
    <w:p>
      <w:pPr>
        <w:spacing w:after="0" w:line="10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Our Compensaton Commitee strongly believes that NEO compensaton — both pay opportunites and pay realized — should be linked with the Company’s operatonal performance and the creaton of shareholder value. Our Compensaton Commitee designs our executve compensaton program to accomplish our goals of:</w:t>
      </w:r>
    </w:p>
    <w:p>
      <w:pPr>
        <w:spacing w:after="0" w:line="120" w:lineRule="exact"/>
        <w:rPr>
          <w:sz w:val="20"/>
          <w:szCs w:val="20"/>
          <w:color w:val="auto"/>
        </w:rPr>
      </w:pPr>
    </w:p>
    <w:p>
      <w:pPr>
        <w:ind w:left="1020" w:right="420" w:hanging="318"/>
        <w:spacing w:after="0" w:line="233" w:lineRule="auto"/>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ATTRACTING </w:t>
      </w:r>
      <w:r>
        <w:rPr>
          <w:rFonts w:ascii="Calibri" w:cs="Calibri" w:eastAsia="Calibri" w:hAnsi="Calibri"/>
          <w:sz w:val="17"/>
          <w:szCs w:val="17"/>
          <w:color w:val="333333"/>
        </w:rPr>
        <w:t>executve ofcer candidates with compettve compensaton opportunites that are appropriate for our business, size and</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geographic diversity.</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MAINTAINING CONTINUITY </w:t>
      </w:r>
      <w:r>
        <w:rPr>
          <w:rFonts w:ascii="Calibri" w:cs="Calibri" w:eastAsia="Calibri" w:hAnsi="Calibri"/>
          <w:sz w:val="17"/>
          <w:szCs w:val="17"/>
          <w:color w:val="333333"/>
        </w:rPr>
        <w:t>of executve management by delivering opportunites for our NEOs to earn compettve compensaton.</w:t>
      </w:r>
    </w:p>
    <w:p>
      <w:pPr>
        <w:spacing w:after="0" w:line="131" w:lineRule="exact"/>
        <w:rPr>
          <w:rFonts w:ascii="MS PGothic" w:cs="MS PGothic" w:eastAsia="MS PGothic" w:hAnsi="MS PGothic"/>
          <w:sz w:val="17"/>
          <w:szCs w:val="17"/>
          <w:color w:val="0591DB"/>
        </w:rPr>
      </w:pPr>
    </w:p>
    <w:p>
      <w:pPr>
        <w:ind w:left="1020" w:right="40" w:hanging="318"/>
        <w:spacing w:after="0" w:line="233" w:lineRule="auto"/>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color w:val="333333"/>
        </w:rPr>
        <w:t xml:space="preserve">Structuring our executve compensaton program to </w:t>
      </w:r>
      <w:r>
        <w:rPr>
          <w:rFonts w:ascii="Calibri" w:cs="Calibri" w:eastAsia="Calibri" w:hAnsi="Calibri"/>
          <w:sz w:val="17"/>
          <w:szCs w:val="17"/>
          <w:b w:val="1"/>
          <w:bCs w:val="1"/>
          <w:color w:val="333333"/>
        </w:rPr>
        <w:t>ALIGN THE INTERESTS</w:t>
      </w:r>
      <w:r>
        <w:rPr>
          <w:rFonts w:ascii="Calibri" w:cs="Calibri" w:eastAsia="Calibri" w:hAnsi="Calibri"/>
          <w:sz w:val="17"/>
          <w:szCs w:val="17"/>
          <w:color w:val="333333"/>
        </w:rPr>
        <w:t xml:space="preserve"> of our NEOs with those of our shareholders by encouraging solid corporate growth and the prudent management of risks and rewards.</w:t>
      </w:r>
    </w:p>
    <w:p>
      <w:pPr>
        <w:spacing w:after="0" w:line="118" w:lineRule="exact"/>
        <w:rPr>
          <w:rFonts w:ascii="MS PGothic" w:cs="MS PGothic" w:eastAsia="MS PGothic" w:hAnsi="MS PGothic"/>
          <w:sz w:val="17"/>
          <w:szCs w:val="17"/>
          <w:color w:val="0591DB"/>
        </w:rPr>
      </w:pPr>
    </w:p>
    <w:p>
      <w:pPr>
        <w:ind w:left="1020" w:right="180" w:hanging="318"/>
        <w:spacing w:after="0" w:line="233" w:lineRule="auto"/>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BALANCING </w:t>
      </w:r>
      <w:r>
        <w:rPr>
          <w:rFonts w:ascii="Calibri" w:cs="Calibri" w:eastAsia="Calibri" w:hAnsi="Calibri"/>
          <w:sz w:val="17"/>
          <w:szCs w:val="17"/>
          <w:color w:val="333333"/>
        </w:rPr>
        <w:t>the emphasis on short-term and long-term compensaton opportunites, focusing on the atainment of fnancial and strategic</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goals that contribute to the creaton of shareholder value.</w:t>
      </w:r>
    </w:p>
    <w:p>
      <w:pPr>
        <w:spacing w:after="0" w:line="118"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color w:val="333333"/>
        </w:rPr>
        <w:t xml:space="preserve">Placing a signifcant percentage of each NEO’s total compensaton opportunity </w:t>
      </w:r>
      <w:r>
        <w:rPr>
          <w:rFonts w:ascii="Calibri" w:cs="Calibri" w:eastAsia="Calibri" w:hAnsi="Calibri"/>
          <w:sz w:val="17"/>
          <w:szCs w:val="17"/>
          <w:b w:val="1"/>
          <w:bCs w:val="1"/>
          <w:color w:val="333333"/>
        </w:rPr>
        <w:t>AT-RISK</w:t>
      </w:r>
      <w:r>
        <w:rPr>
          <w:rFonts w:ascii="Calibri" w:cs="Calibri" w:eastAsia="Calibri" w:hAnsi="Calibri"/>
          <w:sz w:val="17"/>
          <w:szCs w:val="17"/>
          <w:color w:val="333333"/>
        </w:rPr>
        <w:t xml:space="preserve"> and subject to the atainment of fnancial- or market-based goals that drive or measure the creaton of shareholder value.</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color w:val="333333"/>
        </w:rPr>
        <w:t xml:space="preserve">Paying for </w:t>
      </w:r>
      <w:r>
        <w:rPr>
          <w:rFonts w:ascii="Calibri" w:cs="Calibri" w:eastAsia="Calibri" w:hAnsi="Calibri"/>
          <w:sz w:val="17"/>
          <w:szCs w:val="17"/>
          <w:b w:val="1"/>
          <w:bCs w:val="1"/>
          <w:color w:val="333333"/>
        </w:rPr>
        <w:t>PERFORMANCE</w:t>
      </w:r>
      <w:r>
        <w:rPr>
          <w:rFonts w:ascii="Calibri" w:cs="Calibri" w:eastAsia="Calibri" w:hAnsi="Calibri"/>
          <w:sz w:val="17"/>
          <w:szCs w:val="17"/>
          <w:color w:val="333333"/>
        </w:rPr>
        <w:t>.</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color w:val="333333"/>
        </w:rPr>
        <w:t xml:space="preserve">Managing our executve compensaton program for our non-CEO executves </w:t>
      </w:r>
      <w:r>
        <w:rPr>
          <w:rFonts w:ascii="Calibri" w:cs="Calibri" w:eastAsia="Calibri" w:hAnsi="Calibri"/>
          <w:sz w:val="17"/>
          <w:szCs w:val="17"/>
          <w:b w:val="1"/>
          <w:bCs w:val="1"/>
          <w:color w:val="333333"/>
        </w:rPr>
        <w:t>CONSISTENTLY</w:t>
      </w:r>
      <w:r>
        <w:rPr>
          <w:rFonts w:ascii="Calibri" w:cs="Calibri" w:eastAsia="Calibri" w:hAnsi="Calibri"/>
          <w:sz w:val="17"/>
          <w:szCs w:val="17"/>
          <w:color w:val="333333"/>
        </w:rPr>
        <w:t xml:space="preserve"> among our partcipatng NEOs.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7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LIMITING PERQUISITES </w:t>
      </w:r>
      <w:r>
        <w:rPr>
          <w:rFonts w:ascii="Calibri" w:cs="Calibri" w:eastAsia="Calibri" w:hAnsi="Calibri"/>
          <w:sz w:val="17"/>
          <w:szCs w:val="17"/>
          <w:color w:val="333333"/>
        </w:rPr>
        <w:t>and other non-performance-based enttlements.</w:t>
      </w:r>
    </w:p>
    <w:p>
      <w:pPr>
        <w:spacing w:after="0" w:line="154"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333333"/>
        </w:rPr>
        <w:t>60</w:t>
      </w:r>
    </w:p>
    <w:p>
      <w:pPr>
        <w:sectPr>
          <w:pgSz w:w="11900" w:h="16838" w:orient="portrait"/>
          <w:cols w:equalWidth="0" w:num="1">
            <w:col w:w="10900"/>
          </w:cols>
          <w:pgMar w:left="320" w:top="478" w:right="6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How We Make Compensaton Decisions</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The Decision-Making Process</w:t>
      </w:r>
    </w:p>
    <w:p>
      <w:pPr>
        <w:spacing w:after="0" w:line="105" w:lineRule="exact"/>
        <w:rPr>
          <w:sz w:val="20"/>
          <w:szCs w:val="20"/>
          <w:color w:val="auto"/>
        </w:rPr>
      </w:pPr>
    </w:p>
    <w:p>
      <w:pPr>
        <w:ind w:left="160" w:right="160"/>
        <w:spacing w:after="0" w:line="233" w:lineRule="auto"/>
        <w:rPr>
          <w:sz w:val="20"/>
          <w:szCs w:val="20"/>
          <w:color w:val="auto"/>
        </w:rPr>
      </w:pPr>
      <w:r>
        <w:rPr>
          <w:rFonts w:ascii="Calibri" w:cs="Calibri" w:eastAsia="Calibri" w:hAnsi="Calibri"/>
          <w:sz w:val="17"/>
          <w:szCs w:val="17"/>
          <w:color w:val="333333"/>
        </w:rPr>
        <w:t>The below diagram illustrates the contnuous process that is followed to establish our executve compensaton program, which aligns our NEOs’ interests with the interests of our shareholders by incentvizing shareholder value creaton through challenging goals.</w:t>
      </w:r>
    </w:p>
    <w:p>
      <w:pPr>
        <w:spacing w:after="0" w:line="244" w:lineRule="exact"/>
        <w:rPr>
          <w:sz w:val="20"/>
          <w:szCs w:val="20"/>
          <w:color w:val="auto"/>
        </w:rPr>
      </w:pPr>
    </w:p>
    <w:tbl>
      <w:tblPr>
        <w:tblLayout w:type="fixed"/>
        <w:tblInd w:w="1180" w:type="dxa"/>
        <w:tblCellMar>
          <w:top w:w="0" w:type="dxa"/>
          <w:left w:w="0" w:type="dxa"/>
          <w:bottom w:w="0" w:type="dxa"/>
          <w:right w:w="0" w:type="dxa"/>
        </w:tblCellMar>
      </w:tblPr>
      <w:tr>
        <w:trPr>
          <w:trHeight w:val="244"/>
        </w:trPr>
        <w:tc>
          <w:tcPr>
            <w:tcW w:w="1740" w:type="dxa"/>
            <w:vAlign w:val="bottom"/>
          </w:tcPr>
          <w:p>
            <w:pPr>
              <w:spacing w:after="0"/>
              <w:rPr>
                <w:sz w:val="21"/>
                <w:szCs w:val="21"/>
                <w:color w:val="auto"/>
              </w:rPr>
            </w:pPr>
          </w:p>
        </w:tc>
        <w:tc>
          <w:tcPr>
            <w:tcW w:w="2840" w:type="dxa"/>
            <w:vAlign w:val="bottom"/>
          </w:tcPr>
          <w:p>
            <w:pPr>
              <w:ind w:left="780"/>
              <w:spacing w:after="0"/>
              <w:rPr>
                <w:sz w:val="20"/>
                <w:szCs w:val="20"/>
                <w:color w:val="auto"/>
              </w:rPr>
            </w:pPr>
            <w:r>
              <w:rPr>
                <w:rFonts w:ascii="Calibri" w:cs="Calibri" w:eastAsia="Calibri" w:hAnsi="Calibri"/>
                <w:sz w:val="20"/>
                <w:szCs w:val="20"/>
                <w:b w:val="1"/>
                <w:bCs w:val="1"/>
                <w:color w:val="0591DB"/>
              </w:rPr>
              <w:t>SECOND AND/OR</w:t>
            </w:r>
          </w:p>
        </w:tc>
        <w:tc>
          <w:tcPr>
            <w:tcW w:w="27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1"/>
        </w:trPr>
        <w:tc>
          <w:tcPr>
            <w:tcW w:w="1740" w:type="dxa"/>
            <w:vAlign w:val="bottom"/>
          </w:tcPr>
          <w:p>
            <w:pPr>
              <w:spacing w:after="0" w:line="241" w:lineRule="exact"/>
              <w:rPr>
                <w:sz w:val="20"/>
                <w:szCs w:val="20"/>
                <w:color w:val="auto"/>
              </w:rPr>
            </w:pPr>
            <w:r>
              <w:rPr>
                <w:rFonts w:ascii="Calibri" w:cs="Calibri" w:eastAsia="Calibri" w:hAnsi="Calibri"/>
                <w:sz w:val="20"/>
                <w:szCs w:val="20"/>
                <w:b w:val="1"/>
                <w:bCs w:val="1"/>
                <w:color w:val="0591DB"/>
              </w:rPr>
              <w:t>QUARTERLY</w:t>
            </w:r>
          </w:p>
        </w:tc>
        <w:tc>
          <w:tcPr>
            <w:tcW w:w="2840" w:type="dxa"/>
            <w:vAlign w:val="bottom"/>
          </w:tcPr>
          <w:p>
            <w:pPr>
              <w:ind w:left="780"/>
              <w:spacing w:after="0" w:line="241" w:lineRule="exact"/>
              <w:rPr>
                <w:sz w:val="20"/>
                <w:szCs w:val="20"/>
                <w:color w:val="auto"/>
              </w:rPr>
            </w:pPr>
            <w:r>
              <w:rPr>
                <w:rFonts w:ascii="Calibri" w:cs="Calibri" w:eastAsia="Calibri" w:hAnsi="Calibri"/>
                <w:sz w:val="20"/>
                <w:szCs w:val="20"/>
                <w:b w:val="1"/>
                <w:bCs w:val="1"/>
                <w:color w:val="0591DB"/>
              </w:rPr>
              <w:t>THIRD QUARTERS</w:t>
            </w:r>
          </w:p>
        </w:tc>
        <w:tc>
          <w:tcPr>
            <w:tcW w:w="2780" w:type="dxa"/>
            <w:vAlign w:val="bottom"/>
          </w:tcPr>
          <w:p>
            <w:pPr>
              <w:ind w:left="620"/>
              <w:spacing w:after="0" w:line="241" w:lineRule="exact"/>
              <w:rPr>
                <w:sz w:val="20"/>
                <w:szCs w:val="20"/>
                <w:color w:val="auto"/>
              </w:rPr>
            </w:pPr>
            <w:r>
              <w:rPr>
                <w:rFonts w:ascii="Calibri" w:cs="Calibri" w:eastAsia="Calibri" w:hAnsi="Calibri"/>
                <w:sz w:val="20"/>
                <w:szCs w:val="20"/>
                <w:b w:val="1"/>
                <w:bCs w:val="1"/>
                <w:color w:val="0591DB"/>
              </w:rPr>
              <w:t>FOURTH QUARTER</w:t>
            </w:r>
          </w:p>
        </w:tc>
        <w:tc>
          <w:tcPr>
            <w:tcW w:w="1920" w:type="dxa"/>
            <w:vAlign w:val="bottom"/>
          </w:tcPr>
          <w:p>
            <w:pPr>
              <w:ind w:left="620"/>
              <w:spacing w:after="0" w:line="241" w:lineRule="exact"/>
              <w:rPr>
                <w:sz w:val="20"/>
                <w:szCs w:val="20"/>
                <w:color w:val="auto"/>
              </w:rPr>
            </w:pPr>
            <w:r>
              <w:rPr>
                <w:rFonts w:ascii="Calibri" w:cs="Calibri" w:eastAsia="Calibri" w:hAnsi="Calibri"/>
                <w:sz w:val="20"/>
                <w:szCs w:val="20"/>
                <w:b w:val="1"/>
                <w:bCs w:val="1"/>
                <w:color w:val="0591DB"/>
                <w:w w:val="97"/>
              </w:rPr>
              <w:t>FIRST QUARTER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-293370</wp:posOffset>
            </wp:positionV>
            <wp:extent cx="6938010" cy="50526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38010" cy="505269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p>
      <w:pPr>
        <w:spacing w:after="0" w:line="49" w:lineRule="exact"/>
        <w:rPr>
          <w:sz w:val="20"/>
          <w:szCs w:val="20"/>
          <w:color w:val="auto"/>
        </w:rPr>
      </w:pPr>
    </w:p>
    <w:p>
      <w:pPr>
        <w:jc w:val="both"/>
        <w:ind w:left="400" w:right="120" w:hanging="157"/>
        <w:spacing w:after="0" w:line="243" w:lineRule="auto"/>
        <w:tabs>
          <w:tab w:leader="none" w:pos="400" w:val="left"/>
        </w:tabs>
        <w:numPr>
          <w:ilvl w:val="0"/>
          <w:numId w:val="76"/>
        </w:numPr>
        <w:rPr>
          <w:rFonts w:ascii="MS PGothic" w:cs="MS PGothic" w:eastAsia="MS PGothic" w:hAnsi="MS PGothic"/>
          <w:sz w:val="15"/>
          <w:szCs w:val="15"/>
          <w:color w:val="0591DB"/>
        </w:rPr>
      </w:pPr>
      <w:r>
        <w:rPr>
          <w:rFonts w:ascii="Calibri" w:cs="Calibri" w:eastAsia="Calibri" w:hAnsi="Calibri"/>
          <w:sz w:val="15"/>
          <w:szCs w:val="15"/>
          <w:color w:val="333333"/>
        </w:rPr>
        <w:t>Management/Board review business strategy, Company performance and compettve environment</w:t>
      </w:r>
    </w:p>
    <w:p>
      <w:pPr>
        <w:spacing w:after="0" w:line="165" w:lineRule="exact"/>
        <w:rPr>
          <w:rFonts w:ascii="MS PGothic" w:cs="MS PGothic" w:eastAsia="MS PGothic" w:hAnsi="MS PGothic"/>
          <w:sz w:val="15"/>
          <w:szCs w:val="15"/>
          <w:color w:val="0591DB"/>
        </w:rPr>
      </w:pPr>
    </w:p>
    <w:p>
      <w:pPr>
        <w:ind w:left="400" w:hanging="157"/>
        <w:spacing w:after="0" w:line="243" w:lineRule="auto"/>
        <w:tabs>
          <w:tab w:leader="none" w:pos="400" w:val="left"/>
        </w:tabs>
        <w:numPr>
          <w:ilvl w:val="0"/>
          <w:numId w:val="76"/>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evaluates executve compensaton fnancial performance metrics against Company fnancial results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61" w:right="100" w:hanging="161"/>
        <w:spacing w:after="0" w:line="243" w:lineRule="auto"/>
        <w:tabs>
          <w:tab w:leader="none" w:pos="161" w:val="left"/>
        </w:tabs>
        <w:numPr>
          <w:ilvl w:val="0"/>
          <w:numId w:val="77"/>
        </w:numPr>
        <w:rPr>
          <w:rFonts w:ascii="MS PGothic" w:cs="MS PGothic" w:eastAsia="MS PGothic" w:hAnsi="MS PGothic"/>
          <w:sz w:val="15"/>
          <w:szCs w:val="15"/>
          <w:color w:val="0591DB"/>
        </w:rPr>
      </w:pPr>
      <w:r>
        <w:rPr>
          <w:rFonts w:ascii="Calibri" w:cs="Calibri" w:eastAsia="Calibri" w:hAnsi="Calibri"/>
          <w:sz w:val="15"/>
          <w:szCs w:val="15"/>
          <w:color w:val="333333"/>
        </w:rPr>
        <w:t>Every other year, Compensaton Commitee selects peer group with advice of its independent compensaton advisor</w:t>
      </w:r>
    </w:p>
    <w:p>
      <w:pPr>
        <w:spacing w:after="0" w:line="167" w:lineRule="exact"/>
        <w:rPr>
          <w:rFonts w:ascii="MS PGothic" w:cs="MS PGothic" w:eastAsia="MS PGothic" w:hAnsi="MS PGothic"/>
          <w:sz w:val="15"/>
          <w:szCs w:val="15"/>
          <w:color w:val="0591DB"/>
        </w:rPr>
      </w:pPr>
    </w:p>
    <w:p>
      <w:pPr>
        <w:ind w:left="161" w:hanging="161"/>
        <w:spacing w:after="0" w:line="244" w:lineRule="auto"/>
        <w:tabs>
          <w:tab w:leader="none" w:pos="161" w:val="left"/>
        </w:tabs>
        <w:numPr>
          <w:ilvl w:val="0"/>
          <w:numId w:val="77"/>
        </w:numPr>
        <w:rPr>
          <w:rFonts w:ascii="MS PGothic" w:cs="MS PGothic" w:eastAsia="MS PGothic" w:hAnsi="MS PGothic"/>
          <w:sz w:val="15"/>
          <w:szCs w:val="15"/>
          <w:color w:val="0591DB"/>
        </w:rPr>
      </w:pPr>
      <w:r>
        <w:rPr>
          <w:rFonts w:ascii="Calibri" w:cs="Calibri" w:eastAsia="Calibri" w:hAnsi="Calibri"/>
          <w:sz w:val="15"/>
          <w:szCs w:val="15"/>
          <w:color w:val="333333"/>
        </w:rPr>
        <w:t>Every other year, independent compensaton advisor conducts a compettve market analysis of CEO and other executve ofcer compensaton of the applicable peer group companies and reviews and discusses with Compensaton Commitee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73" w:right="100" w:hanging="173"/>
        <w:spacing w:after="0" w:line="243" w:lineRule="auto"/>
        <w:tabs>
          <w:tab w:leader="none" w:pos="173" w:val="left"/>
        </w:tabs>
        <w:numPr>
          <w:ilvl w:val="0"/>
          <w:numId w:val="78"/>
        </w:numPr>
        <w:rPr>
          <w:rFonts w:ascii="MS PGothic" w:cs="MS PGothic" w:eastAsia="MS PGothic" w:hAnsi="MS PGothic"/>
          <w:sz w:val="15"/>
          <w:szCs w:val="15"/>
          <w:color w:val="0591DB"/>
        </w:rPr>
      </w:pPr>
      <w:r>
        <w:rPr>
          <w:rFonts w:ascii="Calibri" w:cs="Calibri" w:eastAsia="Calibri" w:hAnsi="Calibri"/>
          <w:sz w:val="15"/>
          <w:szCs w:val="15"/>
          <w:color w:val="333333"/>
        </w:rPr>
        <w:t>Management makes executve compensaton program design and payment opportunity recommendatons for upcoming year</w:t>
      </w:r>
    </w:p>
    <w:p>
      <w:pPr>
        <w:spacing w:after="0" w:line="167" w:lineRule="exact"/>
        <w:rPr>
          <w:rFonts w:ascii="MS PGothic" w:cs="MS PGothic" w:eastAsia="MS PGothic" w:hAnsi="MS PGothic"/>
          <w:sz w:val="15"/>
          <w:szCs w:val="15"/>
          <w:color w:val="0591DB"/>
        </w:rPr>
      </w:pPr>
    </w:p>
    <w:p>
      <w:pPr>
        <w:ind w:left="173" w:hanging="173"/>
        <w:spacing w:after="0" w:line="244" w:lineRule="auto"/>
        <w:tabs>
          <w:tab w:leader="none" w:pos="173" w:val="left"/>
        </w:tabs>
        <w:numPr>
          <w:ilvl w:val="0"/>
          <w:numId w:val="78"/>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develops or adopts changes to the annual executve compensaton program with advice from its independent compensaton advisor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65" w:right="100" w:hanging="165"/>
        <w:spacing w:after="0" w:line="244" w:lineRule="auto"/>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consults the Audit Commitee to evaluate Company fnancial performance prior to formal announcement of year-end fnancial results</w:t>
      </w:r>
    </w:p>
    <w:p>
      <w:pPr>
        <w:spacing w:after="0" w:line="165" w:lineRule="exact"/>
        <w:rPr>
          <w:rFonts w:ascii="MS PGothic" w:cs="MS PGothic" w:eastAsia="MS PGothic" w:hAnsi="MS PGothic"/>
          <w:sz w:val="15"/>
          <w:szCs w:val="15"/>
          <w:color w:val="0591DB"/>
        </w:rPr>
      </w:pPr>
    </w:p>
    <w:p>
      <w:pPr>
        <w:ind w:left="165" w:right="20" w:hanging="165"/>
        <w:spacing w:after="0"/>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evaluates CEO individual performance</w:t>
      </w:r>
    </w:p>
    <w:p>
      <w:pPr>
        <w:spacing w:after="0" w:line="168" w:lineRule="exact"/>
        <w:rPr>
          <w:rFonts w:ascii="MS PGothic" w:cs="MS PGothic" w:eastAsia="MS PGothic" w:hAnsi="MS PGothic"/>
          <w:sz w:val="15"/>
          <w:szCs w:val="15"/>
          <w:color w:val="0591DB"/>
        </w:rPr>
      </w:pPr>
    </w:p>
    <w:p>
      <w:pPr>
        <w:ind w:left="165" w:right="100" w:hanging="165"/>
        <w:spacing w:after="0" w:line="243" w:lineRule="auto"/>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CEO evaluates individual performance of other partcipatng NEOs and advises Compensaton Commitee</w:t>
      </w:r>
    </w:p>
    <w:p>
      <w:pPr>
        <w:spacing w:after="0" w:line="167" w:lineRule="exact"/>
        <w:rPr>
          <w:rFonts w:ascii="MS PGothic" w:cs="MS PGothic" w:eastAsia="MS PGothic" w:hAnsi="MS PGothic"/>
          <w:sz w:val="15"/>
          <w:szCs w:val="15"/>
          <w:color w:val="0591DB"/>
        </w:rPr>
      </w:pPr>
    </w:p>
    <w:p>
      <w:pPr>
        <w:ind w:left="165" w:right="60" w:hanging="165"/>
        <w:spacing w:after="0" w:line="243" w:lineRule="auto"/>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establishes payments for applicable bonus year</w:t>
      </w:r>
    </w:p>
    <w:p>
      <w:pPr>
        <w:spacing w:after="0" w:line="165" w:lineRule="exact"/>
        <w:rPr>
          <w:rFonts w:ascii="MS PGothic" w:cs="MS PGothic" w:eastAsia="MS PGothic" w:hAnsi="MS PGothic"/>
          <w:sz w:val="15"/>
          <w:szCs w:val="15"/>
          <w:color w:val="0591DB"/>
        </w:rPr>
      </w:pPr>
    </w:p>
    <w:p>
      <w:pPr>
        <w:ind w:left="165" w:hanging="165"/>
        <w:spacing w:after="0" w:line="244" w:lineRule="auto"/>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considers the latest compettve market analysis of CEO compensaton of the applicable peer group companies to inform CEO compensaton decisions</w:t>
      </w:r>
    </w:p>
    <w:p>
      <w:pPr>
        <w:spacing w:after="0" w:line="165" w:lineRule="exact"/>
        <w:rPr>
          <w:rFonts w:ascii="MS PGothic" w:cs="MS PGothic" w:eastAsia="MS PGothic" w:hAnsi="MS PGothic"/>
          <w:sz w:val="15"/>
          <w:szCs w:val="15"/>
          <w:color w:val="0591DB"/>
        </w:rPr>
      </w:pPr>
    </w:p>
    <w:p>
      <w:pPr>
        <w:ind w:left="165" w:right="180" w:hanging="165"/>
        <w:spacing w:after="0"/>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Management presents budget for upcoming fscal year</w:t>
      </w:r>
    </w:p>
    <w:p>
      <w:pPr>
        <w:spacing w:after="0" w:line="168" w:lineRule="exact"/>
        <w:rPr>
          <w:rFonts w:ascii="MS PGothic" w:cs="MS PGothic" w:eastAsia="MS PGothic" w:hAnsi="MS PGothic"/>
          <w:sz w:val="15"/>
          <w:szCs w:val="15"/>
          <w:color w:val="0591DB"/>
        </w:rPr>
      </w:pPr>
    </w:p>
    <w:p>
      <w:pPr>
        <w:ind w:left="165" w:right="40" w:hanging="165"/>
        <w:spacing w:after="0" w:line="244" w:lineRule="auto"/>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fnalizes executve compensaton program design and payment opportunites for current fscal year with advice from its independent compensaton advisor</w:t>
      </w:r>
    </w:p>
    <w:p>
      <w:pPr>
        <w:spacing w:after="0" w:line="166" w:lineRule="exact"/>
        <w:rPr>
          <w:rFonts w:ascii="MS PGothic" w:cs="MS PGothic" w:eastAsia="MS PGothic" w:hAnsi="MS PGothic"/>
          <w:sz w:val="15"/>
          <w:szCs w:val="15"/>
          <w:color w:val="0591DB"/>
        </w:rPr>
      </w:pPr>
    </w:p>
    <w:p>
      <w:pPr>
        <w:ind w:left="165" w:hanging="165"/>
        <w:spacing w:after="0"/>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Compensaton Commitee sets CEO annual individual performance goals</w:t>
      </w:r>
    </w:p>
    <w:p>
      <w:pPr>
        <w:spacing w:after="0" w:line="168" w:lineRule="exact"/>
        <w:rPr>
          <w:rFonts w:ascii="MS PGothic" w:cs="MS PGothic" w:eastAsia="MS PGothic" w:hAnsi="MS PGothic"/>
          <w:sz w:val="15"/>
          <w:szCs w:val="15"/>
          <w:color w:val="0591DB"/>
        </w:rPr>
      </w:pPr>
    </w:p>
    <w:p>
      <w:pPr>
        <w:ind w:left="165" w:right="560" w:hanging="165"/>
        <w:spacing w:after="0" w:line="243" w:lineRule="auto"/>
        <w:tabs>
          <w:tab w:leader="none" w:pos="165" w:val="left"/>
        </w:tabs>
        <w:numPr>
          <w:ilvl w:val="0"/>
          <w:numId w:val="79"/>
        </w:numPr>
        <w:rPr>
          <w:rFonts w:ascii="MS PGothic" w:cs="MS PGothic" w:eastAsia="MS PGothic" w:hAnsi="MS PGothic"/>
          <w:sz w:val="15"/>
          <w:szCs w:val="15"/>
          <w:color w:val="0591DB"/>
        </w:rPr>
      </w:pPr>
      <w:r>
        <w:rPr>
          <w:rFonts w:ascii="Calibri" w:cs="Calibri" w:eastAsia="Calibri" w:hAnsi="Calibri"/>
          <w:sz w:val="15"/>
          <w:szCs w:val="15"/>
          <w:color w:val="333333"/>
        </w:rPr>
        <w:t>CEO sets annual individual performance goals of other partcipatng NEOs</w:t>
      </w:r>
    </w:p>
    <w:p>
      <w:pPr>
        <w:spacing w:after="0" w:line="200" w:lineRule="exact"/>
        <w:rPr>
          <w:sz w:val="20"/>
          <w:szCs w:val="20"/>
          <w:color w:val="auto"/>
        </w:rPr>
      </w:pPr>
    </w:p>
    <w:p>
      <w:pPr>
        <w:sectPr>
          <w:pgSz w:w="11900" w:h="16838" w:orient="portrait"/>
          <w:cols w:equalWidth="0" w:num="4">
            <w:col w:w="2780" w:space="419"/>
            <w:col w:w="2421" w:space="307"/>
            <w:col w:w="2533" w:space="195"/>
            <w:col w:w="2405"/>
          </w:cols>
          <w:pgMar w:left="320" w:top="478" w:right="519" w:bottom="1440" w:gutter="0" w:footer="0" w:header="0"/>
          <w:type w:val="continuous"/>
        </w:sectPr>
      </w:pPr>
    </w:p>
    <w:p>
      <w:pPr>
        <w:spacing w:after="0" w:line="96" w:lineRule="exact"/>
        <w:rPr>
          <w:sz w:val="20"/>
          <w:szCs w:val="20"/>
          <w:color w:val="auto"/>
        </w:rPr>
      </w:pPr>
    </w:p>
    <w:p>
      <w:pPr>
        <w:jc w:val="center"/>
        <w:ind w:right="-179"/>
        <w:spacing w:after="0"/>
        <w:rPr>
          <w:sz w:val="20"/>
          <w:szCs w:val="20"/>
          <w:color w:val="auto"/>
        </w:rPr>
      </w:pPr>
      <w:r>
        <w:rPr>
          <w:rFonts w:ascii="Calibri" w:cs="Calibri" w:eastAsia="Calibri" w:hAnsi="Calibri"/>
          <w:sz w:val="15"/>
          <w:szCs w:val="15"/>
          <w:color w:val="333333"/>
        </w:rPr>
        <w:t>61</w:t>
      </w:r>
    </w:p>
    <w:p>
      <w:pPr>
        <w:sectPr>
          <w:pgSz w:w="11900" w:h="16838" w:orient="portrait"/>
          <w:cols w:equalWidth="0" w:num="1">
            <w:col w:w="11060"/>
          </w:cols>
          <w:pgMar w:left="320" w:top="478" w:right="5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Role of Compensaton Commitee</w:t>
      </w:r>
    </w:p>
    <w:p>
      <w:pPr>
        <w:spacing w:after="0" w:line="105"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 xml:space="preserve">The Compensaton Commitee oversees the executve compensaton program for our NEOs. The Compensaton Commitee is composed of independent, non-employee members of the Company’s Board. The Compensaton Commitee works very closely with its independent advisors and management to examine the efectveness of the Company’s executve compensaton program throughout the year. Details of the Commitee’s authority and responsibilites are specifed in the Charter of the Compensaton Commitee, which is available in the Governance secton of the Company’s website at </w:t>
      </w:r>
      <w:r>
        <w:rPr>
          <w:rFonts w:ascii="Calibri" w:cs="Calibri" w:eastAsia="Calibri" w:hAnsi="Calibri"/>
          <w:sz w:val="17"/>
          <w:szCs w:val="17"/>
          <w:color w:val="0591DB"/>
        </w:rPr>
        <w:t>htps://www.ficonsultng.com/about/governance</w:t>
      </w:r>
      <w:r>
        <w:rPr>
          <w:rFonts w:ascii="Calibri" w:cs="Calibri" w:eastAsia="Calibri" w:hAnsi="Calibri"/>
          <w:sz w:val="17"/>
          <w:szCs w:val="17"/>
          <w:color w:val="333333"/>
        </w:rPr>
        <w: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Role of Management</w:t>
      </w:r>
    </w:p>
    <w:p>
      <w:pPr>
        <w:spacing w:after="0" w:line="10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Compensaton Commitee and the Board solicit recommendatons from our CEO and other ofcers regarding compensaton maters, including the compensaton of executve ofcers and key employees other than our CEO. They assist the Compensaton Commitee by providing informaton such as fnancial results, short-term and long-term business and fnancial plans, and strategic objectves, as well as their views on compensaton programs and levels. Our CEO atended all Compensaton Commitee meetngs held during 2025, other than meetngs and executve sessions to which he was not invited. Our CEO did not partcipate in the Compensaton Commitee discussions regarding his individual performance and fnal annual compensaton. Only members of the Compensaton Commitee vote on maters before that commitee.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Role of Compensaton Advisors</w:t>
      </w:r>
    </w:p>
    <w:p>
      <w:pPr>
        <w:spacing w:after="0" w:line="105"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Under the Charter of the Compensaton Commitee, the Compensaton Commitee is authorized to select, retain and direct the actvites, and terminate the services, of compensaton advisors, as well as approve fees and expenses of such advisors. During 2025, the Compensaton Commitee retained the services of Pearl Meyer to provide advice to the Compensaton Commitee on certain executve compensaton maters. The Compensaton Commitee requested advice on a variety of issues from Pearl Meyer, including our annual and long-term executve incentve compensaton program structures, performance metrics and individual award levels, CEO pay-for-performance, equity award accelerated vestng terms, non-employee director compensaton, the votng policies of proxy advisors and the compositon of our compensaton peer group, as well as our say-on-pay proposal and other compensaton disclosures included in our proxy statement for our 2025 Annual Meetng. Neither Pearl Meyer nor the Company provided any services to the other during 2025, apart from the advisory services provided by Pearl Meyer to the Compensaton Commitee. Afer consideraton of the above factors, including any relatonships with any Compensaton Commitee member or executve ofcer of the Company, if applicable, as well as informaton supplied by Pearl Meyer, including its independence leter, the Compensaton Commitee concluded that Pearl Meyer was independent and not subject to any conficts of interest when providing services to the Compensaton Commitee. The Compensaton Commitee currently intends to contnue to consult with Pearl Meyer and applicable outside counsel on executve ofcer compensaton and other maters from tme to tme.</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62</w:t>
      </w:r>
    </w:p>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Role of Peer Companies</w:t>
      </w:r>
    </w:p>
    <w:p>
      <w:pPr>
        <w:spacing w:after="0" w:line="10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Compensaton Commitee periodically reviews various data sources to understand the compettve pay environment. One such data source is a custom peer group of publicly traded companies. The Compensaton Commitee determined that the development of a peer group and the related compettve market analysis would occur every other year. The latest study was conducted during 2023 to inform pay decisions in 2024 and 2025.</w:t>
      </w:r>
    </w:p>
    <w:p>
      <w:pPr>
        <w:spacing w:after="0" w:line="214"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Accordingly, 2025 executve compensaton decisions were informed by a compettve market analysis conducted by the Compensaton Commitee’s independent compensaton advisor, Pearl Meyer, during 2023 using an updated peer group that was also recommended by Pearl Meyer and approved by the Compensaton Commitee in 2023.</w:t>
      </w:r>
    </w:p>
    <w:p>
      <w:pPr>
        <w:spacing w:after="0" w:line="214" w:lineRule="exact"/>
        <w:rPr>
          <w:sz w:val="20"/>
          <w:szCs w:val="20"/>
          <w:color w:val="auto"/>
        </w:rPr>
      </w:pPr>
    </w:p>
    <w:p>
      <w:pPr>
        <w:ind w:left="160" w:right="700"/>
        <w:spacing w:after="0" w:line="233" w:lineRule="auto"/>
        <w:rPr>
          <w:sz w:val="20"/>
          <w:szCs w:val="20"/>
          <w:color w:val="auto"/>
        </w:rPr>
      </w:pPr>
      <w:r>
        <w:rPr>
          <w:rFonts w:ascii="Calibri" w:cs="Calibri" w:eastAsia="Calibri" w:hAnsi="Calibri"/>
          <w:sz w:val="17"/>
          <w:szCs w:val="17"/>
          <w:color w:val="333333"/>
        </w:rPr>
        <w:t>The following companies consttute the 2023 Peer Group that was used for the 2023 compettve market study and to inform 2024 and 2025 NEO compensaton decisions:</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208"/>
        </w:trPr>
        <w:tc>
          <w:tcPr>
            <w:tcW w:w="3620" w:type="dxa"/>
            <w:vAlign w:val="bottom"/>
          </w:tcPr>
          <w:p>
            <w:pPr>
              <w:jc w:val="center"/>
              <w:ind w:right="615"/>
              <w:spacing w:after="0"/>
              <w:rPr>
                <w:sz w:val="20"/>
                <w:szCs w:val="20"/>
                <w:color w:val="auto"/>
              </w:rPr>
            </w:pPr>
            <w:r>
              <w:rPr>
                <w:rFonts w:ascii="Calibri" w:cs="Calibri" w:eastAsia="Calibri" w:hAnsi="Calibri"/>
                <w:sz w:val="17"/>
                <w:szCs w:val="17"/>
                <w:color w:val="333333"/>
              </w:rPr>
              <w:t>Afliated Managers Group, Inc.</w:t>
            </w:r>
          </w:p>
        </w:tc>
        <w:tc>
          <w:tcPr>
            <w:tcW w:w="3540" w:type="dxa"/>
            <w:vAlign w:val="bottom"/>
          </w:tcPr>
          <w:p>
            <w:pPr>
              <w:jc w:val="center"/>
              <w:ind w:right="15"/>
              <w:spacing w:after="0"/>
              <w:rPr>
                <w:sz w:val="20"/>
                <w:szCs w:val="20"/>
                <w:color w:val="auto"/>
              </w:rPr>
            </w:pPr>
            <w:r>
              <w:rPr>
                <w:rFonts w:ascii="Calibri" w:cs="Calibri" w:eastAsia="Calibri" w:hAnsi="Calibri"/>
                <w:sz w:val="17"/>
                <w:szCs w:val="17"/>
                <w:color w:val="333333"/>
              </w:rPr>
              <w:t>Franklin Resources, Inc.</w:t>
            </w:r>
          </w:p>
        </w:tc>
        <w:tc>
          <w:tcPr>
            <w:tcW w:w="2660" w:type="dxa"/>
            <w:vAlign w:val="bottom"/>
          </w:tcPr>
          <w:p>
            <w:pPr>
              <w:jc w:val="center"/>
              <w:ind w:left="695"/>
              <w:spacing w:after="0"/>
              <w:rPr>
                <w:sz w:val="20"/>
                <w:szCs w:val="20"/>
                <w:color w:val="auto"/>
              </w:rPr>
            </w:pPr>
            <w:r>
              <w:rPr>
                <w:rFonts w:ascii="Calibri" w:cs="Calibri" w:eastAsia="Calibri" w:hAnsi="Calibri"/>
                <w:sz w:val="17"/>
                <w:szCs w:val="17"/>
                <w:color w:val="333333"/>
              </w:rPr>
              <w:t>Lazard Ltd.</w:t>
            </w:r>
          </w:p>
        </w:tc>
      </w:tr>
      <w:tr>
        <w:trPr>
          <w:trHeight w:val="281"/>
        </w:trPr>
        <w:tc>
          <w:tcPr>
            <w:tcW w:w="3620" w:type="dxa"/>
            <w:vAlign w:val="bottom"/>
          </w:tcPr>
          <w:p>
            <w:pPr>
              <w:jc w:val="center"/>
              <w:ind w:right="615"/>
              <w:spacing w:after="0"/>
              <w:rPr>
                <w:sz w:val="20"/>
                <w:szCs w:val="20"/>
                <w:color w:val="auto"/>
              </w:rPr>
            </w:pPr>
            <w:r>
              <w:rPr>
                <w:rFonts w:ascii="Calibri" w:cs="Calibri" w:eastAsia="Calibri" w:hAnsi="Calibri"/>
                <w:sz w:val="17"/>
                <w:szCs w:val="17"/>
                <w:color w:val="333333"/>
              </w:rPr>
              <w:t>Artsan Partners Asset Management Inc.</w:t>
            </w:r>
          </w:p>
        </w:tc>
        <w:tc>
          <w:tcPr>
            <w:tcW w:w="3540" w:type="dxa"/>
            <w:vAlign w:val="bottom"/>
          </w:tcPr>
          <w:p>
            <w:pPr>
              <w:jc w:val="center"/>
              <w:ind w:right="15"/>
              <w:spacing w:after="0"/>
              <w:rPr>
                <w:sz w:val="20"/>
                <w:szCs w:val="20"/>
                <w:color w:val="auto"/>
              </w:rPr>
            </w:pPr>
            <w:r>
              <w:rPr>
                <w:rFonts w:ascii="Calibri" w:cs="Calibri" w:eastAsia="Calibri" w:hAnsi="Calibri"/>
                <w:sz w:val="17"/>
                <w:szCs w:val="17"/>
                <w:color w:val="333333"/>
              </w:rPr>
              <w:t>Houlihan Lokey, Inc.</w:t>
            </w:r>
          </w:p>
        </w:tc>
        <w:tc>
          <w:tcPr>
            <w:tcW w:w="2660" w:type="dxa"/>
            <w:vAlign w:val="bottom"/>
          </w:tcPr>
          <w:p>
            <w:pPr>
              <w:jc w:val="center"/>
              <w:ind w:left="695"/>
              <w:spacing w:after="0"/>
              <w:rPr>
                <w:sz w:val="20"/>
                <w:szCs w:val="20"/>
                <w:color w:val="auto"/>
              </w:rPr>
            </w:pPr>
            <w:r>
              <w:rPr>
                <w:rFonts w:ascii="Calibri" w:cs="Calibri" w:eastAsia="Calibri" w:hAnsi="Calibri"/>
                <w:sz w:val="17"/>
                <w:szCs w:val="17"/>
                <w:color w:val="333333"/>
              </w:rPr>
              <w:t>LPL Financial Holdings, Inc.</w:t>
            </w:r>
          </w:p>
        </w:tc>
      </w:tr>
      <w:tr>
        <w:trPr>
          <w:trHeight w:val="281"/>
        </w:trPr>
        <w:tc>
          <w:tcPr>
            <w:tcW w:w="3620" w:type="dxa"/>
            <w:vAlign w:val="bottom"/>
          </w:tcPr>
          <w:p>
            <w:pPr>
              <w:jc w:val="center"/>
              <w:ind w:right="635"/>
              <w:spacing w:after="0"/>
              <w:rPr>
                <w:sz w:val="20"/>
                <w:szCs w:val="20"/>
                <w:color w:val="auto"/>
              </w:rPr>
            </w:pPr>
            <w:r>
              <w:rPr>
                <w:rFonts w:ascii="Calibri" w:cs="Calibri" w:eastAsia="Calibri" w:hAnsi="Calibri"/>
                <w:sz w:val="17"/>
                <w:szCs w:val="17"/>
                <w:color w:val="333333"/>
              </w:rPr>
              <w:t>Booz Allen Hamilton Holding Corporaton</w:t>
            </w:r>
          </w:p>
        </w:tc>
        <w:tc>
          <w:tcPr>
            <w:tcW w:w="3540" w:type="dxa"/>
            <w:vAlign w:val="bottom"/>
          </w:tcPr>
          <w:p>
            <w:pPr>
              <w:jc w:val="center"/>
              <w:ind w:right="15"/>
              <w:spacing w:after="0"/>
              <w:rPr>
                <w:sz w:val="20"/>
                <w:szCs w:val="20"/>
                <w:color w:val="auto"/>
              </w:rPr>
            </w:pPr>
            <w:r>
              <w:rPr>
                <w:rFonts w:ascii="Calibri" w:cs="Calibri" w:eastAsia="Calibri" w:hAnsi="Calibri"/>
                <w:sz w:val="17"/>
                <w:szCs w:val="17"/>
                <w:color w:val="333333"/>
              </w:rPr>
              <w:t>Huron Consultng Group, Inc.</w:t>
            </w:r>
          </w:p>
        </w:tc>
        <w:tc>
          <w:tcPr>
            <w:tcW w:w="2660" w:type="dxa"/>
            <w:vAlign w:val="bottom"/>
          </w:tcPr>
          <w:p>
            <w:pPr>
              <w:jc w:val="center"/>
              <w:ind w:left="715"/>
              <w:spacing w:after="0"/>
              <w:rPr>
                <w:sz w:val="20"/>
                <w:szCs w:val="20"/>
                <w:color w:val="auto"/>
              </w:rPr>
            </w:pPr>
            <w:r>
              <w:rPr>
                <w:rFonts w:ascii="Calibri" w:cs="Calibri" w:eastAsia="Calibri" w:hAnsi="Calibri"/>
                <w:sz w:val="17"/>
                <w:szCs w:val="17"/>
                <w:color w:val="333333"/>
              </w:rPr>
              <w:t>Moelis &amp; Co.</w:t>
            </w:r>
          </w:p>
        </w:tc>
      </w:tr>
      <w:tr>
        <w:trPr>
          <w:trHeight w:val="281"/>
        </w:trPr>
        <w:tc>
          <w:tcPr>
            <w:tcW w:w="3620" w:type="dxa"/>
            <w:vAlign w:val="bottom"/>
          </w:tcPr>
          <w:p>
            <w:pPr>
              <w:jc w:val="center"/>
              <w:ind w:right="615"/>
              <w:spacing w:after="0"/>
              <w:rPr>
                <w:sz w:val="20"/>
                <w:szCs w:val="20"/>
                <w:color w:val="auto"/>
              </w:rPr>
            </w:pPr>
            <w:r>
              <w:rPr>
                <w:rFonts w:ascii="Calibri" w:cs="Calibri" w:eastAsia="Calibri" w:hAnsi="Calibri"/>
                <w:sz w:val="17"/>
                <w:szCs w:val="17"/>
                <w:color w:val="333333"/>
              </w:rPr>
              <w:t>CRA Internatonal, Inc.</w:t>
            </w:r>
          </w:p>
        </w:tc>
        <w:tc>
          <w:tcPr>
            <w:tcW w:w="3540" w:type="dxa"/>
            <w:vAlign w:val="bottom"/>
          </w:tcPr>
          <w:p>
            <w:pPr>
              <w:jc w:val="center"/>
              <w:spacing w:after="0"/>
              <w:rPr>
                <w:sz w:val="20"/>
                <w:szCs w:val="20"/>
                <w:color w:val="auto"/>
              </w:rPr>
            </w:pPr>
            <w:r>
              <w:rPr>
                <w:rFonts w:ascii="Calibri" w:cs="Calibri" w:eastAsia="Calibri" w:hAnsi="Calibri"/>
                <w:sz w:val="17"/>
                <w:szCs w:val="17"/>
                <w:color w:val="333333"/>
              </w:rPr>
              <w:t>ICF Internatonal, Inc.</w:t>
            </w:r>
          </w:p>
        </w:tc>
        <w:tc>
          <w:tcPr>
            <w:tcW w:w="2660" w:type="dxa"/>
            <w:vAlign w:val="bottom"/>
          </w:tcPr>
          <w:p>
            <w:pPr>
              <w:jc w:val="center"/>
              <w:ind w:left="715"/>
              <w:spacing w:after="0"/>
              <w:rPr>
                <w:sz w:val="20"/>
                <w:szCs w:val="20"/>
                <w:color w:val="auto"/>
              </w:rPr>
            </w:pPr>
            <w:r>
              <w:rPr>
                <w:rFonts w:ascii="Calibri" w:cs="Calibri" w:eastAsia="Calibri" w:hAnsi="Calibri"/>
                <w:sz w:val="17"/>
                <w:szCs w:val="17"/>
                <w:color w:val="333333"/>
              </w:rPr>
              <w:t>PJT Partners, Inc.</w:t>
            </w:r>
          </w:p>
        </w:tc>
      </w:tr>
      <w:tr>
        <w:trPr>
          <w:trHeight w:val="281"/>
        </w:trPr>
        <w:tc>
          <w:tcPr>
            <w:tcW w:w="3620" w:type="dxa"/>
            <w:vAlign w:val="bottom"/>
          </w:tcPr>
          <w:p>
            <w:pPr>
              <w:jc w:val="center"/>
              <w:ind w:right="615"/>
              <w:spacing w:after="0"/>
              <w:rPr>
                <w:sz w:val="20"/>
                <w:szCs w:val="20"/>
                <w:color w:val="auto"/>
              </w:rPr>
            </w:pPr>
            <w:r>
              <w:rPr>
                <w:rFonts w:ascii="Calibri" w:cs="Calibri" w:eastAsia="Calibri" w:hAnsi="Calibri"/>
                <w:sz w:val="17"/>
                <w:szCs w:val="17"/>
                <w:color w:val="333333"/>
              </w:rPr>
              <w:t>Evercore Inc.</w:t>
            </w:r>
          </w:p>
        </w:tc>
        <w:tc>
          <w:tcPr>
            <w:tcW w:w="3540" w:type="dxa"/>
            <w:vAlign w:val="bottom"/>
          </w:tcPr>
          <w:p>
            <w:pPr>
              <w:jc w:val="center"/>
              <w:spacing w:after="0"/>
              <w:rPr>
                <w:sz w:val="20"/>
                <w:szCs w:val="20"/>
                <w:color w:val="auto"/>
              </w:rPr>
            </w:pPr>
            <w:r>
              <w:rPr>
                <w:rFonts w:ascii="Calibri" w:cs="Calibri" w:eastAsia="Calibri" w:hAnsi="Calibri"/>
                <w:sz w:val="17"/>
                <w:szCs w:val="17"/>
                <w:color w:val="333333"/>
                <w:w w:val="99"/>
              </w:rPr>
              <w:t>Invesco Ltd.</w:t>
            </w:r>
          </w:p>
        </w:tc>
        <w:tc>
          <w:tcPr>
            <w:tcW w:w="2660" w:type="dxa"/>
            <w:vAlign w:val="bottom"/>
          </w:tcPr>
          <w:p>
            <w:pPr>
              <w:jc w:val="center"/>
              <w:ind w:left="695"/>
              <w:spacing w:after="0"/>
              <w:rPr>
                <w:sz w:val="20"/>
                <w:szCs w:val="20"/>
                <w:color w:val="auto"/>
              </w:rPr>
            </w:pPr>
            <w:r>
              <w:rPr>
                <w:rFonts w:ascii="Calibri" w:cs="Calibri" w:eastAsia="Calibri" w:hAnsi="Calibri"/>
                <w:sz w:val="17"/>
                <w:szCs w:val="17"/>
                <w:color w:val="333333"/>
              </w:rPr>
              <w:t>Stfel Financial Corp.</w:t>
            </w:r>
          </w:p>
        </w:tc>
      </w:tr>
      <w:tr>
        <w:trPr>
          <w:trHeight w:val="281"/>
        </w:trPr>
        <w:tc>
          <w:tcPr>
            <w:tcW w:w="3620" w:type="dxa"/>
            <w:vAlign w:val="bottom"/>
          </w:tcPr>
          <w:p>
            <w:pPr>
              <w:jc w:val="center"/>
              <w:ind w:right="615"/>
              <w:spacing w:after="0"/>
              <w:rPr>
                <w:sz w:val="20"/>
                <w:szCs w:val="20"/>
                <w:color w:val="auto"/>
              </w:rPr>
            </w:pPr>
            <w:r>
              <w:rPr>
                <w:rFonts w:ascii="Calibri" w:cs="Calibri" w:eastAsia="Calibri" w:hAnsi="Calibri"/>
                <w:sz w:val="17"/>
                <w:szCs w:val="17"/>
                <w:color w:val="333333"/>
              </w:rPr>
              <w:t>Exponent, Inc.</w:t>
            </w:r>
          </w:p>
        </w:tc>
        <w:tc>
          <w:tcPr>
            <w:tcW w:w="3540" w:type="dxa"/>
            <w:vAlign w:val="bottom"/>
          </w:tcPr>
          <w:p>
            <w:pPr>
              <w:jc w:val="center"/>
              <w:spacing w:after="0"/>
              <w:rPr>
                <w:sz w:val="20"/>
                <w:szCs w:val="20"/>
                <w:color w:val="auto"/>
              </w:rPr>
            </w:pPr>
            <w:r>
              <w:rPr>
                <w:rFonts w:ascii="Calibri" w:cs="Calibri" w:eastAsia="Calibri" w:hAnsi="Calibri"/>
                <w:sz w:val="17"/>
                <w:szCs w:val="17"/>
                <w:color w:val="333333"/>
              </w:rPr>
              <w:t>Jeferies Financial Group, Inc.</w:t>
            </w:r>
          </w:p>
        </w:tc>
        <w:tc>
          <w:tcPr>
            <w:tcW w:w="2660" w:type="dxa"/>
            <w:vAlign w:val="bottom"/>
          </w:tcPr>
          <w:p>
            <w:pPr>
              <w:jc w:val="center"/>
              <w:ind w:left="695"/>
              <w:spacing w:after="0"/>
              <w:rPr>
                <w:sz w:val="20"/>
                <w:szCs w:val="20"/>
                <w:color w:val="auto"/>
              </w:rPr>
            </w:pPr>
            <w:r>
              <w:rPr>
                <w:rFonts w:ascii="Calibri" w:cs="Calibri" w:eastAsia="Calibri" w:hAnsi="Calibri"/>
                <w:sz w:val="17"/>
                <w:szCs w:val="17"/>
                <w:color w:val="333333"/>
              </w:rPr>
              <w:t>T. Rowe Price Group, Inc.</w:t>
            </w:r>
          </w:p>
        </w:tc>
      </w:tr>
    </w:tbl>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While developing the peer group, Pearl Meyer and the Compensaton Commitee reviewed and considered a variety of factors, including the following:</w:t>
      </w:r>
    </w:p>
    <w:p>
      <w:pPr>
        <w:spacing w:after="0" w:line="113" w:lineRule="exact"/>
        <w:rPr>
          <w:sz w:val="20"/>
          <w:szCs w:val="20"/>
          <w:color w:val="auto"/>
        </w:rPr>
      </w:pPr>
    </w:p>
    <w:p>
      <w:pPr>
        <w:ind w:left="1020" w:hanging="318"/>
        <w:spacing w:after="0"/>
        <w:tabs>
          <w:tab w:leader="none" w:pos="1020" w:val="left"/>
        </w:tabs>
        <w:numPr>
          <w:ilvl w:val="0"/>
          <w:numId w:val="8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Data Availability: </w:t>
      </w:r>
      <w:r>
        <w:rPr>
          <w:rFonts w:ascii="Calibri" w:cs="Calibri" w:eastAsia="Calibri" w:hAnsi="Calibri"/>
          <w:sz w:val="17"/>
          <w:szCs w:val="17"/>
          <w:color w:val="333333"/>
        </w:rPr>
        <w:t>publicly traded companies with comprehensive pay disclosures in the U.S.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Industry Relevance: </w:t>
      </w:r>
      <w:r>
        <w:rPr>
          <w:rFonts w:ascii="Calibri" w:cs="Calibri" w:eastAsia="Calibri" w:hAnsi="Calibri"/>
          <w:sz w:val="17"/>
          <w:szCs w:val="17"/>
          <w:color w:val="333333"/>
        </w:rPr>
        <w:t>expert consultng, professional services and fnancial services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Size Relevance: </w:t>
      </w:r>
      <w:r>
        <w:rPr>
          <w:rFonts w:ascii="Calibri" w:cs="Calibri" w:eastAsia="Calibri" w:hAnsi="Calibri"/>
          <w:sz w:val="17"/>
          <w:szCs w:val="17"/>
          <w:color w:val="333333"/>
        </w:rPr>
        <w:t>revenues, earnings before taxes, number of employees</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Valuaton Characteristcs: </w:t>
      </w:r>
      <w:r>
        <w:rPr>
          <w:rFonts w:ascii="Calibri" w:cs="Calibri" w:eastAsia="Calibri" w:hAnsi="Calibri"/>
          <w:sz w:val="17"/>
          <w:szCs w:val="17"/>
          <w:color w:val="333333"/>
        </w:rPr>
        <w:t>market cap, price-to-earnings rato</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80"/>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Peer Group Overlap: </w:t>
      </w:r>
      <w:r>
        <w:rPr>
          <w:rFonts w:ascii="Calibri" w:cs="Calibri" w:eastAsia="Calibri" w:hAnsi="Calibri"/>
          <w:sz w:val="17"/>
          <w:szCs w:val="17"/>
          <w:color w:val="333333"/>
        </w:rPr>
        <w:t>companies that disclose FTI Consultng as a peer, companies included by third partes as “peers” for FTI Consultng</w:t>
      </w:r>
    </w:p>
    <w:p>
      <w:pPr>
        <w:spacing w:after="0" w:line="225" w:lineRule="exact"/>
        <w:rPr>
          <w:sz w:val="20"/>
          <w:szCs w:val="20"/>
          <w:color w:val="auto"/>
        </w:rPr>
      </w:pPr>
    </w:p>
    <w:p>
      <w:pPr>
        <w:ind w:left="160" w:right="140"/>
        <w:spacing w:after="0" w:line="233" w:lineRule="auto"/>
        <w:rPr>
          <w:sz w:val="20"/>
          <w:szCs w:val="20"/>
          <w:color w:val="auto"/>
        </w:rPr>
      </w:pPr>
      <w:r>
        <w:rPr>
          <w:rFonts w:ascii="Calibri" w:cs="Calibri" w:eastAsia="Calibri" w:hAnsi="Calibri"/>
          <w:sz w:val="17"/>
          <w:szCs w:val="17"/>
          <w:color w:val="333333"/>
        </w:rPr>
        <w:t>The below chart ranks the Company as compared with the 2023 Peer Group by revenues and market capitalizaton as of April 25, 2023, the tme at which the peer group was approved by the Compensaton Commitee.</w:t>
      </w:r>
    </w:p>
    <w:p>
      <w:pPr>
        <w:spacing w:after="0" w:line="208" w:lineRule="exact"/>
        <w:rPr>
          <w:sz w:val="20"/>
          <w:szCs w:val="20"/>
          <w:color w:val="auto"/>
        </w:rPr>
      </w:pPr>
    </w:p>
    <w:p>
      <w:pPr>
        <w:ind w:left="380"/>
        <w:spacing w:after="0"/>
        <w:rPr>
          <w:sz w:val="20"/>
          <w:szCs w:val="20"/>
          <w:color w:val="auto"/>
        </w:rPr>
      </w:pPr>
      <w:r>
        <w:rPr>
          <w:rFonts w:ascii="Calibri" w:cs="Calibri" w:eastAsia="Calibri" w:hAnsi="Calibri"/>
          <w:sz w:val="17"/>
          <w:szCs w:val="17"/>
          <w:b w:val="1"/>
          <w:bCs w:val="1"/>
          <w:color w:val="0591DB"/>
        </w:rPr>
        <w:t xml:space="preserve">FTI Consultng versus 2023 Peer Group </w:t>
      </w:r>
      <w:r>
        <w:rPr>
          <w:rFonts w:ascii="Calibri" w:cs="Calibri" w:eastAsia="Calibri" w:hAnsi="Calibri"/>
          <w:sz w:val="12"/>
          <w:szCs w:val="12"/>
          <w:b w:val="1"/>
          <w:bCs w:val="1"/>
          <w:color w:val="0591D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915670</wp:posOffset>
            </wp:positionV>
            <wp:extent cx="14522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224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168910</wp:posOffset>
            </wp:positionV>
            <wp:extent cx="4636770" cy="654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36770"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0" w:hanging="433"/>
        <w:spacing w:after="0"/>
        <w:tabs>
          <w:tab w:leader="none" w:pos="600" w:val="left"/>
        </w:tabs>
        <w:numPr>
          <w:ilvl w:val="0"/>
          <w:numId w:val="81"/>
        </w:numPr>
        <w:rPr>
          <w:rFonts w:ascii="Calibri" w:cs="Calibri" w:eastAsia="Calibri" w:hAnsi="Calibri"/>
          <w:sz w:val="21"/>
          <w:szCs w:val="21"/>
          <w:color w:val="333333"/>
          <w:vertAlign w:val="superscript"/>
        </w:rPr>
      </w:pPr>
      <w:r>
        <w:rPr>
          <w:rFonts w:ascii="Calibri" w:cs="Calibri" w:eastAsia="Calibri" w:hAnsi="Calibri"/>
          <w:sz w:val="14"/>
          <w:szCs w:val="14"/>
          <w:color w:val="333333"/>
        </w:rPr>
        <w:t>Refects latest fscal year end revenues and Market Capitalizaton as of April 25, 2023.</w:t>
      </w:r>
    </w:p>
    <w:p>
      <w:pPr>
        <w:spacing w:after="0" w:line="135"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63</w:t>
      </w:r>
    </w:p>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The Compensaton Commitee will contnue to use a variety of sources, including compensaton surveys and Peer Company data, to establish market practces and will consider this data when assessing the compettveness of the Company’s executve compensaton. Although the type of review may change over tme, the Compensaton Commitee generally reviews salaries, annual incentves, long-term incentves, incentve designs, severance practces, change in control practces, employment contract provisions and other pay features as needed to assess the Company’s pay programs and consider whether they support the Company’s strategic objectves and remain compettve with the market.</w:t>
      </w:r>
    </w:p>
    <w:p>
      <w:pPr>
        <w:spacing w:after="0" w:line="214"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When setng 2025 CEO compensaton, the Compensaton Commitee referenced the 2023 Peer Group and study, which included the fndings that the elements of our executve compensaton program were substantally consistent with those ofered by such peers. Our CEO’s target compensaton for 2025 ranked between the 25</w:t>
      </w:r>
      <w:r>
        <w:rPr>
          <w:rFonts w:ascii="Calibri" w:cs="Calibri" w:eastAsia="Calibri" w:hAnsi="Calibri"/>
          <w:sz w:val="12"/>
          <w:szCs w:val="12"/>
          <w:color w:val="333333"/>
        </w:rPr>
        <w:t>th</w:t>
      </w:r>
      <w:r>
        <w:rPr>
          <w:rFonts w:ascii="Calibri" w:cs="Calibri" w:eastAsia="Calibri" w:hAnsi="Calibri"/>
          <w:sz w:val="17"/>
          <w:szCs w:val="17"/>
          <w:color w:val="333333"/>
        </w:rPr>
        <w:t xml:space="preserve"> and 50</w:t>
      </w:r>
      <w:r>
        <w:rPr>
          <w:rFonts w:ascii="Calibri" w:cs="Calibri" w:eastAsia="Calibri" w:hAnsi="Calibri"/>
          <w:sz w:val="12"/>
          <w:szCs w:val="12"/>
          <w:color w:val="333333"/>
        </w:rPr>
        <w:t>th</w:t>
      </w:r>
      <w:r>
        <w:rPr>
          <w:rFonts w:ascii="Calibri" w:cs="Calibri" w:eastAsia="Calibri" w:hAnsi="Calibri"/>
          <w:sz w:val="17"/>
          <w:szCs w:val="17"/>
          <w:color w:val="333333"/>
        </w:rPr>
        <w:t xml:space="preserve"> percentles as compared with the 2023 Peer Group, and our other NEOs’ target compensaton for 2025 ranked below the 25</w:t>
      </w:r>
      <w:r>
        <w:rPr>
          <w:rFonts w:ascii="Calibri" w:cs="Calibri" w:eastAsia="Calibri" w:hAnsi="Calibri"/>
          <w:sz w:val="12"/>
          <w:szCs w:val="12"/>
          <w:color w:val="333333"/>
        </w:rPr>
        <w:t>th</w:t>
      </w:r>
      <w:r>
        <w:rPr>
          <w:rFonts w:ascii="Calibri" w:cs="Calibri" w:eastAsia="Calibri" w:hAnsi="Calibri"/>
          <w:sz w:val="17"/>
          <w:szCs w:val="17"/>
          <w:color w:val="333333"/>
        </w:rPr>
        <w:t xml:space="preserve"> percentle as compared with the 2023 Peer Group.</w:t>
      </w:r>
    </w:p>
    <w:p>
      <w:pPr>
        <w:spacing w:after="0" w:line="214" w:lineRule="exact"/>
        <w:rPr>
          <w:sz w:val="20"/>
          <w:szCs w:val="20"/>
          <w:color w:val="auto"/>
        </w:rPr>
      </w:pPr>
    </w:p>
    <w:p>
      <w:pPr>
        <w:ind w:left="160" w:right="160"/>
        <w:spacing w:after="0" w:line="232" w:lineRule="auto"/>
        <w:rPr>
          <w:sz w:val="20"/>
          <w:szCs w:val="20"/>
          <w:color w:val="auto"/>
        </w:rPr>
      </w:pPr>
      <w:r>
        <w:rPr>
          <w:rFonts w:ascii="Calibri" w:cs="Calibri" w:eastAsia="Calibri" w:hAnsi="Calibri"/>
          <w:sz w:val="17"/>
          <w:szCs w:val="17"/>
          <w:color w:val="333333"/>
        </w:rPr>
        <w:t>Regarding 2025 NEO compensaton decisions, the Compensaton Commitee did not rely solely on data from the compettve market analysis of the 2023 Peer Group. Furthermore, the Compensaton Commitee does not target a specifc compettve positon versus the market in determining the compensaton of such other NEOs. The Compensaton Commitee believes that, because of the Company’s diverse mix of services, strictly benchmarking against the 2023 Peer Group would not provide a meaningful basis for establishing compensaton. While the Compensaton Commitee believes the data from the compettve market analysis of the 2023 Peer Group is helpful in assessing our compettve positon, it also considers a variety of other factors when making pay decisions, including overall Company performance, individual NEO performance and internal equity among such other NEOs.</w:t>
      </w:r>
    </w:p>
    <w:p>
      <w:pPr>
        <w:spacing w:after="0" w:line="214" w:lineRule="exact"/>
        <w:rPr>
          <w:sz w:val="20"/>
          <w:szCs w:val="20"/>
          <w:color w:val="auto"/>
        </w:rPr>
      </w:pPr>
    </w:p>
    <w:p>
      <w:pPr>
        <w:ind w:left="160" w:right="620"/>
        <w:spacing w:after="0" w:line="233" w:lineRule="auto"/>
        <w:rPr>
          <w:sz w:val="20"/>
          <w:szCs w:val="20"/>
          <w:color w:val="auto"/>
        </w:rPr>
      </w:pPr>
      <w:r>
        <w:rPr>
          <w:rFonts w:ascii="Calibri" w:cs="Calibri" w:eastAsia="Calibri" w:hAnsi="Calibri"/>
          <w:sz w:val="17"/>
          <w:szCs w:val="17"/>
          <w:color w:val="333333"/>
        </w:rPr>
        <w:t>The Compensaton Commitee uses its discreton, based on the advice of management and compettve market analysis, to set Mr. Keatng’s target compensaton, rather than relying on 2023 Peer Group data.</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Compensaton Commitee will contnue to periodically consider the executve compensaton informaton of the Company’s self-selected peer group, as well as compettor pay, alongside our pay-for-performance and long-term value creaton objectves, in determining the compensaton for our executve ofcers that best aligns compensaton and shareholder interests in the future.</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64</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2025 Executve Compensaton Program</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Components of Compensaton</w:t>
      </w:r>
    </w:p>
    <w:p>
      <w:pPr>
        <w:spacing w:after="0" w:line="105"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Our executve compensaton program is composed of three primary elements: base salary, annual bonus under the AIP or DIP, and annual equity awards. Each element is structured to complement one another and establish a balanced pay-for-performance structure, which aligns with our pay-for-performance compensaton philosophy:</w:t>
      </w:r>
    </w:p>
    <w:p>
      <w:pPr>
        <w:spacing w:after="0" w:line="248" w:lineRule="exact"/>
        <w:rPr>
          <w:sz w:val="20"/>
          <w:szCs w:val="20"/>
          <w:color w:val="auto"/>
        </w:rPr>
      </w:pPr>
    </w:p>
    <w:tbl>
      <w:tblPr>
        <w:tblLayout w:type="fixed"/>
        <w:tblInd w:w="170" w:type="dxa"/>
        <w:tblCellMar>
          <w:top w:w="0" w:type="dxa"/>
          <w:left w:w="0" w:type="dxa"/>
          <w:bottom w:w="0" w:type="dxa"/>
          <w:right w:w="0" w:type="dxa"/>
        </w:tblCellMar>
      </w:tblPr>
      <w:tr>
        <w:trPr>
          <w:trHeight w:val="254"/>
        </w:trPr>
        <w:tc>
          <w:tcPr>
            <w:tcW w:w="1480" w:type="dxa"/>
            <w:vAlign w:val="bottom"/>
            <w:tcBorders>
              <w:top w:val="single" w:sz="8" w:color="0591DB"/>
              <w:left w:val="single" w:sz="8" w:color="0591DB"/>
              <w:bottom w:val="single" w:sz="8" w:color="0591DB"/>
              <w:right w:val="single" w:sz="8" w:color="0591DB"/>
            </w:tcBorders>
          </w:tcPr>
          <w:p>
            <w:pPr>
              <w:spacing w:after="0"/>
              <w:rPr>
                <w:sz w:val="22"/>
                <w:szCs w:val="22"/>
                <w:color w:val="auto"/>
              </w:rPr>
            </w:pPr>
          </w:p>
        </w:tc>
        <w:tc>
          <w:tcPr>
            <w:tcW w:w="2260" w:type="dxa"/>
            <w:vAlign w:val="bottom"/>
            <w:tcBorders>
              <w:top w:val="single" w:sz="8" w:color="0591DB"/>
              <w:bottom w:val="single" w:sz="8" w:color="0591DB"/>
              <w:right w:val="single" w:sz="8" w:color="0591DB"/>
            </w:tcBorders>
          </w:tcPr>
          <w:p>
            <w:pPr>
              <w:ind w:left="420"/>
              <w:spacing w:after="0" w:line="254" w:lineRule="exact"/>
              <w:rPr>
                <w:sz w:val="20"/>
                <w:szCs w:val="20"/>
                <w:color w:val="auto"/>
              </w:rPr>
            </w:pPr>
            <w:r>
              <w:rPr>
                <w:rFonts w:ascii="Calibri" w:cs="Calibri" w:eastAsia="Calibri" w:hAnsi="Calibri"/>
                <w:sz w:val="21"/>
                <w:szCs w:val="21"/>
                <w:b w:val="1"/>
                <w:bCs w:val="1"/>
                <w:color w:val="0591DB"/>
              </w:rPr>
              <w:t>PAY COMPONENT</w:t>
            </w:r>
          </w:p>
        </w:tc>
        <w:tc>
          <w:tcPr>
            <w:tcW w:w="180" w:type="dxa"/>
            <w:vAlign w:val="bottom"/>
            <w:tcBorders>
              <w:top w:val="single" w:sz="8" w:color="0591DB"/>
              <w:bottom w:val="single" w:sz="8" w:color="0591DB"/>
            </w:tcBorders>
          </w:tcPr>
          <w:p>
            <w:pPr>
              <w:spacing w:after="0"/>
              <w:rPr>
                <w:sz w:val="22"/>
                <w:szCs w:val="22"/>
                <w:color w:val="auto"/>
              </w:rPr>
            </w:pPr>
          </w:p>
        </w:tc>
        <w:tc>
          <w:tcPr>
            <w:tcW w:w="7000" w:type="dxa"/>
            <w:vAlign w:val="bottom"/>
            <w:tcBorders>
              <w:top w:val="single" w:sz="8" w:color="0591DB"/>
              <w:bottom w:val="single" w:sz="8" w:color="0591DB"/>
            </w:tcBorders>
          </w:tcPr>
          <w:p>
            <w:pPr>
              <w:ind w:left="3020"/>
              <w:spacing w:after="0" w:line="254" w:lineRule="exact"/>
              <w:rPr>
                <w:sz w:val="20"/>
                <w:szCs w:val="20"/>
                <w:color w:val="auto"/>
              </w:rPr>
            </w:pPr>
            <w:r>
              <w:rPr>
                <w:rFonts w:ascii="Calibri" w:cs="Calibri" w:eastAsia="Calibri" w:hAnsi="Calibri"/>
                <w:sz w:val="21"/>
                <w:szCs w:val="21"/>
                <w:b w:val="1"/>
                <w:bCs w:val="1"/>
                <w:color w:val="0591DB"/>
              </w:rPr>
              <w:t>RATIONALE</w:t>
            </w:r>
          </w:p>
        </w:tc>
        <w:tc>
          <w:tcPr>
            <w:tcW w:w="20" w:type="dxa"/>
            <w:vAlign w:val="bottom"/>
            <w:tcBorders>
              <w:top w:val="single" w:sz="8" w:color="0591DB"/>
              <w:bottom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480" w:type="dxa"/>
            <w:vAlign w:val="bottom"/>
            <w:tcBorders>
              <w:right w:val="single" w:sz="8" w:color="333333"/>
            </w:tcBorders>
          </w:tcPr>
          <w:p>
            <w:pPr>
              <w:spacing w:after="0"/>
              <w:rPr>
                <w:sz w:val="16"/>
                <w:szCs w:val="16"/>
                <w:color w:val="auto"/>
              </w:rPr>
            </w:pPr>
          </w:p>
        </w:tc>
        <w:tc>
          <w:tcPr>
            <w:tcW w:w="2260" w:type="dxa"/>
            <w:vAlign w:val="bottom"/>
            <w:vMerge w:val="restart"/>
          </w:tcPr>
          <w:p>
            <w:pPr>
              <w:ind w:left="100"/>
              <w:spacing w:after="0"/>
              <w:rPr>
                <w:sz w:val="20"/>
                <w:szCs w:val="20"/>
                <w:color w:val="auto"/>
              </w:rPr>
            </w:pPr>
            <w:r>
              <w:rPr>
                <w:rFonts w:ascii="Calibri" w:cs="Calibri" w:eastAsia="Calibri" w:hAnsi="Calibri"/>
                <w:sz w:val="17"/>
                <w:szCs w:val="17"/>
                <w:b w:val="1"/>
                <w:bCs w:val="1"/>
                <w:color w:val="333333"/>
              </w:rPr>
              <w:t>Base Salary</w:t>
            </w:r>
          </w:p>
        </w:tc>
        <w:tc>
          <w:tcPr>
            <w:tcW w:w="718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 Atracts and retains qualifed talent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480" w:type="dxa"/>
            <w:vAlign w:val="bottom"/>
            <w:tcBorders>
              <w:right w:val="single" w:sz="8" w:color="333333"/>
            </w:tcBorders>
          </w:tcPr>
          <w:p>
            <w:pPr>
              <w:spacing w:after="0"/>
              <w:rPr>
                <w:sz w:val="18"/>
                <w:szCs w:val="18"/>
                <w:color w:val="auto"/>
              </w:rPr>
            </w:pPr>
          </w:p>
        </w:tc>
        <w:tc>
          <w:tcPr>
            <w:tcW w:w="2260" w:type="dxa"/>
            <w:vAlign w:val="bottom"/>
            <w:vMerge w:val="continue"/>
          </w:tcPr>
          <w:p>
            <w:pPr>
              <w:spacing w:after="0"/>
              <w:rPr>
                <w:sz w:val="18"/>
                <w:szCs w:val="18"/>
                <w:color w:val="auto"/>
              </w:rPr>
            </w:pPr>
          </w:p>
        </w:tc>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 Fairly compensates the executve based on experience, skills, responsibilites and abilites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80" w:type="dxa"/>
            <w:vAlign w:val="bottom"/>
            <w:tcBorders>
              <w:right w:val="single" w:sz="8" w:color="333333"/>
            </w:tcBorders>
          </w:tcPr>
          <w:p>
            <w:pPr>
              <w:spacing w:after="0"/>
              <w:rPr>
                <w:sz w:val="19"/>
                <w:szCs w:val="19"/>
                <w:color w:val="auto"/>
              </w:rPr>
            </w:pPr>
          </w:p>
        </w:tc>
        <w:tc>
          <w:tcPr>
            <w:tcW w:w="2260" w:type="dxa"/>
            <w:vAlign w:val="bottom"/>
          </w:tcPr>
          <w:p>
            <w:pPr>
              <w:spacing w:after="0"/>
              <w:rPr>
                <w:sz w:val="19"/>
                <w:szCs w:val="19"/>
                <w:color w:val="auto"/>
              </w:rPr>
            </w:pPr>
          </w:p>
        </w:tc>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 Provides only fxed source of cash compensaton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80" w:type="dxa"/>
            <w:vAlign w:val="bottom"/>
            <w:tcBorders>
              <w:right w:val="single" w:sz="8" w:color="333333"/>
            </w:tcBorders>
          </w:tcPr>
          <w:p>
            <w:pPr>
              <w:spacing w:after="0"/>
              <w:rPr>
                <w:sz w:val="17"/>
                <w:szCs w:val="17"/>
                <w:color w:val="auto"/>
              </w:rPr>
            </w:pPr>
          </w:p>
        </w:tc>
        <w:tc>
          <w:tcPr>
            <w:tcW w:w="2260" w:type="dxa"/>
            <w:vAlign w:val="bottom"/>
            <w:tcBorders>
              <w:right w:val="single" w:sz="8" w:color="EFF2EF"/>
            </w:tcBorders>
            <w:shd w:val="clear" w:color="auto" w:fill="EFF2EF"/>
          </w:tcPr>
          <w:p>
            <w:pPr>
              <w:spacing w:after="0"/>
              <w:rPr>
                <w:sz w:val="17"/>
                <w:szCs w:val="17"/>
                <w:color w:val="auto"/>
              </w:rPr>
            </w:pPr>
          </w:p>
        </w:tc>
        <w:tc>
          <w:tcPr>
            <w:tcW w:w="180" w:type="dxa"/>
            <w:vAlign w:val="bottom"/>
            <w:shd w:val="clear" w:color="auto" w:fill="EFF2EF"/>
          </w:tcPr>
          <w:p>
            <w:pPr>
              <w:spacing w:after="0"/>
              <w:rPr>
                <w:sz w:val="17"/>
                <w:szCs w:val="17"/>
                <w:color w:val="auto"/>
              </w:rPr>
            </w:pPr>
          </w:p>
        </w:tc>
        <w:tc>
          <w:tcPr>
            <w:tcW w:w="7000" w:type="dxa"/>
            <w:vAlign w:val="bottom"/>
            <w:shd w:val="clear" w:color="auto" w:fill="EFF2EF"/>
          </w:tcPr>
          <w:p>
            <w:pPr>
              <w:spacing w:after="0" w:line="201" w:lineRule="exact"/>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 Motvates and rewards executve to achieve key fnancial and individual objectves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80" w:type="dxa"/>
            <w:vAlign w:val="bottom"/>
            <w:tcBorders>
              <w:right w:val="single" w:sz="8" w:color="333333"/>
            </w:tcBorders>
            <w:vMerge w:val="restart"/>
          </w:tcPr>
          <w:p>
            <w:pPr>
              <w:jc w:val="center"/>
              <w:spacing w:after="0"/>
              <w:rPr>
                <w:sz w:val="20"/>
                <w:szCs w:val="20"/>
                <w:color w:val="auto"/>
              </w:rPr>
            </w:pPr>
            <w:r>
              <w:rPr>
                <w:rFonts w:ascii="Calibri" w:cs="Calibri" w:eastAsia="Calibri" w:hAnsi="Calibri"/>
                <w:sz w:val="17"/>
                <w:szCs w:val="17"/>
                <w:b w:val="1"/>
                <w:bCs w:val="1"/>
                <w:color w:val="0591DB"/>
              </w:rPr>
              <w:t>Annual</w:t>
            </w:r>
          </w:p>
        </w:tc>
        <w:tc>
          <w:tcPr>
            <w:tcW w:w="2260" w:type="dxa"/>
            <w:vAlign w:val="bottom"/>
            <w:tcBorders>
              <w:right w:val="single" w:sz="8" w:color="EFF2EF"/>
            </w:tcBorders>
            <w:vMerge w:val="restart"/>
            <w:shd w:val="clear" w:color="auto" w:fill="EFF2EF"/>
          </w:tcPr>
          <w:p>
            <w:pPr>
              <w:ind w:left="100"/>
              <w:spacing w:after="0"/>
              <w:rPr>
                <w:sz w:val="20"/>
                <w:szCs w:val="20"/>
                <w:color w:val="auto"/>
              </w:rPr>
            </w:pPr>
            <w:r>
              <w:rPr>
                <w:rFonts w:ascii="Calibri" w:cs="Calibri" w:eastAsia="Calibri" w:hAnsi="Calibri"/>
                <w:sz w:val="17"/>
                <w:szCs w:val="17"/>
                <w:b w:val="1"/>
                <w:bCs w:val="1"/>
                <w:color w:val="333333"/>
              </w:rPr>
              <w:t>AIP Opportunity</w:t>
            </w:r>
          </w:p>
        </w:tc>
        <w:tc>
          <w:tcPr>
            <w:tcW w:w="180" w:type="dxa"/>
            <w:vAlign w:val="bottom"/>
            <w:shd w:val="clear" w:color="auto" w:fill="EFF2EF"/>
          </w:tcPr>
          <w:p>
            <w:pPr>
              <w:spacing w:after="0"/>
              <w:rPr>
                <w:sz w:val="19"/>
                <w:szCs w:val="19"/>
                <w:color w:val="auto"/>
              </w:rPr>
            </w:pPr>
          </w:p>
        </w:tc>
        <w:tc>
          <w:tcPr>
            <w:tcW w:w="7000" w:type="dxa"/>
            <w:vAlign w:val="bottom"/>
            <w:shd w:val="clear" w:color="auto" w:fill="EFF2EF"/>
          </w:tcPr>
          <w:p>
            <w:pPr>
              <w:spacing w:after="0"/>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 Aligns executve and shareholder interests through performance measures that contribute to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480" w:type="dxa"/>
            <w:vAlign w:val="bottom"/>
            <w:tcBorders>
              <w:right w:val="single" w:sz="8" w:color="333333"/>
            </w:tcBorders>
            <w:vMerge w:val="continue"/>
          </w:tcPr>
          <w:p>
            <w:pPr>
              <w:spacing w:after="0"/>
              <w:rPr>
                <w:sz w:val="5"/>
                <w:szCs w:val="5"/>
                <w:color w:val="auto"/>
              </w:rPr>
            </w:pPr>
          </w:p>
        </w:tc>
        <w:tc>
          <w:tcPr>
            <w:tcW w:w="2260" w:type="dxa"/>
            <w:vAlign w:val="bottom"/>
            <w:tcBorders>
              <w:right w:val="single" w:sz="8" w:color="EFF2EF"/>
            </w:tcBorders>
            <w:vMerge w:val="continue"/>
            <w:shd w:val="clear" w:color="auto" w:fill="EFF2EF"/>
          </w:tcPr>
          <w:p>
            <w:pPr>
              <w:spacing w:after="0"/>
              <w:rPr>
                <w:sz w:val="5"/>
                <w:szCs w:val="5"/>
                <w:color w:val="auto"/>
              </w:rPr>
            </w:pPr>
          </w:p>
        </w:tc>
        <w:tc>
          <w:tcPr>
            <w:tcW w:w="180" w:type="dxa"/>
            <w:vAlign w:val="bottom"/>
            <w:shd w:val="clear" w:color="auto" w:fill="EFF2EF"/>
          </w:tcPr>
          <w:p>
            <w:pPr>
              <w:spacing w:after="0"/>
              <w:rPr>
                <w:sz w:val="5"/>
                <w:szCs w:val="5"/>
                <w:color w:val="auto"/>
              </w:rPr>
            </w:pPr>
          </w:p>
        </w:tc>
        <w:tc>
          <w:tcPr>
            <w:tcW w:w="7000" w:type="dxa"/>
            <w:vAlign w:val="bottom"/>
            <w:vMerge w:val="restart"/>
            <w:shd w:val="clear" w:color="auto" w:fill="EFF2EF"/>
          </w:tcPr>
          <w:p>
            <w:pPr>
              <w:ind w:left="260"/>
              <w:spacing w:after="0" w:line="196" w:lineRule="exact"/>
              <w:rPr>
                <w:sz w:val="20"/>
                <w:szCs w:val="20"/>
                <w:color w:val="auto"/>
              </w:rPr>
            </w:pPr>
            <w:r>
              <w:rPr>
                <w:rFonts w:ascii="Calibri" w:cs="Calibri" w:eastAsia="Calibri" w:hAnsi="Calibri"/>
                <w:sz w:val="17"/>
                <w:szCs w:val="17"/>
                <w:color w:val="333333"/>
              </w:rPr>
              <w:t>shareholder value creaton</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480" w:type="dxa"/>
            <w:vAlign w:val="bottom"/>
            <w:tcBorders>
              <w:right w:val="single" w:sz="8" w:color="333333"/>
            </w:tcBorders>
          </w:tcPr>
          <w:p>
            <w:pPr>
              <w:spacing w:after="0"/>
              <w:rPr>
                <w:sz w:val="4"/>
                <w:szCs w:val="4"/>
                <w:color w:val="auto"/>
              </w:rPr>
            </w:pPr>
          </w:p>
        </w:tc>
        <w:tc>
          <w:tcPr>
            <w:tcW w:w="2260" w:type="dxa"/>
            <w:vAlign w:val="bottom"/>
            <w:tcBorders>
              <w:right w:val="single" w:sz="8" w:color="EFF2EF"/>
            </w:tcBorders>
            <w:vMerge w:val="continue"/>
            <w:shd w:val="clear" w:color="auto" w:fill="EFF2EF"/>
          </w:tcPr>
          <w:p>
            <w:pPr>
              <w:spacing w:after="0"/>
              <w:rPr>
                <w:sz w:val="4"/>
                <w:szCs w:val="4"/>
                <w:color w:val="auto"/>
              </w:rPr>
            </w:pPr>
          </w:p>
        </w:tc>
        <w:tc>
          <w:tcPr>
            <w:tcW w:w="180" w:type="dxa"/>
            <w:vAlign w:val="bottom"/>
            <w:shd w:val="clear" w:color="auto" w:fill="EFF2EF"/>
          </w:tcPr>
          <w:p>
            <w:pPr>
              <w:spacing w:after="0"/>
              <w:rPr>
                <w:sz w:val="4"/>
                <w:szCs w:val="4"/>
                <w:color w:val="auto"/>
              </w:rPr>
            </w:pPr>
          </w:p>
        </w:tc>
        <w:tc>
          <w:tcPr>
            <w:tcW w:w="7000" w:type="dxa"/>
            <w:vAlign w:val="bottom"/>
            <w:vMerge w:val="continue"/>
            <w:shd w:val="clear" w:color="auto" w:fill="EFF2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480" w:type="dxa"/>
            <w:vAlign w:val="bottom"/>
            <w:tcBorders>
              <w:right w:val="single" w:sz="8" w:color="333333"/>
            </w:tcBorders>
          </w:tcPr>
          <w:p>
            <w:pPr>
              <w:spacing w:after="0"/>
              <w:rPr>
                <w:sz w:val="7"/>
                <w:szCs w:val="7"/>
                <w:color w:val="auto"/>
              </w:rPr>
            </w:pPr>
          </w:p>
        </w:tc>
        <w:tc>
          <w:tcPr>
            <w:tcW w:w="2260" w:type="dxa"/>
            <w:vAlign w:val="bottom"/>
            <w:tcBorders>
              <w:right w:val="single" w:sz="8" w:color="EFF2EF"/>
            </w:tcBorders>
            <w:shd w:val="clear" w:color="auto" w:fill="EFF2EF"/>
          </w:tcPr>
          <w:p>
            <w:pPr>
              <w:spacing w:after="0"/>
              <w:rPr>
                <w:sz w:val="7"/>
                <w:szCs w:val="7"/>
                <w:color w:val="auto"/>
              </w:rPr>
            </w:pPr>
          </w:p>
        </w:tc>
        <w:tc>
          <w:tcPr>
            <w:tcW w:w="180" w:type="dxa"/>
            <w:vAlign w:val="bottom"/>
            <w:shd w:val="clear" w:color="auto" w:fill="EFF2EF"/>
          </w:tcPr>
          <w:p>
            <w:pPr>
              <w:spacing w:after="0"/>
              <w:rPr>
                <w:sz w:val="7"/>
                <w:szCs w:val="7"/>
                <w:color w:val="auto"/>
              </w:rPr>
            </w:pPr>
          </w:p>
        </w:tc>
        <w:tc>
          <w:tcPr>
            <w:tcW w:w="7000" w:type="dxa"/>
            <w:vAlign w:val="bottom"/>
            <w:vMerge w:val="continue"/>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480" w:type="dxa"/>
            <w:vAlign w:val="bottom"/>
            <w:tcBorders>
              <w:right w:val="single" w:sz="8" w:color="333333"/>
            </w:tcBorders>
          </w:tcPr>
          <w:p>
            <w:pPr>
              <w:spacing w:after="0"/>
              <w:rPr>
                <w:sz w:val="19"/>
                <w:szCs w:val="19"/>
                <w:color w:val="auto"/>
              </w:rPr>
            </w:pPr>
          </w:p>
        </w:tc>
        <w:tc>
          <w:tcPr>
            <w:tcW w:w="2260" w:type="dxa"/>
            <w:vAlign w:val="bottom"/>
            <w:tcBorders>
              <w:right w:val="single" w:sz="8" w:color="EFF2EF"/>
            </w:tcBorders>
            <w:shd w:val="clear" w:color="auto" w:fill="EFF2EF"/>
          </w:tcPr>
          <w:p>
            <w:pPr>
              <w:spacing w:after="0"/>
              <w:rPr>
                <w:sz w:val="19"/>
                <w:szCs w:val="19"/>
                <w:color w:val="auto"/>
              </w:rPr>
            </w:pPr>
          </w:p>
        </w:tc>
        <w:tc>
          <w:tcPr>
            <w:tcW w:w="180" w:type="dxa"/>
            <w:vAlign w:val="bottom"/>
            <w:shd w:val="clear" w:color="auto" w:fill="EFF2EF"/>
          </w:tcPr>
          <w:p>
            <w:pPr>
              <w:spacing w:after="0"/>
              <w:rPr>
                <w:sz w:val="19"/>
                <w:szCs w:val="19"/>
                <w:color w:val="auto"/>
              </w:rPr>
            </w:pPr>
          </w:p>
        </w:tc>
        <w:tc>
          <w:tcPr>
            <w:tcW w:w="7000" w:type="dxa"/>
            <w:vAlign w:val="bottom"/>
            <w:shd w:val="clear" w:color="auto" w:fill="EFF2EF"/>
          </w:tcPr>
          <w:p>
            <w:pPr>
              <w:spacing w:after="0"/>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 Measures executve performance on accomplishment of pre-established strategic objectves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1480" w:type="dxa"/>
            <w:vAlign w:val="bottom"/>
            <w:tcBorders>
              <w:right w:val="single" w:sz="8" w:color="333333"/>
            </w:tcBorders>
          </w:tcPr>
          <w:p>
            <w:pPr>
              <w:spacing w:after="0"/>
              <w:rPr>
                <w:sz w:val="7"/>
                <w:szCs w:val="7"/>
                <w:color w:val="auto"/>
              </w:rPr>
            </w:pPr>
          </w:p>
        </w:tc>
        <w:tc>
          <w:tcPr>
            <w:tcW w:w="2260" w:type="dxa"/>
            <w:vAlign w:val="bottom"/>
            <w:tcBorders>
              <w:right w:val="single" w:sz="8" w:color="EFF2EF"/>
            </w:tcBorders>
            <w:shd w:val="clear" w:color="auto" w:fill="EFF2EF"/>
          </w:tcPr>
          <w:p>
            <w:pPr>
              <w:spacing w:after="0"/>
              <w:rPr>
                <w:sz w:val="7"/>
                <w:szCs w:val="7"/>
                <w:color w:val="auto"/>
              </w:rPr>
            </w:pPr>
          </w:p>
        </w:tc>
        <w:tc>
          <w:tcPr>
            <w:tcW w:w="180" w:type="dxa"/>
            <w:vAlign w:val="bottom"/>
            <w:shd w:val="clear" w:color="auto" w:fill="EFF2EF"/>
          </w:tcPr>
          <w:p>
            <w:pPr>
              <w:spacing w:after="0"/>
              <w:rPr>
                <w:sz w:val="7"/>
                <w:szCs w:val="7"/>
                <w:color w:val="auto"/>
              </w:rPr>
            </w:pPr>
          </w:p>
        </w:tc>
        <w:tc>
          <w:tcPr>
            <w:tcW w:w="7000" w:type="dxa"/>
            <w:vAlign w:val="bottom"/>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480" w:type="dxa"/>
            <w:vAlign w:val="bottom"/>
            <w:tcBorders>
              <w:right w:val="single" w:sz="8" w:color="333333"/>
            </w:tcBorders>
          </w:tcPr>
          <w:p>
            <w:pPr>
              <w:spacing w:after="0"/>
              <w:rPr>
                <w:sz w:val="16"/>
                <w:szCs w:val="16"/>
                <w:color w:val="auto"/>
              </w:rPr>
            </w:pPr>
          </w:p>
        </w:tc>
        <w:tc>
          <w:tcPr>
            <w:tcW w:w="2260" w:type="dxa"/>
            <w:vAlign w:val="bottom"/>
            <w:vMerge w:val="restart"/>
          </w:tcPr>
          <w:p>
            <w:pPr>
              <w:ind w:left="100"/>
              <w:spacing w:after="0"/>
              <w:rPr>
                <w:sz w:val="20"/>
                <w:szCs w:val="20"/>
                <w:color w:val="auto"/>
              </w:rPr>
            </w:pPr>
            <w:r>
              <w:rPr>
                <w:rFonts w:ascii="Calibri" w:cs="Calibri" w:eastAsia="Calibri" w:hAnsi="Calibri"/>
                <w:sz w:val="17"/>
                <w:szCs w:val="17"/>
                <w:b w:val="1"/>
                <w:bCs w:val="1"/>
                <w:color w:val="333333"/>
              </w:rPr>
              <w:t>DIP Opportunity</w:t>
            </w:r>
          </w:p>
        </w:tc>
        <w:tc>
          <w:tcPr>
            <w:tcW w:w="180" w:type="dxa"/>
            <w:vAlign w:val="bottom"/>
          </w:tcPr>
          <w:p>
            <w:pPr>
              <w:spacing w:after="0"/>
              <w:rPr>
                <w:sz w:val="16"/>
                <w:szCs w:val="16"/>
                <w:color w:val="auto"/>
              </w:rPr>
            </w:pPr>
          </w:p>
        </w:tc>
        <w:tc>
          <w:tcPr>
            <w:tcW w:w="70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 Rewards executve performance based on individual and Company performance during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480" w:type="dxa"/>
            <w:vAlign w:val="bottom"/>
            <w:tcBorders>
              <w:right w:val="single" w:sz="8" w:color="333333"/>
            </w:tcBorders>
          </w:tcPr>
          <w:p>
            <w:pPr>
              <w:spacing w:after="0"/>
              <w:rPr>
                <w:sz w:val="8"/>
                <w:szCs w:val="8"/>
                <w:color w:val="auto"/>
              </w:rPr>
            </w:pPr>
          </w:p>
        </w:tc>
        <w:tc>
          <w:tcPr>
            <w:tcW w:w="2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000" w:type="dxa"/>
            <w:vAlign w:val="bottom"/>
            <w:vMerge w:val="restart"/>
          </w:tcPr>
          <w:p>
            <w:pPr>
              <w:ind w:left="260"/>
              <w:spacing w:after="0" w:line="203" w:lineRule="exact"/>
              <w:rPr>
                <w:sz w:val="20"/>
                <w:szCs w:val="20"/>
                <w:color w:val="auto"/>
              </w:rPr>
            </w:pPr>
            <w:r>
              <w:rPr>
                <w:rFonts w:ascii="Calibri" w:cs="Calibri" w:eastAsia="Calibri" w:hAnsi="Calibri"/>
                <w:sz w:val="17"/>
                <w:szCs w:val="17"/>
                <w:color w:val="333333"/>
              </w:rPr>
              <w:t>prior calendar year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80" w:type="dxa"/>
            <w:vAlign w:val="bottom"/>
            <w:tcBorders>
              <w:right w:val="single" w:sz="8" w:color="333333"/>
            </w:tcBorders>
          </w:tcPr>
          <w:p>
            <w:pPr>
              <w:spacing w:after="0"/>
              <w:rPr>
                <w:sz w:val="9"/>
                <w:szCs w:val="9"/>
                <w:color w:val="auto"/>
              </w:rPr>
            </w:pPr>
          </w:p>
        </w:tc>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480" w:type="dxa"/>
            <w:vAlign w:val="bottom"/>
            <w:tcBorders>
              <w:bottom w:val="single" w:sz="8" w:color="333333"/>
              <w:right w:val="single" w:sz="8" w:color="333333"/>
            </w:tcBorders>
          </w:tcPr>
          <w:p>
            <w:pPr>
              <w:spacing w:after="0"/>
              <w:rPr>
                <w:sz w:val="11"/>
                <w:szCs w:val="11"/>
                <w:color w:val="auto"/>
              </w:rPr>
            </w:pPr>
          </w:p>
        </w:tc>
        <w:tc>
          <w:tcPr>
            <w:tcW w:w="2260" w:type="dxa"/>
            <w:vAlign w:val="bottom"/>
            <w:tcBorders>
              <w:bottom w:val="single" w:sz="8" w:color="333333"/>
            </w:tcBorders>
          </w:tcPr>
          <w:p>
            <w:pPr>
              <w:spacing w:after="0"/>
              <w:rPr>
                <w:sz w:val="11"/>
                <w:szCs w:val="11"/>
                <w:color w:val="auto"/>
              </w:rPr>
            </w:pPr>
          </w:p>
        </w:tc>
        <w:tc>
          <w:tcPr>
            <w:tcW w:w="7180" w:type="dxa"/>
            <w:vAlign w:val="bottom"/>
            <w:tcBorders>
              <w:bottom w:val="single" w:sz="8" w:color="333333"/>
            </w:tcBorders>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80" w:type="dxa"/>
            <w:vAlign w:val="bottom"/>
            <w:tcBorders>
              <w:right w:val="single" w:sz="8" w:color="333333"/>
            </w:tcBorders>
          </w:tcPr>
          <w:p>
            <w:pPr>
              <w:spacing w:after="0"/>
              <w:rPr>
                <w:sz w:val="15"/>
                <w:szCs w:val="15"/>
                <w:color w:val="auto"/>
              </w:rPr>
            </w:pPr>
          </w:p>
        </w:tc>
        <w:tc>
          <w:tcPr>
            <w:tcW w:w="2260" w:type="dxa"/>
            <w:vAlign w:val="bottom"/>
          </w:tcPr>
          <w:p>
            <w:pPr>
              <w:spacing w:after="0"/>
              <w:rPr>
                <w:sz w:val="15"/>
                <w:szCs w:val="15"/>
                <w:color w:val="auto"/>
              </w:rPr>
            </w:pPr>
          </w:p>
        </w:tc>
        <w:tc>
          <w:tcPr>
            <w:tcW w:w="718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 Incentvizes and rewards for strong market performance as measured over a three-year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80" w:type="dxa"/>
            <w:vAlign w:val="bottom"/>
            <w:tcBorders>
              <w:right w:val="single" w:sz="8" w:color="333333"/>
            </w:tcBorders>
          </w:tcPr>
          <w:p>
            <w:pPr>
              <w:spacing w:after="0"/>
              <w:rPr>
                <w:sz w:val="17"/>
                <w:szCs w:val="17"/>
                <w:color w:val="auto"/>
              </w:rPr>
            </w:pPr>
          </w:p>
        </w:tc>
        <w:tc>
          <w:tcPr>
            <w:tcW w:w="2260" w:type="dxa"/>
            <w:vAlign w:val="bottom"/>
          </w:tcPr>
          <w:p>
            <w:pPr>
              <w:ind w:left="100"/>
              <w:spacing w:after="0" w:line="206" w:lineRule="exact"/>
              <w:rPr>
                <w:sz w:val="20"/>
                <w:szCs w:val="20"/>
                <w:color w:val="auto"/>
              </w:rPr>
            </w:pPr>
            <w:r>
              <w:rPr>
                <w:rFonts w:ascii="Calibri" w:cs="Calibri" w:eastAsia="Calibri" w:hAnsi="Calibri"/>
                <w:sz w:val="17"/>
                <w:szCs w:val="17"/>
                <w:b w:val="1"/>
                <w:bCs w:val="1"/>
                <w:color w:val="333333"/>
              </w:rPr>
              <w:t>Performance RSU</w:t>
            </w:r>
          </w:p>
        </w:tc>
        <w:tc>
          <w:tcPr>
            <w:tcW w:w="180" w:type="dxa"/>
            <w:vAlign w:val="bottom"/>
          </w:tcPr>
          <w:p>
            <w:pPr>
              <w:spacing w:after="0"/>
              <w:rPr>
                <w:sz w:val="17"/>
                <w:szCs w:val="17"/>
                <w:color w:val="auto"/>
              </w:rPr>
            </w:pPr>
          </w:p>
        </w:tc>
        <w:tc>
          <w:tcPr>
            <w:tcW w:w="7000" w:type="dxa"/>
            <w:vAlign w:val="bottom"/>
          </w:tcPr>
          <w:p>
            <w:pPr>
              <w:ind w:left="260"/>
              <w:spacing w:after="0" w:line="203" w:lineRule="exact"/>
              <w:rPr>
                <w:sz w:val="20"/>
                <w:szCs w:val="20"/>
                <w:color w:val="auto"/>
              </w:rPr>
            </w:pPr>
            <w:r>
              <w:rPr>
                <w:rFonts w:ascii="Calibri" w:cs="Calibri" w:eastAsia="Calibri" w:hAnsi="Calibri"/>
                <w:sz w:val="17"/>
                <w:szCs w:val="17"/>
                <w:color w:val="333333"/>
              </w:rPr>
              <w:t>(two-year, in the case of Mr. Keatng) period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480" w:type="dxa"/>
            <w:vAlign w:val="bottom"/>
            <w:tcBorders>
              <w:right w:val="single" w:sz="8" w:color="333333"/>
            </w:tcBorders>
          </w:tcPr>
          <w:p>
            <w:pPr>
              <w:spacing w:after="0"/>
              <w:rPr>
                <w:sz w:val="18"/>
                <w:szCs w:val="18"/>
                <w:color w:val="auto"/>
              </w:rPr>
            </w:pPr>
          </w:p>
        </w:tc>
        <w:tc>
          <w:tcPr>
            <w:tcW w:w="2260" w:type="dxa"/>
            <w:vAlign w:val="bottom"/>
          </w:tcPr>
          <w:p>
            <w:pPr>
              <w:ind w:left="100"/>
              <w:spacing w:after="0"/>
              <w:rPr>
                <w:sz w:val="20"/>
                <w:szCs w:val="20"/>
                <w:color w:val="auto"/>
              </w:rPr>
            </w:pPr>
            <w:r>
              <w:rPr>
                <w:rFonts w:ascii="Calibri" w:cs="Calibri" w:eastAsia="Calibri" w:hAnsi="Calibri"/>
                <w:sz w:val="17"/>
                <w:szCs w:val="17"/>
                <w:b w:val="1"/>
                <w:bCs w:val="1"/>
                <w:color w:val="333333"/>
              </w:rPr>
              <w:t>Opportunity</w:t>
            </w:r>
          </w:p>
        </w:tc>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 Three-year (two-year, in the case of Mr. Keatng) performance measurement period supports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Borders>
              <w:right w:val="single" w:sz="8" w:color="333333"/>
            </w:tcBorders>
            <w:vMerge w:val="restart"/>
          </w:tcPr>
          <w:p>
            <w:pPr>
              <w:jc w:val="center"/>
              <w:spacing w:after="0"/>
              <w:rPr>
                <w:sz w:val="20"/>
                <w:szCs w:val="20"/>
                <w:color w:val="auto"/>
              </w:rPr>
            </w:pPr>
            <w:r>
              <w:rPr>
                <w:rFonts w:ascii="Calibri" w:cs="Calibri" w:eastAsia="Calibri" w:hAnsi="Calibri"/>
                <w:sz w:val="17"/>
                <w:szCs w:val="17"/>
                <w:b w:val="1"/>
                <w:bCs w:val="1"/>
                <w:color w:val="0591DB"/>
              </w:rPr>
              <w:t>Long-Term</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tcPr>
          <w:p>
            <w:pPr>
              <w:ind w:left="260"/>
              <w:spacing w:after="0" w:line="203" w:lineRule="exact"/>
              <w:rPr>
                <w:sz w:val="20"/>
                <w:szCs w:val="20"/>
                <w:color w:val="auto"/>
              </w:rPr>
            </w:pPr>
            <w:r>
              <w:rPr>
                <w:rFonts w:ascii="Calibri" w:cs="Calibri" w:eastAsia="Calibri" w:hAnsi="Calibri"/>
                <w:sz w:val="17"/>
                <w:szCs w:val="17"/>
                <w:color w:val="333333"/>
              </w:rPr>
              <w:t>our leadership retenton/stability objectves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1480" w:type="dxa"/>
            <w:vAlign w:val="bottom"/>
            <w:tcBorders>
              <w:right w:val="single" w:sz="8" w:color="333333"/>
            </w:tcBorders>
            <w:vMerge w:val="continue"/>
          </w:tcPr>
          <w:p>
            <w:pPr>
              <w:spacing w:after="0"/>
              <w:rPr>
                <w:sz w:val="7"/>
                <w:szCs w:val="7"/>
                <w:color w:val="auto"/>
              </w:rPr>
            </w:pPr>
          </w:p>
        </w:tc>
        <w:tc>
          <w:tcPr>
            <w:tcW w:w="2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tcBorders>
              <w:right w:val="single" w:sz="8" w:color="333333"/>
            </w:tcBorders>
            <w:vMerge w:val="continue"/>
          </w:tcPr>
          <w:p>
            <w:pPr>
              <w:spacing w:after="0"/>
              <w:rPr>
                <w:sz w:val="8"/>
                <w:szCs w:val="8"/>
                <w:color w:val="auto"/>
              </w:rPr>
            </w:pPr>
          </w:p>
        </w:tc>
        <w:tc>
          <w:tcPr>
            <w:tcW w:w="2260" w:type="dxa"/>
            <w:vAlign w:val="bottom"/>
            <w:tcBorders>
              <w:right w:val="single" w:sz="8" w:color="EFF2EF"/>
            </w:tcBorders>
            <w:vMerge w:val="restart"/>
            <w:shd w:val="clear" w:color="auto" w:fill="EFF2EF"/>
          </w:tcPr>
          <w:p>
            <w:pPr>
              <w:ind w:left="100"/>
              <w:spacing w:after="0"/>
              <w:rPr>
                <w:sz w:val="20"/>
                <w:szCs w:val="20"/>
                <w:color w:val="auto"/>
              </w:rPr>
            </w:pPr>
            <w:r>
              <w:rPr>
                <w:rFonts w:ascii="Calibri" w:cs="Calibri" w:eastAsia="Calibri" w:hAnsi="Calibri"/>
                <w:sz w:val="17"/>
                <w:szCs w:val="17"/>
                <w:b w:val="1"/>
                <w:bCs w:val="1"/>
                <w:color w:val="333333"/>
              </w:rPr>
              <w:t>Time-Based RSU (CEO) and</w:t>
            </w:r>
          </w:p>
        </w:tc>
        <w:tc>
          <w:tcPr>
            <w:tcW w:w="180" w:type="dxa"/>
            <w:vAlign w:val="bottom"/>
            <w:shd w:val="clear" w:color="auto" w:fill="EFF2EF"/>
          </w:tcPr>
          <w:p>
            <w:pPr>
              <w:spacing w:after="0"/>
              <w:rPr>
                <w:sz w:val="8"/>
                <w:szCs w:val="8"/>
                <w:color w:val="auto"/>
              </w:rPr>
            </w:pPr>
          </w:p>
        </w:tc>
        <w:tc>
          <w:tcPr>
            <w:tcW w:w="7000" w:type="dxa"/>
            <w:vAlign w:val="bottom"/>
            <w:vMerge w:val="restart"/>
            <w:shd w:val="clear" w:color="auto" w:fill="EFF2EF"/>
          </w:tcPr>
          <w:p>
            <w:pPr>
              <w:spacing w:after="0" w:line="186" w:lineRule="exact"/>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 Aligns interest of the executve with those of shareholders and provides a direct link to growth</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tcBorders>
              <w:right w:val="single" w:sz="8" w:color="333333"/>
            </w:tcBorders>
          </w:tcPr>
          <w:p>
            <w:pPr>
              <w:spacing w:after="0"/>
              <w:rPr>
                <w:sz w:val="7"/>
                <w:szCs w:val="7"/>
                <w:color w:val="auto"/>
              </w:rPr>
            </w:pPr>
          </w:p>
        </w:tc>
        <w:tc>
          <w:tcPr>
            <w:tcW w:w="2260" w:type="dxa"/>
            <w:vAlign w:val="bottom"/>
            <w:tcBorders>
              <w:right w:val="single" w:sz="8" w:color="EFF2EF"/>
            </w:tcBorders>
            <w:vMerge w:val="continue"/>
            <w:shd w:val="clear" w:color="auto" w:fill="EFF2EF"/>
          </w:tcPr>
          <w:p>
            <w:pPr>
              <w:spacing w:after="0"/>
              <w:rPr>
                <w:sz w:val="7"/>
                <w:szCs w:val="7"/>
                <w:color w:val="auto"/>
              </w:rPr>
            </w:pPr>
          </w:p>
        </w:tc>
        <w:tc>
          <w:tcPr>
            <w:tcW w:w="180" w:type="dxa"/>
            <w:vAlign w:val="bottom"/>
            <w:shd w:val="clear" w:color="auto" w:fill="EFF2EF"/>
          </w:tcPr>
          <w:p>
            <w:pPr>
              <w:spacing w:after="0"/>
              <w:rPr>
                <w:sz w:val="7"/>
                <w:szCs w:val="7"/>
                <w:color w:val="auto"/>
              </w:rPr>
            </w:pPr>
          </w:p>
        </w:tc>
        <w:tc>
          <w:tcPr>
            <w:tcW w:w="7000" w:type="dxa"/>
            <w:vAlign w:val="bottom"/>
            <w:vMerge w:val="continue"/>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480" w:type="dxa"/>
            <w:vAlign w:val="bottom"/>
            <w:tcBorders>
              <w:right w:val="single" w:sz="8" w:color="333333"/>
            </w:tcBorders>
          </w:tcPr>
          <w:p>
            <w:pPr>
              <w:spacing w:after="0"/>
              <w:rPr>
                <w:sz w:val="6"/>
                <w:szCs w:val="6"/>
                <w:color w:val="auto"/>
              </w:rPr>
            </w:pPr>
          </w:p>
        </w:tc>
        <w:tc>
          <w:tcPr>
            <w:tcW w:w="2260" w:type="dxa"/>
            <w:vAlign w:val="bottom"/>
            <w:tcBorders>
              <w:right w:val="single" w:sz="8" w:color="EFF2EF"/>
            </w:tcBorders>
            <w:vMerge w:val="continue"/>
            <w:shd w:val="clear" w:color="auto" w:fill="EFF2EF"/>
          </w:tcPr>
          <w:p>
            <w:pPr>
              <w:spacing w:after="0"/>
              <w:rPr>
                <w:sz w:val="6"/>
                <w:szCs w:val="6"/>
                <w:color w:val="auto"/>
              </w:rPr>
            </w:pPr>
          </w:p>
        </w:tc>
        <w:tc>
          <w:tcPr>
            <w:tcW w:w="180" w:type="dxa"/>
            <w:vAlign w:val="bottom"/>
            <w:shd w:val="clear" w:color="auto" w:fill="EFF2EF"/>
          </w:tcPr>
          <w:p>
            <w:pPr>
              <w:spacing w:after="0"/>
              <w:rPr>
                <w:sz w:val="6"/>
                <w:szCs w:val="6"/>
                <w:color w:val="auto"/>
              </w:rPr>
            </w:pPr>
          </w:p>
        </w:tc>
        <w:tc>
          <w:tcPr>
            <w:tcW w:w="7000" w:type="dxa"/>
            <w:vAlign w:val="bottom"/>
            <w:vMerge w:val="restart"/>
            <w:shd w:val="clear" w:color="auto" w:fill="EFF2EF"/>
          </w:tcPr>
          <w:p>
            <w:pPr>
              <w:ind w:left="260"/>
              <w:spacing w:after="0" w:line="203" w:lineRule="exact"/>
              <w:rPr>
                <w:sz w:val="20"/>
                <w:szCs w:val="20"/>
                <w:color w:val="auto"/>
              </w:rPr>
            </w:pPr>
            <w:r>
              <w:rPr>
                <w:rFonts w:ascii="Calibri" w:cs="Calibri" w:eastAsia="Calibri" w:hAnsi="Calibri"/>
                <w:sz w:val="17"/>
                <w:szCs w:val="17"/>
                <w:color w:val="333333"/>
              </w:rPr>
              <w:t>in shareholder value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480" w:type="dxa"/>
            <w:vAlign w:val="bottom"/>
            <w:tcBorders>
              <w:right w:val="single" w:sz="8" w:color="333333"/>
            </w:tcBorders>
          </w:tcPr>
          <w:p>
            <w:pPr>
              <w:spacing w:after="0"/>
              <w:rPr>
                <w:sz w:val="10"/>
                <w:szCs w:val="10"/>
                <w:color w:val="auto"/>
              </w:rPr>
            </w:pPr>
          </w:p>
        </w:tc>
        <w:tc>
          <w:tcPr>
            <w:tcW w:w="2260" w:type="dxa"/>
            <w:vAlign w:val="bottom"/>
            <w:tcBorders>
              <w:right w:val="single" w:sz="8" w:color="EFF2EF"/>
            </w:tcBorders>
            <w:vMerge w:val="restart"/>
            <w:shd w:val="clear" w:color="auto" w:fill="EFF2EF"/>
          </w:tcPr>
          <w:p>
            <w:pPr>
              <w:ind w:left="100"/>
              <w:spacing w:after="0" w:line="201" w:lineRule="exact"/>
              <w:rPr>
                <w:sz w:val="20"/>
                <w:szCs w:val="20"/>
                <w:color w:val="auto"/>
              </w:rPr>
            </w:pPr>
            <w:r>
              <w:rPr>
                <w:rFonts w:ascii="Calibri" w:cs="Calibri" w:eastAsia="Calibri" w:hAnsi="Calibri"/>
                <w:sz w:val="17"/>
                <w:szCs w:val="17"/>
                <w:b w:val="1"/>
                <w:bCs w:val="1"/>
                <w:color w:val="333333"/>
              </w:rPr>
              <w:t>Time-Based RSA or RSU</w:t>
            </w:r>
          </w:p>
        </w:tc>
        <w:tc>
          <w:tcPr>
            <w:tcW w:w="180" w:type="dxa"/>
            <w:vAlign w:val="bottom"/>
            <w:shd w:val="clear" w:color="auto" w:fill="EFF2EF"/>
          </w:tcPr>
          <w:p>
            <w:pPr>
              <w:spacing w:after="0"/>
              <w:rPr>
                <w:sz w:val="10"/>
                <w:szCs w:val="10"/>
                <w:color w:val="auto"/>
              </w:rPr>
            </w:pPr>
          </w:p>
        </w:tc>
        <w:tc>
          <w:tcPr>
            <w:tcW w:w="7000" w:type="dxa"/>
            <w:vAlign w:val="bottom"/>
            <w:vMerge w:val="continue"/>
            <w:shd w:val="clear" w:color="auto" w:fill="EFF2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480" w:type="dxa"/>
            <w:vAlign w:val="bottom"/>
            <w:tcBorders>
              <w:right w:val="single" w:sz="8" w:color="333333"/>
            </w:tcBorders>
          </w:tcPr>
          <w:p>
            <w:pPr>
              <w:spacing w:after="0"/>
              <w:rPr>
                <w:sz w:val="6"/>
                <w:szCs w:val="6"/>
                <w:color w:val="auto"/>
              </w:rPr>
            </w:pPr>
          </w:p>
        </w:tc>
        <w:tc>
          <w:tcPr>
            <w:tcW w:w="2260" w:type="dxa"/>
            <w:vAlign w:val="bottom"/>
            <w:tcBorders>
              <w:right w:val="single" w:sz="8" w:color="EFF2EF"/>
            </w:tcBorders>
            <w:vMerge w:val="continue"/>
            <w:shd w:val="clear" w:color="auto" w:fill="EFF2EF"/>
          </w:tcPr>
          <w:p>
            <w:pPr>
              <w:spacing w:after="0"/>
              <w:rPr>
                <w:sz w:val="6"/>
                <w:szCs w:val="6"/>
                <w:color w:val="auto"/>
              </w:rPr>
            </w:pPr>
          </w:p>
        </w:tc>
        <w:tc>
          <w:tcPr>
            <w:tcW w:w="180" w:type="dxa"/>
            <w:vAlign w:val="bottom"/>
            <w:shd w:val="clear" w:color="auto" w:fill="EFF2EF"/>
          </w:tcPr>
          <w:p>
            <w:pPr>
              <w:spacing w:after="0"/>
              <w:rPr>
                <w:sz w:val="6"/>
                <w:szCs w:val="6"/>
                <w:color w:val="auto"/>
              </w:rPr>
            </w:pPr>
          </w:p>
        </w:tc>
        <w:tc>
          <w:tcPr>
            <w:tcW w:w="7000" w:type="dxa"/>
            <w:vAlign w:val="bottom"/>
            <w:vMerge w:val="restart"/>
            <w:shd w:val="clear" w:color="auto" w:fill="EFF2EF"/>
          </w:tcPr>
          <w:p>
            <w:pPr>
              <w:spacing w:after="0"/>
              <w:rPr>
                <w:sz w:val="20"/>
                <w:szCs w:val="20"/>
                <w:color w:val="auto"/>
              </w:rPr>
            </w:pPr>
            <w:r>
              <w:rPr>
                <w:rFonts w:ascii="Times New Roman" w:cs="Times New Roman" w:eastAsia="Times New Roman" w:hAnsi="Times New Roman"/>
                <w:sz w:val="17"/>
                <w:szCs w:val="17"/>
                <w:color w:val="333333"/>
              </w:rPr>
              <w:t>▪</w:t>
            </w:r>
            <w:r>
              <w:rPr>
                <w:rFonts w:ascii="Calibri" w:cs="Calibri" w:eastAsia="Calibri" w:hAnsi="Calibri"/>
                <w:sz w:val="17"/>
                <w:szCs w:val="17"/>
                <w:color w:val="333333"/>
              </w:rPr>
              <w:t xml:space="preserve">    Three-year (two-year, in the case of Mr. Keatng) vestng period supports our leadership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480" w:type="dxa"/>
            <w:vAlign w:val="bottom"/>
            <w:tcBorders>
              <w:right w:val="single" w:sz="8" w:color="333333"/>
            </w:tcBorders>
          </w:tcPr>
          <w:p>
            <w:pPr>
              <w:spacing w:after="0"/>
              <w:rPr>
                <w:sz w:val="12"/>
                <w:szCs w:val="12"/>
                <w:color w:val="auto"/>
              </w:rPr>
            </w:pPr>
          </w:p>
        </w:tc>
        <w:tc>
          <w:tcPr>
            <w:tcW w:w="2260" w:type="dxa"/>
            <w:vAlign w:val="bottom"/>
            <w:tcBorders>
              <w:right w:val="single" w:sz="8" w:color="EFF2EF"/>
            </w:tcBorders>
            <w:vMerge w:val="restart"/>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333333"/>
              </w:rPr>
              <w:t>(Other NEOs) Opportunity</w:t>
            </w:r>
          </w:p>
        </w:tc>
        <w:tc>
          <w:tcPr>
            <w:tcW w:w="180" w:type="dxa"/>
            <w:vAlign w:val="bottom"/>
            <w:shd w:val="clear" w:color="auto" w:fill="EFF2EF"/>
          </w:tcPr>
          <w:p>
            <w:pPr>
              <w:spacing w:after="0"/>
              <w:rPr>
                <w:sz w:val="12"/>
                <w:szCs w:val="12"/>
                <w:color w:val="auto"/>
              </w:rPr>
            </w:pPr>
          </w:p>
        </w:tc>
        <w:tc>
          <w:tcPr>
            <w:tcW w:w="7000" w:type="dxa"/>
            <w:vAlign w:val="bottom"/>
            <w:vMerge w:val="continue"/>
            <w:shd w:val="clear" w:color="auto" w:fill="EFF2E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480" w:type="dxa"/>
            <w:vAlign w:val="bottom"/>
            <w:tcBorders>
              <w:right w:val="single" w:sz="8" w:color="333333"/>
            </w:tcBorders>
          </w:tcPr>
          <w:p>
            <w:pPr>
              <w:spacing w:after="0"/>
              <w:rPr>
                <w:sz w:val="5"/>
                <w:szCs w:val="5"/>
                <w:color w:val="auto"/>
              </w:rPr>
            </w:pPr>
          </w:p>
        </w:tc>
        <w:tc>
          <w:tcPr>
            <w:tcW w:w="2260" w:type="dxa"/>
            <w:vAlign w:val="bottom"/>
            <w:tcBorders>
              <w:right w:val="single" w:sz="8" w:color="EFF2EF"/>
            </w:tcBorders>
            <w:vMerge w:val="continue"/>
            <w:shd w:val="clear" w:color="auto" w:fill="EFF2EF"/>
          </w:tcPr>
          <w:p>
            <w:pPr>
              <w:spacing w:after="0"/>
              <w:rPr>
                <w:sz w:val="5"/>
                <w:szCs w:val="5"/>
                <w:color w:val="auto"/>
              </w:rPr>
            </w:pPr>
          </w:p>
        </w:tc>
        <w:tc>
          <w:tcPr>
            <w:tcW w:w="180" w:type="dxa"/>
            <w:vAlign w:val="bottom"/>
            <w:shd w:val="clear" w:color="auto" w:fill="EFF2EF"/>
          </w:tcPr>
          <w:p>
            <w:pPr>
              <w:spacing w:after="0"/>
              <w:rPr>
                <w:sz w:val="5"/>
                <w:szCs w:val="5"/>
                <w:color w:val="auto"/>
              </w:rPr>
            </w:pPr>
          </w:p>
        </w:tc>
        <w:tc>
          <w:tcPr>
            <w:tcW w:w="7000" w:type="dxa"/>
            <w:vAlign w:val="bottom"/>
            <w:vMerge w:val="restart"/>
            <w:shd w:val="clear" w:color="auto" w:fill="EFF2EF"/>
          </w:tcPr>
          <w:p>
            <w:pPr>
              <w:ind w:left="260"/>
              <w:spacing w:after="0" w:line="203" w:lineRule="exact"/>
              <w:rPr>
                <w:sz w:val="20"/>
                <w:szCs w:val="20"/>
                <w:color w:val="auto"/>
              </w:rPr>
            </w:pPr>
            <w:r>
              <w:rPr>
                <w:rFonts w:ascii="Calibri" w:cs="Calibri" w:eastAsia="Calibri" w:hAnsi="Calibri"/>
                <w:sz w:val="17"/>
                <w:szCs w:val="17"/>
                <w:color w:val="333333"/>
              </w:rPr>
              <w:t>retenton/stability objectves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480" w:type="dxa"/>
            <w:vAlign w:val="bottom"/>
            <w:tcBorders>
              <w:right w:val="single" w:sz="8" w:color="333333"/>
            </w:tcBorders>
          </w:tcPr>
          <w:p>
            <w:pPr>
              <w:spacing w:after="0"/>
              <w:rPr>
                <w:sz w:val="12"/>
                <w:szCs w:val="12"/>
                <w:color w:val="auto"/>
              </w:rPr>
            </w:pPr>
          </w:p>
        </w:tc>
        <w:tc>
          <w:tcPr>
            <w:tcW w:w="2260" w:type="dxa"/>
            <w:vAlign w:val="bottom"/>
            <w:tcBorders>
              <w:right w:val="single" w:sz="8" w:color="EFF2EF"/>
            </w:tcBorders>
            <w:shd w:val="clear" w:color="auto" w:fill="EFF2EF"/>
          </w:tcPr>
          <w:p>
            <w:pPr>
              <w:spacing w:after="0"/>
              <w:rPr>
                <w:sz w:val="12"/>
                <w:szCs w:val="12"/>
                <w:color w:val="auto"/>
              </w:rPr>
            </w:pPr>
          </w:p>
        </w:tc>
        <w:tc>
          <w:tcPr>
            <w:tcW w:w="180" w:type="dxa"/>
            <w:vAlign w:val="bottom"/>
            <w:shd w:val="clear" w:color="auto" w:fill="EFF2EF"/>
          </w:tcPr>
          <w:p>
            <w:pPr>
              <w:spacing w:after="0"/>
              <w:rPr>
                <w:sz w:val="12"/>
                <w:szCs w:val="12"/>
                <w:color w:val="auto"/>
              </w:rPr>
            </w:pPr>
          </w:p>
        </w:tc>
        <w:tc>
          <w:tcPr>
            <w:tcW w:w="7000" w:type="dxa"/>
            <w:vAlign w:val="bottom"/>
            <w:vMerge w:val="continue"/>
            <w:shd w:val="clear" w:color="auto" w:fill="EFF2E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80" w:type="dxa"/>
            <w:vAlign w:val="bottom"/>
            <w:tcBorders>
              <w:right w:val="single" w:sz="8" w:color="333333"/>
            </w:tcBorders>
          </w:tcPr>
          <w:p>
            <w:pPr>
              <w:spacing w:after="0"/>
              <w:rPr>
                <w:sz w:val="10"/>
                <w:szCs w:val="10"/>
                <w:color w:val="auto"/>
              </w:rPr>
            </w:pPr>
          </w:p>
        </w:tc>
        <w:tc>
          <w:tcPr>
            <w:tcW w:w="2260" w:type="dxa"/>
            <w:vAlign w:val="bottom"/>
            <w:tcBorders>
              <w:right w:val="single" w:sz="8" w:color="EFF2EF"/>
            </w:tcBorders>
            <w:shd w:val="clear" w:color="auto" w:fill="EFF2EF"/>
          </w:tcPr>
          <w:p>
            <w:pPr>
              <w:spacing w:after="0"/>
              <w:rPr>
                <w:sz w:val="10"/>
                <w:szCs w:val="10"/>
                <w:color w:val="auto"/>
              </w:rPr>
            </w:pPr>
          </w:p>
        </w:tc>
        <w:tc>
          <w:tcPr>
            <w:tcW w:w="180" w:type="dxa"/>
            <w:vAlign w:val="bottom"/>
            <w:shd w:val="clear" w:color="auto" w:fill="EFF2EF"/>
          </w:tcPr>
          <w:p>
            <w:pPr>
              <w:spacing w:after="0"/>
              <w:rPr>
                <w:sz w:val="10"/>
                <w:szCs w:val="10"/>
                <w:color w:val="auto"/>
              </w:rPr>
            </w:pPr>
          </w:p>
        </w:tc>
        <w:tc>
          <w:tcPr>
            <w:tcW w:w="7000" w:type="dxa"/>
            <w:vAlign w:val="bottom"/>
            <w:shd w:val="clear" w:color="auto" w:fill="EFF2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180" w:type="dxa"/>
            <w:vAlign w:val="bottom"/>
            <w:gridSpan w:val="2"/>
          </w:tcPr>
          <w:p>
            <w:pPr>
              <w:jc w:val="right"/>
              <w:ind w:right="5294"/>
              <w:spacing w:after="0"/>
              <w:rPr>
                <w:sz w:val="20"/>
                <w:szCs w:val="20"/>
                <w:color w:val="auto"/>
              </w:rPr>
            </w:pPr>
            <w:r>
              <w:rPr>
                <w:rFonts w:ascii="Calibri" w:cs="Calibri" w:eastAsia="Calibri" w:hAnsi="Calibri"/>
                <w:sz w:val="17"/>
                <w:szCs w:val="17"/>
                <w:color w:val="333333"/>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2025 Compensaton Mix</w:t>
      </w:r>
    </w:p>
    <w:p>
      <w:pPr>
        <w:spacing w:after="0" w:line="105" w:lineRule="exact"/>
        <w:rPr>
          <w:sz w:val="20"/>
          <w:szCs w:val="20"/>
          <w:color w:val="auto"/>
        </w:rPr>
      </w:pPr>
    </w:p>
    <w:p>
      <w:pPr>
        <w:ind w:left="160" w:right="280"/>
        <w:spacing w:after="0" w:line="232" w:lineRule="auto"/>
        <w:rPr>
          <w:sz w:val="20"/>
          <w:szCs w:val="20"/>
          <w:color w:val="auto"/>
        </w:rPr>
      </w:pPr>
      <w:r>
        <w:rPr>
          <w:rFonts w:ascii="Calibri" w:cs="Calibri" w:eastAsia="Calibri" w:hAnsi="Calibri"/>
          <w:sz w:val="17"/>
          <w:szCs w:val="17"/>
          <w:color w:val="333333"/>
        </w:rPr>
        <w:t>Executve compensaton is strongly linked to the fnancial and operatonal performance, as well as the stock performance, of the Company. The charts below describe the mix of 2025 target compensaton and illustrate that our 2025 executve compensaton program balances fxed and at-risk pay, with 90.0% of our CEO’s target annual total compensaton at-risk and 71.4% of our other NEOs’ target annual total compensaton at-risk. The “Other NEOs’ Compensaton at Target” chart below does not include data for Mr. Keatng because he partcipates in diferent compensaton programs than the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170180</wp:posOffset>
            </wp:positionV>
            <wp:extent cx="5146675" cy="22758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6675"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2025 Pay Outcomes</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Annual Cash Base Salary</w:t>
      </w:r>
    </w:p>
    <w:p>
      <w:pPr>
        <w:spacing w:after="0" w:line="10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 xml:space="preserve">Annual cash base salary (“base salary”) is the only fxed element of NEO compensaton and is provided to fairly compensate each executve based on his or her experience, skills, responsibilites and abilites. It is reviewed on a biannual basis. The Compensaton Commitee did not adjust NEO base salary for the year ended December 31, 2025, except for Mr. Keatng, whose salary increased by $15,000, consistent with ordinary course merit-based increases for non-NEO executves. See the secton ttled “Informaton About Our Executve Ofcers And Compensaton — Summary Compensaton Table” beginning on </w:t>
      </w:r>
      <w:r>
        <w:rPr>
          <w:rFonts w:ascii="Calibri" w:cs="Calibri" w:eastAsia="Calibri" w:hAnsi="Calibri"/>
          <w:sz w:val="17"/>
          <w:szCs w:val="17"/>
          <w:color w:val="0591DB"/>
        </w:rPr>
        <w:t xml:space="preserve">page 85 </w:t>
      </w:r>
      <w:r>
        <w:rPr>
          <w:rFonts w:ascii="Calibri" w:cs="Calibri" w:eastAsia="Calibri" w:hAnsi="Calibri"/>
          <w:sz w:val="17"/>
          <w:szCs w:val="17"/>
          <w:color w:val="333333"/>
        </w:rPr>
        <w:t>of this Proxy Statement for additonal informaton regarding our CEO’s and other NEOs’ base salaries and other compensaton for the year ended</w:t>
      </w:r>
      <w:r>
        <w:rPr>
          <w:rFonts w:ascii="Calibri" w:cs="Calibri" w:eastAsia="Calibri" w:hAnsi="Calibri"/>
          <w:sz w:val="17"/>
          <w:szCs w:val="17"/>
          <w:color w:val="0591DB"/>
        </w:rPr>
        <w:t xml:space="preserve"> </w:t>
      </w:r>
      <w:r>
        <w:rPr>
          <w:rFonts w:ascii="Calibri" w:cs="Calibri" w:eastAsia="Calibri" w:hAnsi="Calibri"/>
          <w:sz w:val="17"/>
          <w:szCs w:val="17"/>
          <w:color w:val="333333"/>
        </w:rPr>
        <w:t>December 31, 2025.</w:t>
      </w:r>
    </w:p>
    <w:p>
      <w:pPr>
        <w:spacing w:after="0" w:line="309"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66</w:t>
      </w:r>
    </w:p>
    <w:p>
      <w:pPr>
        <w:sectPr>
          <w:pgSz w:w="11900" w:h="16838" w:orient="portrait"/>
          <w:cols w:equalWidth="0" w:num="1">
            <w:col w:w="11060"/>
          </w:cols>
          <w:pgMar w:left="320" w:top="478"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2025 Annual Incentve Pay</w:t>
      </w:r>
    </w:p>
    <w:p>
      <w:pPr>
        <w:spacing w:after="0" w:line="10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Program Design</w:t>
      </w:r>
    </w:p>
    <w:p>
      <w:pPr>
        <w:spacing w:after="0" w:line="105"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Our 2025 AIP is an annual incentve program that rewards our partcipatng NEOs for achieving key annual non-GAAP fnancial metrics and individual performance objectves. The Compensaton Commitee did not adjust NEO target AIP opportunity for the year ended December 31, 2025. The metrics and targets that the Compensaton Commitee selected for 2025 AIP te directly to our operatonal and strategic goals. The objectves and ratonale for selectng the 2025 AIP performance metrics were as follows:</w:t>
      </w:r>
    </w:p>
    <w:p>
      <w:pPr>
        <w:spacing w:after="0" w:line="232"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b w:val="1"/>
          <w:bCs w:val="1"/>
          <w:color w:val="0591DB"/>
        </w:rPr>
        <w:t>AIP PROGRAM DESIGN — CEO</w:t>
      </w:r>
    </w:p>
    <w:p>
      <w:pPr>
        <w:spacing w:after="0" w:line="79" w:lineRule="exact"/>
        <w:rPr>
          <w:sz w:val="20"/>
          <w:szCs w:val="20"/>
          <w:color w:val="auto"/>
        </w:rPr>
      </w:pPr>
    </w:p>
    <w:tbl>
      <w:tblPr>
        <w:tblLayout w:type="fixed"/>
        <w:tblInd w:w="170" w:type="dxa"/>
        <w:tblCellMar>
          <w:top w:w="0" w:type="dxa"/>
          <w:left w:w="0" w:type="dxa"/>
          <w:bottom w:w="0" w:type="dxa"/>
          <w:right w:w="0" w:type="dxa"/>
        </w:tblCellMar>
      </w:tblPr>
      <w:tr>
        <w:trPr>
          <w:trHeight w:val="195"/>
        </w:trPr>
        <w:tc>
          <w:tcPr>
            <w:tcW w:w="1880" w:type="dxa"/>
            <w:vAlign w:val="bottom"/>
            <w:tcBorders>
              <w:top w:val="single" w:sz="8" w:color="0591DB"/>
              <w:left w:val="single" w:sz="8" w:color="0591DB"/>
              <w:right w:val="single" w:sz="8" w:color="0591DB"/>
            </w:tcBorders>
          </w:tcPr>
          <w:p>
            <w:pPr>
              <w:spacing w:after="0"/>
              <w:rPr>
                <w:sz w:val="16"/>
                <w:szCs w:val="16"/>
                <w:color w:val="auto"/>
              </w:rPr>
            </w:pPr>
          </w:p>
        </w:tc>
        <w:tc>
          <w:tcPr>
            <w:tcW w:w="2260" w:type="dxa"/>
            <w:vAlign w:val="bottom"/>
            <w:tcBorders>
              <w:top w:val="single" w:sz="8" w:color="0591DB"/>
              <w:right w:val="single" w:sz="8" w:color="0591DB"/>
            </w:tcBorders>
          </w:tcPr>
          <w:p>
            <w:pPr>
              <w:spacing w:after="0"/>
              <w:rPr>
                <w:sz w:val="16"/>
                <w:szCs w:val="16"/>
                <w:color w:val="auto"/>
              </w:rPr>
            </w:pPr>
          </w:p>
        </w:tc>
        <w:tc>
          <w:tcPr>
            <w:tcW w:w="2340" w:type="dxa"/>
            <w:vAlign w:val="bottom"/>
            <w:tcBorders>
              <w:top w:val="single" w:sz="8" w:color="0591DB"/>
              <w:right w:val="single" w:sz="8" w:color="0591DB"/>
            </w:tcBorders>
          </w:tcPr>
          <w:p>
            <w:pPr>
              <w:spacing w:after="0"/>
              <w:rPr>
                <w:sz w:val="16"/>
                <w:szCs w:val="16"/>
                <w:color w:val="auto"/>
              </w:rPr>
            </w:pPr>
          </w:p>
        </w:tc>
        <w:tc>
          <w:tcPr>
            <w:tcW w:w="2420" w:type="dxa"/>
            <w:vAlign w:val="bottom"/>
            <w:tcBorders>
              <w:top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w w:val="99"/>
              </w:rPr>
              <w:t>% OF TOTAL AIP</w:t>
            </w:r>
          </w:p>
        </w:tc>
        <w:tc>
          <w:tcPr>
            <w:tcW w:w="2040" w:type="dxa"/>
            <w:vAlign w:val="bottom"/>
            <w:tcBorders>
              <w:top w:val="single" w:sz="8" w:color="0591DB"/>
              <w:right w:val="single" w:sz="8" w:color="0591DB"/>
            </w:tcBorders>
          </w:tcPr>
          <w:p>
            <w:pPr>
              <w:jc w:val="center"/>
              <w:ind w:left="280"/>
              <w:spacing w:after="0"/>
              <w:rPr>
                <w:sz w:val="20"/>
                <w:szCs w:val="20"/>
                <w:color w:val="auto"/>
              </w:rPr>
            </w:pPr>
            <w:r>
              <w:rPr>
                <w:rFonts w:ascii="Calibri" w:cs="Calibri" w:eastAsia="Calibri" w:hAnsi="Calibri"/>
                <w:sz w:val="16"/>
                <w:szCs w:val="16"/>
                <w:b w:val="1"/>
                <w:bCs w:val="1"/>
                <w:color w:val="0591DB"/>
                <w:w w:val="96"/>
              </w:rPr>
              <w:t>TARGET AIP</w:t>
            </w:r>
          </w:p>
        </w:tc>
      </w:tr>
      <w:tr>
        <w:trPr>
          <w:trHeight w:val="192"/>
        </w:trPr>
        <w:tc>
          <w:tcPr>
            <w:tcW w:w="1880" w:type="dxa"/>
            <w:vAlign w:val="bottom"/>
            <w:tcBorders>
              <w:left w:val="single" w:sz="8" w:color="0591DB"/>
              <w:right w:val="single" w:sz="8" w:color="0591DB"/>
            </w:tcBorders>
          </w:tcPr>
          <w:p>
            <w:pPr>
              <w:jc w:val="center"/>
              <w:ind w:left="60"/>
              <w:spacing w:after="0" w:line="193" w:lineRule="exact"/>
              <w:rPr>
                <w:sz w:val="20"/>
                <w:szCs w:val="20"/>
                <w:color w:val="auto"/>
              </w:rPr>
            </w:pPr>
            <w:r>
              <w:rPr>
                <w:rFonts w:ascii="Calibri" w:cs="Calibri" w:eastAsia="Calibri" w:hAnsi="Calibri"/>
                <w:sz w:val="16"/>
                <w:szCs w:val="16"/>
                <w:b w:val="1"/>
                <w:bCs w:val="1"/>
                <w:color w:val="0591DB"/>
                <w:w w:val="98"/>
              </w:rPr>
              <w:t>PERFORMANCE</w:t>
            </w:r>
          </w:p>
        </w:tc>
        <w:tc>
          <w:tcPr>
            <w:tcW w:w="2260" w:type="dxa"/>
            <w:vAlign w:val="bottom"/>
            <w:tcBorders>
              <w:right w:val="single" w:sz="8" w:color="0591DB"/>
            </w:tcBorders>
          </w:tcPr>
          <w:p>
            <w:pPr>
              <w:jc w:val="center"/>
              <w:ind w:left="300"/>
              <w:spacing w:after="0" w:line="193" w:lineRule="exact"/>
              <w:rPr>
                <w:sz w:val="20"/>
                <w:szCs w:val="20"/>
                <w:color w:val="auto"/>
              </w:rPr>
            </w:pPr>
            <w:r>
              <w:rPr>
                <w:rFonts w:ascii="Calibri" w:cs="Calibri" w:eastAsia="Calibri" w:hAnsi="Calibri"/>
                <w:sz w:val="16"/>
                <w:szCs w:val="16"/>
                <w:b w:val="1"/>
                <w:bCs w:val="1"/>
                <w:color w:val="0591DB"/>
                <w:w w:val="99"/>
              </w:rPr>
              <w:t>OPERATING AND</w:t>
            </w:r>
          </w:p>
        </w:tc>
        <w:tc>
          <w:tcPr>
            <w:tcW w:w="2340" w:type="dxa"/>
            <w:vAlign w:val="bottom"/>
            <w:tcBorders>
              <w:right w:val="single" w:sz="8" w:color="0591DB"/>
            </w:tcBorders>
          </w:tcPr>
          <w:p>
            <w:pPr>
              <w:jc w:val="center"/>
              <w:ind w:left="320"/>
              <w:spacing w:after="0" w:line="193" w:lineRule="exact"/>
              <w:rPr>
                <w:sz w:val="20"/>
                <w:szCs w:val="20"/>
                <w:color w:val="auto"/>
              </w:rPr>
            </w:pPr>
            <w:r>
              <w:rPr>
                <w:rFonts w:ascii="Calibri" w:cs="Calibri" w:eastAsia="Calibri" w:hAnsi="Calibri"/>
                <w:sz w:val="16"/>
                <w:szCs w:val="16"/>
                <w:b w:val="1"/>
                <w:bCs w:val="1"/>
                <w:color w:val="0591DB"/>
                <w:w w:val="99"/>
              </w:rPr>
              <w:t>RATIONALE FOR USING</w:t>
            </w:r>
          </w:p>
        </w:tc>
        <w:tc>
          <w:tcPr>
            <w:tcW w:w="2420" w:type="dxa"/>
            <w:vAlign w:val="bottom"/>
            <w:tcBorders>
              <w:right w:val="single" w:sz="8" w:color="0591DB"/>
            </w:tcBorders>
          </w:tcPr>
          <w:p>
            <w:pPr>
              <w:jc w:val="center"/>
              <w:ind w:left="320"/>
              <w:spacing w:after="0" w:line="193" w:lineRule="exact"/>
              <w:rPr>
                <w:sz w:val="20"/>
                <w:szCs w:val="20"/>
                <w:color w:val="auto"/>
              </w:rPr>
            </w:pPr>
            <w:r>
              <w:rPr>
                <w:rFonts w:ascii="Calibri" w:cs="Calibri" w:eastAsia="Calibri" w:hAnsi="Calibri"/>
                <w:sz w:val="16"/>
                <w:szCs w:val="16"/>
                <w:b w:val="1"/>
                <w:bCs w:val="1"/>
                <w:color w:val="0591DB"/>
              </w:rPr>
              <w:t>OPPORTUNITY BASED ON</w:t>
            </w:r>
          </w:p>
        </w:tc>
        <w:tc>
          <w:tcPr>
            <w:tcW w:w="2040" w:type="dxa"/>
            <w:vAlign w:val="bottom"/>
            <w:tcBorders>
              <w:right w:val="single" w:sz="8" w:color="0591DB"/>
            </w:tcBorders>
          </w:tcPr>
          <w:p>
            <w:pPr>
              <w:jc w:val="center"/>
              <w:ind w:left="280"/>
              <w:spacing w:after="0" w:line="193" w:lineRule="exact"/>
              <w:rPr>
                <w:sz w:val="20"/>
                <w:szCs w:val="20"/>
                <w:color w:val="auto"/>
              </w:rPr>
            </w:pPr>
            <w:r>
              <w:rPr>
                <w:rFonts w:ascii="Calibri" w:cs="Calibri" w:eastAsia="Calibri" w:hAnsi="Calibri"/>
                <w:sz w:val="16"/>
                <w:szCs w:val="16"/>
                <w:b w:val="1"/>
                <w:bCs w:val="1"/>
                <w:color w:val="0591DB"/>
                <w:w w:val="99"/>
              </w:rPr>
              <w:t>OPPORTUNITY AS %</w:t>
            </w:r>
          </w:p>
        </w:tc>
      </w:tr>
      <w:tr>
        <w:trPr>
          <w:trHeight w:val="294"/>
        </w:trPr>
        <w:tc>
          <w:tcPr>
            <w:tcW w:w="1880" w:type="dxa"/>
            <w:vAlign w:val="bottom"/>
            <w:tcBorders>
              <w:left w:val="single" w:sz="8" w:color="0591DB"/>
              <w:bottom w:val="single" w:sz="8" w:color="0591DB"/>
              <w:right w:val="single" w:sz="8" w:color="0591DB"/>
            </w:tcBorders>
          </w:tcPr>
          <w:p>
            <w:pPr>
              <w:jc w:val="center"/>
              <w:ind w:left="60"/>
              <w:spacing w:after="0"/>
              <w:rPr>
                <w:sz w:val="20"/>
                <w:szCs w:val="20"/>
                <w:color w:val="auto"/>
              </w:rPr>
            </w:pPr>
            <w:r>
              <w:rPr>
                <w:rFonts w:ascii="Calibri" w:cs="Calibri" w:eastAsia="Calibri" w:hAnsi="Calibri"/>
                <w:sz w:val="16"/>
                <w:szCs w:val="16"/>
                <w:b w:val="1"/>
                <w:bCs w:val="1"/>
                <w:color w:val="0591DB"/>
                <w:w w:val="96"/>
              </w:rPr>
              <w:t xml:space="preserve">METRICS </w:t>
            </w:r>
            <w:r>
              <w:rPr>
                <w:rFonts w:ascii="Calibri" w:cs="Calibri" w:eastAsia="Calibri" w:hAnsi="Calibri"/>
                <w:sz w:val="24"/>
                <w:szCs w:val="24"/>
                <w:b w:val="1"/>
                <w:bCs w:val="1"/>
                <w:color w:val="0591DB"/>
                <w:w w:val="96"/>
                <w:vertAlign w:val="superscript"/>
              </w:rPr>
              <w:t>(1)</w:t>
            </w:r>
          </w:p>
        </w:tc>
        <w:tc>
          <w:tcPr>
            <w:tcW w:w="2260" w:type="dxa"/>
            <w:vAlign w:val="bottom"/>
            <w:tcBorders>
              <w:bottom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w w:val="99"/>
              </w:rPr>
              <w:t>STRATEGIC OBJECTIVES</w:t>
            </w:r>
          </w:p>
        </w:tc>
        <w:tc>
          <w:tcPr>
            <w:tcW w:w="2340" w:type="dxa"/>
            <w:vAlign w:val="bottom"/>
            <w:tcBorders>
              <w:bottom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w w:val="99"/>
              </w:rPr>
              <w:t>PERFORMANCE METRIC</w:t>
            </w:r>
          </w:p>
        </w:tc>
        <w:tc>
          <w:tcPr>
            <w:tcW w:w="2420" w:type="dxa"/>
            <w:vAlign w:val="bottom"/>
            <w:tcBorders>
              <w:bottom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rPr>
              <w:t>PERFORMANCE METRICS</w:t>
            </w:r>
          </w:p>
        </w:tc>
        <w:tc>
          <w:tcPr>
            <w:tcW w:w="2040" w:type="dxa"/>
            <w:vAlign w:val="bottom"/>
            <w:tcBorders>
              <w:bottom w:val="single" w:sz="8" w:color="0591DB"/>
              <w:right w:val="single" w:sz="8" w:color="0591DB"/>
            </w:tcBorders>
          </w:tcPr>
          <w:p>
            <w:pPr>
              <w:jc w:val="center"/>
              <w:ind w:left="280"/>
              <w:spacing w:after="0"/>
              <w:rPr>
                <w:sz w:val="20"/>
                <w:szCs w:val="20"/>
                <w:color w:val="auto"/>
              </w:rPr>
            </w:pPr>
            <w:r>
              <w:rPr>
                <w:rFonts w:ascii="Calibri" w:cs="Calibri" w:eastAsia="Calibri" w:hAnsi="Calibri"/>
                <w:sz w:val="16"/>
                <w:szCs w:val="16"/>
                <w:b w:val="1"/>
                <w:bCs w:val="1"/>
                <w:color w:val="0591DB"/>
              </w:rPr>
              <w:t>OF BASE SALARY</w:t>
            </w: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Calibri" w:cs="Calibri" w:eastAsia="Calibri" w:hAnsi="Calibri"/>
          <w:sz w:val="16"/>
          <w:szCs w:val="16"/>
          <w:b w:val="1"/>
          <w:bCs w:val="1"/>
          <w:color w:val="333333"/>
        </w:rPr>
        <w:t>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Calibri" w:cs="Calibri" w:eastAsia="Calibri" w:hAnsi="Calibri"/>
          <w:sz w:val="16"/>
          <w:szCs w:val="16"/>
          <w:b w:val="1"/>
          <w:bCs w:val="1"/>
          <w:color w:val="333333"/>
        </w:rPr>
        <w:t>Adjusted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Calibri" w:cs="Calibri" w:eastAsia="Calibri" w:hAnsi="Calibri"/>
          <w:sz w:val="16"/>
          <w:szCs w:val="16"/>
          <w:b w:val="1"/>
          <w:bCs w:val="1"/>
          <w:color w:val="333333"/>
        </w:rPr>
        <w:t>Individual Performance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5"/>
          <w:szCs w:val="15"/>
          <w:color w:val="333333"/>
        </w:rPr>
        <w:t>Deliver Adjusted EBITDA</w:t>
      </w:r>
    </w:p>
    <w:p>
      <w:pPr>
        <w:spacing w:after="0" w:line="1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Deliver Adjusted EPS</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growth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Incentvize executves</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to achieve</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pre-established short-</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term and long-term</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strategic and business</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6"/>
          <w:szCs w:val="16"/>
          <w:color w:val="333333"/>
        </w:rPr>
        <w:t>objectves</w:t>
      </w:r>
    </w:p>
    <w:p>
      <w:pPr>
        <w:spacing w:after="0" w:line="20" w:lineRule="exact"/>
        <w:rPr>
          <w:sz w:val="20"/>
          <w:szCs w:val="20"/>
          <w:color w:val="auto"/>
        </w:rPr>
      </w:pPr>
      <w:r>
        <w:rPr>
          <w:sz w:val="20"/>
          <w:szCs w:val="20"/>
          <w:color w:val="auto"/>
        </w:rPr>
        <w:br w:type="column"/>
      </w:r>
    </w:p>
    <w:p>
      <w:pPr>
        <w:jc w:val="center"/>
        <w:ind w:right="620"/>
        <w:spacing w:after="0" w:line="227" w:lineRule="auto"/>
        <w:rPr>
          <w:sz w:val="20"/>
          <w:szCs w:val="20"/>
          <w:color w:val="auto"/>
        </w:rPr>
      </w:pPr>
      <w:r>
        <w:rPr>
          <w:rFonts w:ascii="Calibri" w:cs="Calibri" w:eastAsia="Calibri" w:hAnsi="Calibri"/>
          <w:sz w:val="15"/>
          <w:szCs w:val="15"/>
          <w:color w:val="333333"/>
        </w:rPr>
        <w:t>Measures the Company’s</w:t>
      </w:r>
    </w:p>
    <w:p>
      <w:pPr>
        <w:spacing w:after="0" w:line="6"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operatng performance,</w:t>
      </w:r>
    </w:p>
    <w:p>
      <w:pPr>
        <w:spacing w:after="0" w:line="5"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excluding the impact of</w:t>
      </w:r>
    </w:p>
    <w:p>
      <w:pPr>
        <w:spacing w:after="0" w:line="6"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 xml:space="preserve">certain items </w:t>
      </w:r>
      <w:r>
        <w:rPr>
          <w:rFonts w:ascii="Calibri" w:cs="Calibri" w:eastAsia="Calibri" w:hAnsi="Calibri"/>
          <w:sz w:val="24"/>
          <w:szCs w:val="24"/>
          <w:color w:val="333333"/>
          <w:vertAlign w:val="superscript"/>
        </w:rPr>
        <w:t>(1)</w:t>
      </w:r>
    </w:p>
    <w:p>
      <w:pPr>
        <w:spacing w:after="0" w:line="190" w:lineRule="exact"/>
        <w:rPr>
          <w:sz w:val="20"/>
          <w:szCs w:val="20"/>
          <w:color w:val="auto"/>
        </w:rPr>
      </w:pPr>
    </w:p>
    <w:p>
      <w:pPr>
        <w:jc w:val="center"/>
        <w:ind w:right="620"/>
        <w:spacing w:after="0"/>
        <w:rPr>
          <w:sz w:val="20"/>
          <w:szCs w:val="20"/>
          <w:color w:val="auto"/>
        </w:rPr>
      </w:pPr>
      <w:r>
        <w:rPr>
          <w:rFonts w:ascii="Calibri" w:cs="Calibri" w:eastAsia="Calibri" w:hAnsi="Calibri"/>
          <w:sz w:val="15"/>
          <w:szCs w:val="15"/>
          <w:color w:val="333333"/>
        </w:rPr>
        <w:t>Measures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-103505</wp:posOffset>
            </wp:positionV>
            <wp:extent cx="6929755" cy="984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984885"/>
                    </a:xfrm>
                    <a:prstGeom prst="rect">
                      <a:avLst/>
                    </a:prstGeom>
                    <a:noFill/>
                  </pic:spPr>
                </pic:pic>
              </a:graphicData>
            </a:graphic>
          </wp:anchor>
        </w:drawing>
      </w:r>
    </w:p>
    <w:p>
      <w:pPr>
        <w:jc w:val="center"/>
        <w:ind w:right="620"/>
        <w:spacing w:after="0"/>
        <w:rPr>
          <w:sz w:val="20"/>
          <w:szCs w:val="20"/>
          <w:color w:val="auto"/>
        </w:rPr>
      </w:pPr>
      <w:r>
        <w:rPr>
          <w:rFonts w:ascii="Calibri" w:cs="Calibri" w:eastAsia="Calibri" w:hAnsi="Calibri"/>
          <w:sz w:val="16"/>
          <w:szCs w:val="16"/>
          <w:color w:val="333333"/>
        </w:rPr>
        <w:t>ability to generate</w:t>
      </w:r>
    </w:p>
    <w:p>
      <w:pPr>
        <w:spacing w:after="0" w:line="5"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income per share,</w:t>
      </w:r>
    </w:p>
    <w:p>
      <w:pPr>
        <w:spacing w:after="0" w:line="5"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excluding the impact of</w:t>
      </w:r>
    </w:p>
    <w:p>
      <w:pPr>
        <w:spacing w:after="0" w:line="5"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certain items, which is</w:t>
      </w:r>
    </w:p>
    <w:p>
      <w:pPr>
        <w:spacing w:after="0" w:line="5"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indicatve of shareholder</w:t>
      </w:r>
    </w:p>
    <w:p>
      <w:pPr>
        <w:spacing w:after="0" w:line="6" w:lineRule="exact"/>
        <w:rPr>
          <w:sz w:val="20"/>
          <w:szCs w:val="20"/>
          <w:color w:val="auto"/>
        </w:rPr>
      </w:pPr>
    </w:p>
    <w:p>
      <w:pPr>
        <w:jc w:val="center"/>
        <w:ind w:right="620"/>
        <w:spacing w:after="0"/>
        <w:rPr>
          <w:sz w:val="20"/>
          <w:szCs w:val="20"/>
          <w:color w:val="auto"/>
        </w:rPr>
      </w:pPr>
      <w:r>
        <w:rPr>
          <w:rFonts w:ascii="Calibri" w:cs="Calibri" w:eastAsia="Calibri" w:hAnsi="Calibri"/>
          <w:sz w:val="16"/>
          <w:szCs w:val="16"/>
          <w:color w:val="333333"/>
        </w:rPr>
        <w:t xml:space="preserve">value </w:t>
      </w:r>
      <w:r>
        <w:rPr>
          <w:rFonts w:ascii="Calibri" w:cs="Calibri" w:eastAsia="Calibri" w:hAnsi="Calibri"/>
          <w:sz w:val="24"/>
          <w:szCs w:val="24"/>
          <w:color w:val="333333"/>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Calibri" w:cs="Calibri" w:eastAsia="Calibri" w:hAnsi="Calibri"/>
          <w:sz w:val="16"/>
          <w:szCs w:val="16"/>
          <w:color w:val="333333"/>
        </w:rPr>
        <w:t>Measures CEO success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0"/>
        <w:spacing w:after="0"/>
        <w:rPr>
          <w:sz w:val="20"/>
          <w:szCs w:val="20"/>
          <w:color w:val="auto"/>
        </w:rPr>
      </w:pPr>
      <w:r>
        <w:rPr>
          <w:rFonts w:ascii="Calibri" w:cs="Calibri" w:eastAsia="Calibri" w:hAnsi="Calibri"/>
          <w:sz w:val="17"/>
          <w:szCs w:val="17"/>
          <w:color w:val="333333"/>
        </w:rPr>
        <w:t>67</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333333"/>
        </w:rPr>
        <w:t>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2180" w:val="left"/>
        </w:tabs>
        <w:rPr>
          <w:sz w:val="20"/>
          <w:szCs w:val="20"/>
          <w:color w:val="auto"/>
        </w:rPr>
      </w:pPr>
      <w:r>
        <w:rPr>
          <w:rFonts w:ascii="Calibri" w:cs="Calibri" w:eastAsia="Calibri" w:hAnsi="Calibri"/>
          <w:sz w:val="16"/>
          <w:szCs w:val="16"/>
          <w:b w:val="1"/>
          <w:bCs w:val="1"/>
          <w:color w:val="333333"/>
        </w:rPr>
        <w:t>37.5%</w:t>
      </w:r>
      <w:r>
        <w:rPr>
          <w:sz w:val="20"/>
          <w:szCs w:val="20"/>
          <w:color w:val="auto"/>
        </w:rPr>
        <w:tab/>
      </w:r>
      <w:r>
        <w:rPr>
          <w:rFonts w:ascii="Calibri" w:cs="Calibri" w:eastAsia="Calibri" w:hAnsi="Calibri"/>
          <w:sz w:val="15"/>
          <w:szCs w:val="15"/>
          <w:b w:val="1"/>
          <w:bCs w:val="1"/>
          <w:color w:val="333333"/>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333333"/>
        </w:rPr>
        <w:t>25.0%</w:t>
      </w:r>
    </w:p>
    <w:p>
      <w:pPr>
        <w:sectPr>
          <w:pgSz w:w="11900" w:h="16838" w:orient="portrait"/>
          <w:cols w:equalWidth="0" w:num="4">
            <w:col w:w="1860" w:space="720"/>
            <w:col w:w="1580" w:space="700"/>
            <w:col w:w="2260" w:space="720"/>
            <w:col w:w="3260"/>
          </w:cols>
          <w:pgMar w:left="320" w:top="478" w:right="4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b w:val="1"/>
          <w:bCs w:val="1"/>
          <w:color w:val="0591DB"/>
        </w:rPr>
        <w:t>AIP PROGRAM DESIGN — Other Partcipatng NEOs</w:t>
      </w:r>
    </w:p>
    <w:p>
      <w:pPr>
        <w:spacing w:after="0" w:line="79" w:lineRule="exact"/>
        <w:rPr>
          <w:sz w:val="20"/>
          <w:szCs w:val="20"/>
          <w:color w:val="auto"/>
        </w:rPr>
      </w:pPr>
    </w:p>
    <w:tbl>
      <w:tblPr>
        <w:tblLayout w:type="fixed"/>
        <w:tblInd w:w="170" w:type="dxa"/>
        <w:tblCellMar>
          <w:top w:w="0" w:type="dxa"/>
          <w:left w:w="0" w:type="dxa"/>
          <w:bottom w:w="0" w:type="dxa"/>
          <w:right w:w="0" w:type="dxa"/>
        </w:tblCellMar>
      </w:tblPr>
      <w:tr>
        <w:trPr>
          <w:trHeight w:val="195"/>
        </w:trPr>
        <w:tc>
          <w:tcPr>
            <w:tcW w:w="1880" w:type="dxa"/>
            <w:vAlign w:val="bottom"/>
            <w:tcBorders>
              <w:top w:val="single" w:sz="8" w:color="0591DB"/>
              <w:left w:val="single" w:sz="8" w:color="0591DB"/>
              <w:right w:val="single" w:sz="8" w:color="0591DB"/>
            </w:tcBorders>
          </w:tcPr>
          <w:p>
            <w:pPr>
              <w:spacing w:after="0"/>
              <w:rPr>
                <w:sz w:val="16"/>
                <w:szCs w:val="16"/>
                <w:color w:val="auto"/>
              </w:rPr>
            </w:pPr>
          </w:p>
        </w:tc>
        <w:tc>
          <w:tcPr>
            <w:tcW w:w="2260" w:type="dxa"/>
            <w:vAlign w:val="bottom"/>
            <w:tcBorders>
              <w:top w:val="single" w:sz="8" w:color="0591DB"/>
              <w:right w:val="single" w:sz="8" w:color="0591DB"/>
            </w:tcBorders>
          </w:tcPr>
          <w:p>
            <w:pPr>
              <w:spacing w:after="0"/>
              <w:rPr>
                <w:sz w:val="16"/>
                <w:szCs w:val="16"/>
                <w:color w:val="auto"/>
              </w:rPr>
            </w:pPr>
          </w:p>
        </w:tc>
        <w:tc>
          <w:tcPr>
            <w:tcW w:w="2340" w:type="dxa"/>
            <w:vAlign w:val="bottom"/>
            <w:tcBorders>
              <w:top w:val="single" w:sz="8" w:color="0591DB"/>
              <w:right w:val="single" w:sz="8" w:color="0591DB"/>
            </w:tcBorders>
          </w:tcPr>
          <w:p>
            <w:pPr>
              <w:spacing w:after="0"/>
              <w:rPr>
                <w:sz w:val="16"/>
                <w:szCs w:val="16"/>
                <w:color w:val="auto"/>
              </w:rPr>
            </w:pPr>
          </w:p>
        </w:tc>
        <w:tc>
          <w:tcPr>
            <w:tcW w:w="2420" w:type="dxa"/>
            <w:vAlign w:val="bottom"/>
            <w:tcBorders>
              <w:top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w w:val="99"/>
              </w:rPr>
              <w:t>% OF TOTAL AIP</w:t>
            </w:r>
          </w:p>
        </w:tc>
        <w:tc>
          <w:tcPr>
            <w:tcW w:w="2020" w:type="dxa"/>
            <w:vAlign w:val="bottom"/>
            <w:tcBorders>
              <w:top w:val="single" w:sz="8" w:color="0591DB"/>
            </w:tcBorders>
          </w:tcPr>
          <w:p>
            <w:pPr>
              <w:jc w:val="center"/>
              <w:ind w:left="300"/>
              <w:spacing w:after="0"/>
              <w:rPr>
                <w:sz w:val="20"/>
                <w:szCs w:val="20"/>
                <w:color w:val="auto"/>
              </w:rPr>
            </w:pPr>
            <w:r>
              <w:rPr>
                <w:rFonts w:ascii="Calibri" w:cs="Calibri" w:eastAsia="Calibri" w:hAnsi="Calibri"/>
                <w:sz w:val="16"/>
                <w:szCs w:val="16"/>
                <w:b w:val="1"/>
                <w:bCs w:val="1"/>
                <w:color w:val="0591DB"/>
                <w:w w:val="96"/>
              </w:rPr>
              <w:t>TARGET AIP</w:t>
            </w:r>
          </w:p>
        </w:tc>
        <w:tc>
          <w:tcPr>
            <w:tcW w:w="20" w:type="dxa"/>
            <w:vAlign w:val="bottom"/>
            <w:tcBorders>
              <w:top w:val="single" w:sz="8" w:color="0591DB"/>
            </w:tcBorders>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tcBorders>
              <w:left w:val="single" w:sz="8" w:color="0591DB"/>
              <w:right w:val="single" w:sz="8" w:color="0591DB"/>
            </w:tcBorders>
          </w:tcPr>
          <w:p>
            <w:pPr>
              <w:jc w:val="center"/>
              <w:ind w:left="60"/>
              <w:spacing w:after="0" w:line="193" w:lineRule="exact"/>
              <w:rPr>
                <w:sz w:val="20"/>
                <w:szCs w:val="20"/>
                <w:color w:val="auto"/>
              </w:rPr>
            </w:pPr>
            <w:r>
              <w:rPr>
                <w:rFonts w:ascii="Calibri" w:cs="Calibri" w:eastAsia="Calibri" w:hAnsi="Calibri"/>
                <w:sz w:val="16"/>
                <w:szCs w:val="16"/>
                <w:b w:val="1"/>
                <w:bCs w:val="1"/>
                <w:color w:val="0591DB"/>
                <w:w w:val="98"/>
              </w:rPr>
              <w:t>PERFORMANCE</w:t>
            </w:r>
          </w:p>
        </w:tc>
        <w:tc>
          <w:tcPr>
            <w:tcW w:w="2260" w:type="dxa"/>
            <w:vAlign w:val="bottom"/>
            <w:tcBorders>
              <w:right w:val="single" w:sz="8" w:color="0591DB"/>
            </w:tcBorders>
          </w:tcPr>
          <w:p>
            <w:pPr>
              <w:jc w:val="center"/>
              <w:ind w:left="320"/>
              <w:spacing w:after="0" w:line="193" w:lineRule="exact"/>
              <w:rPr>
                <w:sz w:val="20"/>
                <w:szCs w:val="20"/>
                <w:color w:val="auto"/>
              </w:rPr>
            </w:pPr>
            <w:r>
              <w:rPr>
                <w:rFonts w:ascii="Calibri" w:cs="Calibri" w:eastAsia="Calibri" w:hAnsi="Calibri"/>
                <w:sz w:val="16"/>
                <w:szCs w:val="16"/>
                <w:b w:val="1"/>
                <w:bCs w:val="1"/>
                <w:color w:val="0591DB"/>
                <w:w w:val="98"/>
              </w:rPr>
              <w:t>OPERATIONAL OR</w:t>
            </w:r>
          </w:p>
        </w:tc>
        <w:tc>
          <w:tcPr>
            <w:tcW w:w="2340" w:type="dxa"/>
            <w:vAlign w:val="bottom"/>
            <w:tcBorders>
              <w:right w:val="single" w:sz="8" w:color="0591DB"/>
            </w:tcBorders>
          </w:tcPr>
          <w:p>
            <w:pPr>
              <w:jc w:val="center"/>
              <w:ind w:left="320"/>
              <w:spacing w:after="0" w:line="193" w:lineRule="exact"/>
              <w:rPr>
                <w:sz w:val="20"/>
                <w:szCs w:val="20"/>
                <w:color w:val="auto"/>
              </w:rPr>
            </w:pPr>
            <w:r>
              <w:rPr>
                <w:rFonts w:ascii="Calibri" w:cs="Calibri" w:eastAsia="Calibri" w:hAnsi="Calibri"/>
                <w:sz w:val="16"/>
                <w:szCs w:val="16"/>
                <w:b w:val="1"/>
                <w:bCs w:val="1"/>
                <w:color w:val="0591DB"/>
                <w:w w:val="99"/>
              </w:rPr>
              <w:t>RATIONALE FOR USING</w:t>
            </w:r>
          </w:p>
        </w:tc>
        <w:tc>
          <w:tcPr>
            <w:tcW w:w="2420" w:type="dxa"/>
            <w:vAlign w:val="bottom"/>
            <w:tcBorders>
              <w:right w:val="single" w:sz="8" w:color="0591DB"/>
            </w:tcBorders>
          </w:tcPr>
          <w:p>
            <w:pPr>
              <w:jc w:val="center"/>
              <w:ind w:left="320"/>
              <w:spacing w:after="0" w:line="193" w:lineRule="exact"/>
              <w:rPr>
                <w:sz w:val="20"/>
                <w:szCs w:val="20"/>
                <w:color w:val="auto"/>
              </w:rPr>
            </w:pPr>
            <w:r>
              <w:rPr>
                <w:rFonts w:ascii="Calibri" w:cs="Calibri" w:eastAsia="Calibri" w:hAnsi="Calibri"/>
                <w:sz w:val="16"/>
                <w:szCs w:val="16"/>
                <w:b w:val="1"/>
                <w:bCs w:val="1"/>
                <w:color w:val="0591DB"/>
              </w:rPr>
              <w:t>OPPORTUNITY BASED ON</w:t>
            </w:r>
          </w:p>
        </w:tc>
        <w:tc>
          <w:tcPr>
            <w:tcW w:w="2020" w:type="dxa"/>
            <w:vAlign w:val="bottom"/>
          </w:tcPr>
          <w:p>
            <w:pPr>
              <w:jc w:val="center"/>
              <w:ind w:left="300"/>
              <w:spacing w:after="0" w:line="193" w:lineRule="exact"/>
              <w:rPr>
                <w:sz w:val="20"/>
                <w:szCs w:val="20"/>
                <w:color w:val="auto"/>
              </w:rPr>
            </w:pPr>
            <w:r>
              <w:rPr>
                <w:rFonts w:ascii="Calibri" w:cs="Calibri" w:eastAsia="Calibri" w:hAnsi="Calibri"/>
                <w:sz w:val="16"/>
                <w:szCs w:val="16"/>
                <w:b w:val="1"/>
                <w:bCs w:val="1"/>
                <w:color w:val="0591DB"/>
                <w:w w:val="99"/>
              </w:rPr>
              <w:t>OPPORTUNITY AS %</w:t>
            </w: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880" w:type="dxa"/>
            <w:vAlign w:val="bottom"/>
            <w:tcBorders>
              <w:left w:val="single" w:sz="8" w:color="0591DB"/>
              <w:bottom w:val="single" w:sz="8" w:color="0591DB"/>
              <w:right w:val="single" w:sz="8" w:color="0591DB"/>
            </w:tcBorders>
          </w:tcPr>
          <w:p>
            <w:pPr>
              <w:jc w:val="center"/>
              <w:ind w:left="60"/>
              <w:spacing w:after="0"/>
              <w:rPr>
                <w:sz w:val="20"/>
                <w:szCs w:val="20"/>
                <w:color w:val="auto"/>
              </w:rPr>
            </w:pPr>
            <w:r>
              <w:rPr>
                <w:rFonts w:ascii="Calibri" w:cs="Calibri" w:eastAsia="Calibri" w:hAnsi="Calibri"/>
                <w:sz w:val="16"/>
                <w:szCs w:val="16"/>
                <w:b w:val="1"/>
                <w:bCs w:val="1"/>
                <w:color w:val="0591DB"/>
                <w:w w:val="96"/>
              </w:rPr>
              <w:t xml:space="preserve">METRICS </w:t>
            </w:r>
            <w:r>
              <w:rPr>
                <w:rFonts w:ascii="Calibri" w:cs="Calibri" w:eastAsia="Calibri" w:hAnsi="Calibri"/>
                <w:sz w:val="24"/>
                <w:szCs w:val="24"/>
                <w:b w:val="1"/>
                <w:bCs w:val="1"/>
                <w:color w:val="0591DB"/>
                <w:w w:val="96"/>
                <w:vertAlign w:val="superscript"/>
              </w:rPr>
              <w:t>(1)</w:t>
            </w:r>
          </w:p>
        </w:tc>
        <w:tc>
          <w:tcPr>
            <w:tcW w:w="2260" w:type="dxa"/>
            <w:vAlign w:val="bottom"/>
            <w:tcBorders>
              <w:bottom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w w:val="99"/>
              </w:rPr>
              <w:t>STRATEGIC OBJECTIVES</w:t>
            </w:r>
          </w:p>
        </w:tc>
        <w:tc>
          <w:tcPr>
            <w:tcW w:w="2340" w:type="dxa"/>
            <w:vAlign w:val="bottom"/>
            <w:tcBorders>
              <w:bottom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w w:val="99"/>
              </w:rPr>
              <w:t>PERFORMANCE METRIC</w:t>
            </w:r>
          </w:p>
        </w:tc>
        <w:tc>
          <w:tcPr>
            <w:tcW w:w="2420" w:type="dxa"/>
            <w:vAlign w:val="bottom"/>
            <w:tcBorders>
              <w:bottom w:val="single" w:sz="8" w:color="0591DB"/>
              <w:right w:val="single" w:sz="8" w:color="0591DB"/>
            </w:tcBorders>
          </w:tcPr>
          <w:p>
            <w:pPr>
              <w:jc w:val="center"/>
              <w:ind w:left="320"/>
              <w:spacing w:after="0"/>
              <w:rPr>
                <w:sz w:val="20"/>
                <w:szCs w:val="20"/>
                <w:color w:val="auto"/>
              </w:rPr>
            </w:pPr>
            <w:r>
              <w:rPr>
                <w:rFonts w:ascii="Calibri" w:cs="Calibri" w:eastAsia="Calibri" w:hAnsi="Calibri"/>
                <w:sz w:val="16"/>
                <w:szCs w:val="16"/>
                <w:b w:val="1"/>
                <w:bCs w:val="1"/>
                <w:color w:val="0591DB"/>
              </w:rPr>
              <w:t>PERFORMANCE METRICS</w:t>
            </w:r>
          </w:p>
        </w:tc>
        <w:tc>
          <w:tcPr>
            <w:tcW w:w="2020" w:type="dxa"/>
            <w:vAlign w:val="bottom"/>
            <w:tcBorders>
              <w:bottom w:val="single" w:sz="8" w:color="0591DB"/>
            </w:tcBorders>
          </w:tcPr>
          <w:p>
            <w:pPr>
              <w:jc w:val="center"/>
              <w:ind w:left="300"/>
              <w:spacing w:after="0"/>
              <w:rPr>
                <w:sz w:val="20"/>
                <w:szCs w:val="20"/>
                <w:color w:val="auto"/>
              </w:rPr>
            </w:pPr>
            <w:r>
              <w:rPr>
                <w:rFonts w:ascii="Calibri" w:cs="Calibri" w:eastAsia="Calibri" w:hAnsi="Calibri"/>
                <w:sz w:val="16"/>
                <w:szCs w:val="16"/>
                <w:b w:val="1"/>
                <w:bCs w:val="1"/>
                <w:color w:val="0591DB"/>
              </w:rPr>
              <w:t>OF BASE SALARY</w:t>
            </w:r>
          </w:p>
        </w:tc>
        <w:tc>
          <w:tcPr>
            <w:tcW w:w="20" w:type="dxa"/>
            <w:vAlign w:val="bottom"/>
            <w:tcBorders>
              <w:bottom w:val="single" w:sz="8" w:color="0591DB"/>
            </w:tcBorders>
            <w:shd w:val="clear" w:color="auto" w:fill="0591DB"/>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340" w:type="dxa"/>
            <w:vAlign w:val="bottom"/>
          </w:tcPr>
          <w:p>
            <w:pPr>
              <w:jc w:val="center"/>
              <w:ind w:left="340"/>
              <w:spacing w:after="0" w:line="175" w:lineRule="exact"/>
              <w:rPr>
                <w:sz w:val="20"/>
                <w:szCs w:val="20"/>
                <w:color w:val="auto"/>
              </w:rPr>
            </w:pPr>
            <w:r>
              <w:rPr>
                <w:rFonts w:ascii="Calibri" w:cs="Calibri" w:eastAsia="Calibri" w:hAnsi="Calibri"/>
                <w:sz w:val="16"/>
                <w:szCs w:val="16"/>
                <w:color w:val="333333"/>
                <w:w w:val="99"/>
              </w:rPr>
              <w:t>Measures the Company’s</w:t>
            </w:r>
          </w:p>
        </w:tc>
        <w:tc>
          <w:tcPr>
            <w:tcW w:w="2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260" w:type="dxa"/>
            <w:vAlign w:val="bottom"/>
            <w:vMerge w:val="restart"/>
          </w:tcPr>
          <w:p>
            <w:pPr>
              <w:jc w:val="center"/>
              <w:ind w:left="320"/>
              <w:spacing w:after="0"/>
              <w:rPr>
                <w:sz w:val="20"/>
                <w:szCs w:val="20"/>
                <w:color w:val="auto"/>
              </w:rPr>
            </w:pPr>
            <w:r>
              <w:rPr>
                <w:rFonts w:ascii="Calibri" w:cs="Calibri" w:eastAsia="Calibri" w:hAnsi="Calibri"/>
                <w:sz w:val="16"/>
                <w:szCs w:val="16"/>
                <w:color w:val="333333"/>
                <w:w w:val="99"/>
              </w:rPr>
              <w:t>Deliver Adjusted EBITDA</w:t>
            </w:r>
          </w:p>
        </w:tc>
        <w:tc>
          <w:tcPr>
            <w:tcW w:w="2340" w:type="dxa"/>
            <w:vAlign w:val="bottom"/>
          </w:tcPr>
          <w:p>
            <w:pPr>
              <w:jc w:val="center"/>
              <w:ind w:left="320"/>
              <w:spacing w:after="0" w:line="193" w:lineRule="exact"/>
              <w:rPr>
                <w:sz w:val="20"/>
                <w:szCs w:val="20"/>
                <w:color w:val="auto"/>
              </w:rPr>
            </w:pPr>
            <w:r>
              <w:rPr>
                <w:rFonts w:ascii="Calibri" w:cs="Calibri" w:eastAsia="Calibri" w:hAnsi="Calibri"/>
                <w:sz w:val="16"/>
                <w:szCs w:val="16"/>
                <w:color w:val="333333"/>
              </w:rPr>
              <w:t>operatng performance,</w:t>
            </w:r>
          </w:p>
        </w:tc>
        <w:tc>
          <w:tcPr>
            <w:tcW w:w="2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880" w:type="dxa"/>
            <w:vAlign w:val="bottom"/>
            <w:vMerge w:val="restart"/>
          </w:tcPr>
          <w:p>
            <w:pPr>
              <w:spacing w:after="0"/>
              <w:rPr>
                <w:sz w:val="20"/>
                <w:szCs w:val="20"/>
                <w:color w:val="auto"/>
              </w:rPr>
            </w:pPr>
            <w:r>
              <w:rPr>
                <w:rFonts w:ascii="Calibri" w:cs="Calibri" w:eastAsia="Calibri" w:hAnsi="Calibri"/>
                <w:sz w:val="16"/>
                <w:szCs w:val="16"/>
                <w:b w:val="1"/>
                <w:bCs w:val="1"/>
                <w:color w:val="333333"/>
              </w:rPr>
              <w:t>Adjusted EBITDA</w:t>
            </w:r>
          </w:p>
        </w:tc>
        <w:tc>
          <w:tcPr>
            <w:tcW w:w="2260" w:type="dxa"/>
            <w:vAlign w:val="bottom"/>
            <w:vMerge w:val="continue"/>
          </w:tcPr>
          <w:p>
            <w:pPr>
              <w:spacing w:after="0"/>
              <w:rPr>
                <w:sz w:val="11"/>
                <w:szCs w:val="11"/>
                <w:color w:val="auto"/>
              </w:rPr>
            </w:pPr>
          </w:p>
        </w:tc>
        <w:tc>
          <w:tcPr>
            <w:tcW w:w="2340" w:type="dxa"/>
            <w:vAlign w:val="bottom"/>
            <w:vMerge w:val="restart"/>
          </w:tcPr>
          <w:p>
            <w:pPr>
              <w:jc w:val="center"/>
              <w:ind w:left="340"/>
              <w:spacing w:after="0"/>
              <w:rPr>
                <w:sz w:val="20"/>
                <w:szCs w:val="20"/>
                <w:color w:val="auto"/>
              </w:rPr>
            </w:pPr>
            <w:r>
              <w:rPr>
                <w:rFonts w:ascii="Calibri" w:cs="Calibri" w:eastAsia="Calibri" w:hAnsi="Calibri"/>
                <w:sz w:val="16"/>
                <w:szCs w:val="16"/>
                <w:color w:val="333333"/>
                <w:w w:val="99"/>
              </w:rPr>
              <w:t>excluding the impact of</w:t>
            </w:r>
          </w:p>
        </w:tc>
        <w:tc>
          <w:tcPr>
            <w:tcW w:w="2420" w:type="dxa"/>
            <w:vAlign w:val="bottom"/>
            <w:vMerge w:val="restart"/>
          </w:tcPr>
          <w:p>
            <w:pPr>
              <w:jc w:val="center"/>
              <w:ind w:left="320"/>
              <w:spacing w:after="0"/>
              <w:rPr>
                <w:sz w:val="20"/>
                <w:szCs w:val="20"/>
                <w:color w:val="auto"/>
              </w:rPr>
            </w:pPr>
            <w:r>
              <w:rPr>
                <w:rFonts w:ascii="Calibri" w:cs="Calibri" w:eastAsia="Calibri" w:hAnsi="Calibri"/>
                <w:sz w:val="16"/>
                <w:szCs w:val="16"/>
                <w:b w:val="1"/>
                <w:bCs w:val="1"/>
                <w:color w:val="333333"/>
              </w:rPr>
              <w:t>33.3%</w:t>
            </w: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80" w:type="dxa"/>
            <w:vAlign w:val="bottom"/>
            <w:vMerge w:val="continue"/>
          </w:tcPr>
          <w:p>
            <w:pPr>
              <w:spacing w:after="0"/>
              <w:rPr>
                <w:sz w:val="6"/>
                <w:szCs w:val="6"/>
                <w:color w:val="auto"/>
              </w:rPr>
            </w:pPr>
          </w:p>
        </w:tc>
        <w:tc>
          <w:tcPr>
            <w:tcW w:w="2260" w:type="dxa"/>
            <w:vAlign w:val="bottom"/>
            <w:vMerge w:val="restart"/>
          </w:tcPr>
          <w:p>
            <w:pPr>
              <w:jc w:val="center"/>
              <w:ind w:left="320"/>
              <w:spacing w:after="0"/>
              <w:rPr>
                <w:sz w:val="20"/>
                <w:szCs w:val="20"/>
                <w:color w:val="auto"/>
              </w:rPr>
            </w:pPr>
            <w:r>
              <w:rPr>
                <w:rFonts w:ascii="Calibri" w:cs="Calibri" w:eastAsia="Calibri" w:hAnsi="Calibri"/>
                <w:sz w:val="16"/>
                <w:szCs w:val="16"/>
                <w:color w:val="333333"/>
                <w:w w:val="98"/>
              </w:rPr>
              <w:t>growth</w:t>
            </w:r>
          </w:p>
        </w:tc>
        <w:tc>
          <w:tcPr>
            <w:tcW w:w="2340" w:type="dxa"/>
            <w:vAlign w:val="bottom"/>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2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2340" w:type="dxa"/>
            <w:vAlign w:val="bottom"/>
            <w:vMerge w:val="restart"/>
          </w:tcPr>
          <w:p>
            <w:pPr>
              <w:jc w:val="center"/>
              <w:ind w:left="320"/>
              <w:spacing w:after="0" w:line="291" w:lineRule="exact"/>
              <w:rPr>
                <w:sz w:val="20"/>
                <w:szCs w:val="20"/>
                <w:color w:val="auto"/>
              </w:rPr>
            </w:pPr>
            <w:r>
              <w:rPr>
                <w:rFonts w:ascii="Calibri" w:cs="Calibri" w:eastAsia="Calibri" w:hAnsi="Calibri"/>
                <w:sz w:val="16"/>
                <w:szCs w:val="16"/>
                <w:color w:val="333333"/>
                <w:w w:val="95"/>
              </w:rPr>
              <w:t xml:space="preserve">certain items </w:t>
            </w:r>
            <w:r>
              <w:rPr>
                <w:rFonts w:ascii="Calibri" w:cs="Calibri" w:eastAsia="Calibri" w:hAnsi="Calibri"/>
                <w:sz w:val="24"/>
                <w:szCs w:val="24"/>
                <w:color w:val="333333"/>
                <w:w w:val="95"/>
                <w:vertAlign w:val="superscript"/>
              </w:rPr>
              <w:t>(1)</w:t>
            </w:r>
          </w:p>
        </w:tc>
        <w:tc>
          <w:tcPr>
            <w:tcW w:w="2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80" w:type="dxa"/>
            <w:vAlign w:val="bottom"/>
            <w:tcBorders>
              <w:left w:val="single" w:sz="8" w:color="EFF2EF"/>
              <w:right w:val="single" w:sz="8" w:color="EFF2EF"/>
            </w:tcBorders>
            <w:shd w:val="clear" w:color="auto" w:fill="EFF2EF"/>
          </w:tcPr>
          <w:p>
            <w:pPr>
              <w:spacing w:after="0"/>
              <w:rPr>
                <w:sz w:val="15"/>
                <w:szCs w:val="15"/>
                <w:color w:val="auto"/>
              </w:rPr>
            </w:pPr>
          </w:p>
        </w:tc>
        <w:tc>
          <w:tcPr>
            <w:tcW w:w="2260" w:type="dxa"/>
            <w:vAlign w:val="bottom"/>
            <w:tcBorders>
              <w:right w:val="single" w:sz="8" w:color="EFF2EF"/>
            </w:tcBorders>
            <w:shd w:val="clear" w:color="auto" w:fill="EFF2EF"/>
          </w:tcPr>
          <w:p>
            <w:pPr>
              <w:spacing w:after="0"/>
              <w:rPr>
                <w:sz w:val="15"/>
                <w:szCs w:val="15"/>
                <w:color w:val="auto"/>
              </w:rPr>
            </w:pPr>
          </w:p>
        </w:tc>
        <w:tc>
          <w:tcPr>
            <w:tcW w:w="2340" w:type="dxa"/>
            <w:vAlign w:val="bottom"/>
            <w:tcBorders>
              <w:right w:val="single" w:sz="8" w:color="EFF2EF"/>
            </w:tcBorders>
            <w:shd w:val="clear" w:color="auto" w:fill="EFF2EF"/>
          </w:tcPr>
          <w:p>
            <w:pPr>
              <w:jc w:val="center"/>
              <w:ind w:left="340"/>
              <w:spacing w:after="0" w:line="182" w:lineRule="exact"/>
              <w:rPr>
                <w:sz w:val="20"/>
                <w:szCs w:val="20"/>
                <w:color w:val="auto"/>
              </w:rPr>
            </w:pPr>
            <w:r>
              <w:rPr>
                <w:rFonts w:ascii="Calibri" w:cs="Calibri" w:eastAsia="Calibri" w:hAnsi="Calibri"/>
                <w:sz w:val="16"/>
                <w:szCs w:val="16"/>
                <w:color w:val="333333"/>
                <w:w w:val="99"/>
              </w:rPr>
              <w:t>Measures the Company’s</w:t>
            </w:r>
          </w:p>
        </w:tc>
        <w:tc>
          <w:tcPr>
            <w:tcW w:w="2420" w:type="dxa"/>
            <w:vAlign w:val="bottom"/>
            <w:tcBorders>
              <w:right w:val="single" w:sz="8" w:color="EFF2EF"/>
            </w:tcBorders>
            <w:shd w:val="clear" w:color="auto" w:fill="EFF2EF"/>
          </w:tcPr>
          <w:p>
            <w:pPr>
              <w:spacing w:after="0"/>
              <w:rPr>
                <w:sz w:val="15"/>
                <w:szCs w:val="15"/>
                <w:color w:val="auto"/>
              </w:rPr>
            </w:pPr>
          </w:p>
        </w:tc>
        <w:tc>
          <w:tcPr>
            <w:tcW w:w="202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80" w:type="dxa"/>
            <w:vAlign w:val="bottom"/>
            <w:tcBorders>
              <w:left w:val="single" w:sz="8" w:color="EFF2EF"/>
              <w:right w:val="single" w:sz="8" w:color="EFF2EF"/>
            </w:tcBorders>
            <w:shd w:val="clear" w:color="auto" w:fill="EFF2EF"/>
          </w:tcPr>
          <w:p>
            <w:pPr>
              <w:spacing w:after="0"/>
              <w:rPr>
                <w:sz w:val="16"/>
                <w:szCs w:val="16"/>
                <w:color w:val="auto"/>
              </w:rPr>
            </w:pPr>
          </w:p>
        </w:tc>
        <w:tc>
          <w:tcPr>
            <w:tcW w:w="2260" w:type="dxa"/>
            <w:vAlign w:val="bottom"/>
            <w:tcBorders>
              <w:right w:val="single" w:sz="8" w:color="EFF2EF"/>
            </w:tcBorders>
            <w:shd w:val="clear" w:color="auto" w:fill="EFF2EF"/>
          </w:tcPr>
          <w:p>
            <w:pPr>
              <w:spacing w:after="0"/>
              <w:rPr>
                <w:sz w:val="16"/>
                <w:szCs w:val="16"/>
                <w:color w:val="auto"/>
              </w:rPr>
            </w:pPr>
          </w:p>
        </w:tc>
        <w:tc>
          <w:tcPr>
            <w:tcW w:w="2340" w:type="dxa"/>
            <w:vAlign w:val="bottom"/>
            <w:tcBorders>
              <w:right w:val="single" w:sz="8" w:color="EFF2EF"/>
            </w:tcBorders>
            <w:shd w:val="clear" w:color="auto" w:fill="EFF2EF"/>
          </w:tcPr>
          <w:p>
            <w:pPr>
              <w:jc w:val="center"/>
              <w:ind w:left="320"/>
              <w:spacing w:after="0" w:line="193" w:lineRule="exact"/>
              <w:rPr>
                <w:sz w:val="20"/>
                <w:szCs w:val="20"/>
                <w:color w:val="auto"/>
              </w:rPr>
            </w:pPr>
            <w:r>
              <w:rPr>
                <w:rFonts w:ascii="Calibri" w:cs="Calibri" w:eastAsia="Calibri" w:hAnsi="Calibri"/>
                <w:sz w:val="16"/>
                <w:szCs w:val="16"/>
                <w:color w:val="333333"/>
                <w:w w:val="99"/>
              </w:rPr>
              <w:t>ability to generate</w:t>
            </w:r>
          </w:p>
        </w:tc>
        <w:tc>
          <w:tcPr>
            <w:tcW w:w="2420" w:type="dxa"/>
            <w:vAlign w:val="bottom"/>
            <w:tcBorders>
              <w:right w:val="single" w:sz="8" w:color="EFF2EF"/>
            </w:tcBorders>
            <w:shd w:val="clear" w:color="auto" w:fill="EFF2EF"/>
          </w:tcPr>
          <w:p>
            <w:pPr>
              <w:spacing w:after="0"/>
              <w:rPr>
                <w:sz w:val="16"/>
                <w:szCs w:val="16"/>
                <w:color w:val="auto"/>
              </w:rPr>
            </w:pPr>
          </w:p>
        </w:tc>
        <w:tc>
          <w:tcPr>
            <w:tcW w:w="2020" w:type="dxa"/>
            <w:vAlign w:val="bottom"/>
            <w:shd w:val="clear" w:color="auto" w:fill="EFF2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EFF2EF"/>
              <w:right w:val="single" w:sz="8" w:color="EFF2EF"/>
            </w:tcBorders>
            <w:shd w:val="clear" w:color="auto" w:fill="EFF2EF"/>
          </w:tcPr>
          <w:p>
            <w:pPr>
              <w:spacing w:after="0"/>
              <w:rPr>
                <w:sz w:val="17"/>
                <w:szCs w:val="17"/>
                <w:color w:val="auto"/>
              </w:rPr>
            </w:pPr>
          </w:p>
        </w:tc>
        <w:tc>
          <w:tcPr>
            <w:tcW w:w="2260" w:type="dxa"/>
            <w:vAlign w:val="bottom"/>
            <w:tcBorders>
              <w:right w:val="single" w:sz="8" w:color="EFF2EF"/>
            </w:tcBorders>
            <w:vMerge w:val="restart"/>
            <w:shd w:val="clear" w:color="auto" w:fill="EFF2EF"/>
          </w:tcPr>
          <w:p>
            <w:pPr>
              <w:jc w:val="center"/>
              <w:ind w:left="320"/>
              <w:spacing w:after="0"/>
              <w:rPr>
                <w:sz w:val="20"/>
                <w:szCs w:val="20"/>
                <w:color w:val="auto"/>
              </w:rPr>
            </w:pPr>
            <w:r>
              <w:rPr>
                <w:rFonts w:ascii="Calibri" w:cs="Calibri" w:eastAsia="Calibri" w:hAnsi="Calibri"/>
                <w:sz w:val="16"/>
                <w:szCs w:val="16"/>
                <w:color w:val="333333"/>
                <w:w w:val="99"/>
              </w:rPr>
              <w:t>Deliver Adjusted EPS</w:t>
            </w:r>
          </w:p>
        </w:tc>
        <w:tc>
          <w:tcPr>
            <w:tcW w:w="2340" w:type="dxa"/>
            <w:vAlign w:val="bottom"/>
            <w:tcBorders>
              <w:right w:val="single" w:sz="8" w:color="EFF2EF"/>
            </w:tcBorders>
            <w:shd w:val="clear" w:color="auto" w:fill="EFF2EF"/>
          </w:tcPr>
          <w:p>
            <w:pPr>
              <w:jc w:val="center"/>
              <w:ind w:left="320"/>
              <w:spacing w:after="0"/>
              <w:rPr>
                <w:sz w:val="20"/>
                <w:szCs w:val="20"/>
                <w:color w:val="auto"/>
              </w:rPr>
            </w:pPr>
            <w:r>
              <w:rPr>
                <w:rFonts w:ascii="Calibri" w:cs="Calibri" w:eastAsia="Calibri" w:hAnsi="Calibri"/>
                <w:sz w:val="16"/>
                <w:szCs w:val="16"/>
                <w:color w:val="333333"/>
              </w:rPr>
              <w:t>income per share,</w:t>
            </w:r>
          </w:p>
        </w:tc>
        <w:tc>
          <w:tcPr>
            <w:tcW w:w="2420" w:type="dxa"/>
            <w:vAlign w:val="bottom"/>
            <w:tcBorders>
              <w:right w:val="single" w:sz="8" w:color="EFF2EF"/>
            </w:tcBorders>
            <w:shd w:val="clear" w:color="auto" w:fill="EFF2EF"/>
          </w:tcPr>
          <w:p>
            <w:pPr>
              <w:spacing w:after="0"/>
              <w:rPr>
                <w:sz w:val="17"/>
                <w:szCs w:val="17"/>
                <w:color w:val="auto"/>
              </w:rPr>
            </w:pPr>
          </w:p>
        </w:tc>
        <w:tc>
          <w:tcPr>
            <w:tcW w:w="202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80" w:type="dxa"/>
            <w:vAlign w:val="bottom"/>
            <w:tcBorders>
              <w:left w:val="single" w:sz="8" w:color="EFF2EF"/>
              <w:right w:val="single" w:sz="8" w:color="EFF2EF"/>
            </w:tcBorders>
            <w:vMerge w:val="restart"/>
            <w:shd w:val="clear" w:color="auto" w:fill="EFF2EF"/>
          </w:tcPr>
          <w:p>
            <w:pPr>
              <w:spacing w:after="0"/>
              <w:rPr>
                <w:sz w:val="20"/>
                <w:szCs w:val="20"/>
                <w:color w:val="auto"/>
              </w:rPr>
            </w:pPr>
            <w:r>
              <w:rPr>
                <w:rFonts w:ascii="Calibri" w:cs="Calibri" w:eastAsia="Calibri" w:hAnsi="Calibri"/>
                <w:sz w:val="16"/>
                <w:szCs w:val="16"/>
                <w:b w:val="1"/>
                <w:bCs w:val="1"/>
                <w:color w:val="333333"/>
              </w:rPr>
              <w:t>Adjusted EPS</w:t>
            </w:r>
          </w:p>
        </w:tc>
        <w:tc>
          <w:tcPr>
            <w:tcW w:w="2260" w:type="dxa"/>
            <w:vAlign w:val="bottom"/>
            <w:tcBorders>
              <w:right w:val="single" w:sz="8" w:color="EFF2EF"/>
            </w:tcBorders>
            <w:vMerge w:val="continue"/>
            <w:shd w:val="clear" w:color="auto" w:fill="EFF2EF"/>
          </w:tcPr>
          <w:p>
            <w:pPr>
              <w:spacing w:after="0"/>
              <w:rPr>
                <w:sz w:val="15"/>
                <w:szCs w:val="15"/>
                <w:color w:val="auto"/>
              </w:rPr>
            </w:pPr>
          </w:p>
        </w:tc>
        <w:tc>
          <w:tcPr>
            <w:tcW w:w="2340" w:type="dxa"/>
            <w:vAlign w:val="bottom"/>
            <w:tcBorders>
              <w:right w:val="single" w:sz="8" w:color="EFF2EF"/>
            </w:tcBorders>
            <w:shd w:val="clear" w:color="auto" w:fill="EFF2EF"/>
          </w:tcPr>
          <w:p>
            <w:pPr>
              <w:jc w:val="center"/>
              <w:ind w:left="340"/>
              <w:spacing w:after="0" w:line="182" w:lineRule="exact"/>
              <w:rPr>
                <w:sz w:val="20"/>
                <w:szCs w:val="20"/>
                <w:color w:val="auto"/>
              </w:rPr>
            </w:pPr>
            <w:r>
              <w:rPr>
                <w:rFonts w:ascii="Calibri" w:cs="Calibri" w:eastAsia="Calibri" w:hAnsi="Calibri"/>
                <w:sz w:val="16"/>
                <w:szCs w:val="16"/>
                <w:color w:val="333333"/>
                <w:w w:val="99"/>
              </w:rPr>
              <w:t>excluding the impact of</w:t>
            </w:r>
          </w:p>
        </w:tc>
        <w:tc>
          <w:tcPr>
            <w:tcW w:w="2420" w:type="dxa"/>
            <w:vAlign w:val="bottom"/>
            <w:tcBorders>
              <w:right w:val="single" w:sz="8" w:color="EFF2EF"/>
            </w:tcBorders>
            <w:vMerge w:val="restart"/>
            <w:shd w:val="clear" w:color="auto" w:fill="EFF2EF"/>
          </w:tcPr>
          <w:p>
            <w:pPr>
              <w:jc w:val="center"/>
              <w:ind w:left="320"/>
              <w:spacing w:after="0"/>
              <w:rPr>
                <w:sz w:val="20"/>
                <w:szCs w:val="20"/>
                <w:color w:val="auto"/>
              </w:rPr>
            </w:pPr>
            <w:r>
              <w:rPr>
                <w:rFonts w:ascii="Calibri" w:cs="Calibri" w:eastAsia="Calibri" w:hAnsi="Calibri"/>
                <w:sz w:val="16"/>
                <w:szCs w:val="16"/>
                <w:b w:val="1"/>
                <w:bCs w:val="1"/>
                <w:color w:val="333333"/>
              </w:rPr>
              <w:t>33.3%</w:t>
            </w:r>
          </w:p>
        </w:tc>
        <w:tc>
          <w:tcPr>
            <w:tcW w:w="2020" w:type="dxa"/>
            <w:vAlign w:val="bottom"/>
            <w:vMerge w:val="restart"/>
            <w:shd w:val="clear" w:color="auto" w:fill="EFF2EF"/>
          </w:tcPr>
          <w:p>
            <w:pPr>
              <w:jc w:val="center"/>
              <w:ind w:left="340"/>
              <w:spacing w:after="0"/>
              <w:rPr>
                <w:sz w:val="20"/>
                <w:szCs w:val="20"/>
                <w:color w:val="auto"/>
              </w:rPr>
            </w:pPr>
            <w:r>
              <w:rPr>
                <w:rFonts w:ascii="Calibri" w:cs="Calibri" w:eastAsia="Calibri" w:hAnsi="Calibri"/>
                <w:sz w:val="16"/>
                <w:szCs w:val="16"/>
                <w:b w:val="1"/>
                <w:bCs w:val="1"/>
                <w:color w:val="333333"/>
                <w:w w:val="99"/>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880" w:type="dxa"/>
            <w:vAlign w:val="bottom"/>
            <w:tcBorders>
              <w:left w:val="single" w:sz="8" w:color="EFF2EF"/>
              <w:right w:val="single" w:sz="8" w:color="EFF2EF"/>
            </w:tcBorders>
            <w:vMerge w:val="continue"/>
            <w:shd w:val="clear" w:color="auto" w:fill="EFF2EF"/>
          </w:tcPr>
          <w:p>
            <w:pPr>
              <w:spacing w:after="0"/>
              <w:rPr>
                <w:sz w:val="7"/>
                <w:szCs w:val="7"/>
                <w:color w:val="auto"/>
              </w:rPr>
            </w:pPr>
          </w:p>
        </w:tc>
        <w:tc>
          <w:tcPr>
            <w:tcW w:w="2260" w:type="dxa"/>
            <w:vAlign w:val="bottom"/>
            <w:tcBorders>
              <w:right w:val="single" w:sz="8" w:color="EFF2EF"/>
            </w:tcBorders>
            <w:vMerge w:val="restart"/>
            <w:shd w:val="clear" w:color="auto" w:fill="EFF2EF"/>
          </w:tcPr>
          <w:p>
            <w:pPr>
              <w:jc w:val="center"/>
              <w:ind w:left="320"/>
              <w:spacing w:after="0" w:line="193" w:lineRule="exact"/>
              <w:rPr>
                <w:sz w:val="20"/>
                <w:szCs w:val="20"/>
                <w:color w:val="auto"/>
              </w:rPr>
            </w:pPr>
            <w:r>
              <w:rPr>
                <w:rFonts w:ascii="Calibri" w:cs="Calibri" w:eastAsia="Calibri" w:hAnsi="Calibri"/>
                <w:sz w:val="16"/>
                <w:szCs w:val="16"/>
                <w:color w:val="333333"/>
                <w:w w:val="98"/>
              </w:rPr>
              <w:t>growth</w:t>
            </w:r>
          </w:p>
        </w:tc>
        <w:tc>
          <w:tcPr>
            <w:tcW w:w="2340" w:type="dxa"/>
            <w:vAlign w:val="bottom"/>
            <w:tcBorders>
              <w:right w:val="single" w:sz="8" w:color="EFF2EF"/>
            </w:tcBorders>
            <w:vMerge w:val="restart"/>
            <w:shd w:val="clear" w:color="auto" w:fill="EFF2EF"/>
          </w:tcPr>
          <w:p>
            <w:pPr>
              <w:jc w:val="center"/>
              <w:ind w:left="320"/>
              <w:spacing w:after="0"/>
              <w:rPr>
                <w:sz w:val="20"/>
                <w:szCs w:val="20"/>
                <w:color w:val="auto"/>
              </w:rPr>
            </w:pPr>
            <w:r>
              <w:rPr>
                <w:rFonts w:ascii="Calibri" w:cs="Calibri" w:eastAsia="Calibri" w:hAnsi="Calibri"/>
                <w:sz w:val="16"/>
                <w:szCs w:val="16"/>
                <w:color w:val="333333"/>
              </w:rPr>
              <w:t>certain items, which is</w:t>
            </w:r>
          </w:p>
        </w:tc>
        <w:tc>
          <w:tcPr>
            <w:tcW w:w="2420" w:type="dxa"/>
            <w:vAlign w:val="bottom"/>
            <w:tcBorders>
              <w:right w:val="single" w:sz="8" w:color="EFF2EF"/>
            </w:tcBorders>
            <w:vMerge w:val="continue"/>
            <w:shd w:val="clear" w:color="auto" w:fill="EFF2EF"/>
          </w:tcPr>
          <w:p>
            <w:pPr>
              <w:spacing w:after="0"/>
              <w:rPr>
                <w:sz w:val="7"/>
                <w:szCs w:val="7"/>
                <w:color w:val="auto"/>
              </w:rPr>
            </w:pPr>
          </w:p>
        </w:tc>
        <w:tc>
          <w:tcPr>
            <w:tcW w:w="2020" w:type="dxa"/>
            <w:vAlign w:val="bottom"/>
            <w:vMerge w:val="continue"/>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80" w:type="dxa"/>
            <w:vAlign w:val="bottom"/>
            <w:tcBorders>
              <w:left w:val="single" w:sz="8" w:color="EFF2EF"/>
              <w:right w:val="single" w:sz="8" w:color="EFF2EF"/>
            </w:tcBorders>
            <w:shd w:val="clear" w:color="auto" w:fill="EFF2EF"/>
          </w:tcPr>
          <w:p>
            <w:pPr>
              <w:spacing w:after="0"/>
              <w:rPr>
                <w:sz w:val="11"/>
                <w:szCs w:val="11"/>
                <w:color w:val="auto"/>
              </w:rPr>
            </w:pPr>
          </w:p>
        </w:tc>
        <w:tc>
          <w:tcPr>
            <w:tcW w:w="2260" w:type="dxa"/>
            <w:vAlign w:val="bottom"/>
            <w:tcBorders>
              <w:right w:val="single" w:sz="8" w:color="EFF2EF"/>
            </w:tcBorders>
            <w:vMerge w:val="continue"/>
            <w:shd w:val="clear" w:color="auto" w:fill="EFF2EF"/>
          </w:tcPr>
          <w:p>
            <w:pPr>
              <w:spacing w:after="0"/>
              <w:rPr>
                <w:sz w:val="11"/>
                <w:szCs w:val="11"/>
                <w:color w:val="auto"/>
              </w:rPr>
            </w:pPr>
          </w:p>
        </w:tc>
        <w:tc>
          <w:tcPr>
            <w:tcW w:w="2340" w:type="dxa"/>
            <w:vAlign w:val="bottom"/>
            <w:tcBorders>
              <w:right w:val="single" w:sz="8" w:color="EFF2EF"/>
            </w:tcBorders>
            <w:vMerge w:val="continue"/>
            <w:shd w:val="clear" w:color="auto" w:fill="EFF2EF"/>
          </w:tcPr>
          <w:p>
            <w:pPr>
              <w:spacing w:after="0"/>
              <w:rPr>
                <w:sz w:val="11"/>
                <w:szCs w:val="11"/>
                <w:color w:val="auto"/>
              </w:rPr>
            </w:pPr>
          </w:p>
        </w:tc>
        <w:tc>
          <w:tcPr>
            <w:tcW w:w="2420" w:type="dxa"/>
            <w:vAlign w:val="bottom"/>
            <w:tcBorders>
              <w:right w:val="single" w:sz="8" w:color="EFF2EF"/>
            </w:tcBorders>
            <w:shd w:val="clear" w:color="auto" w:fill="EFF2EF"/>
          </w:tcPr>
          <w:p>
            <w:pPr>
              <w:spacing w:after="0"/>
              <w:rPr>
                <w:sz w:val="11"/>
                <w:szCs w:val="11"/>
                <w:color w:val="auto"/>
              </w:rPr>
            </w:pPr>
          </w:p>
        </w:tc>
        <w:tc>
          <w:tcPr>
            <w:tcW w:w="2020" w:type="dxa"/>
            <w:vAlign w:val="bottom"/>
            <w:shd w:val="clear" w:color="auto" w:fill="EFF2E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EFF2EF"/>
              <w:right w:val="single" w:sz="8" w:color="EFF2EF"/>
            </w:tcBorders>
            <w:shd w:val="clear" w:color="auto" w:fill="EFF2EF"/>
          </w:tcPr>
          <w:p>
            <w:pPr>
              <w:spacing w:after="0"/>
              <w:rPr>
                <w:sz w:val="17"/>
                <w:szCs w:val="17"/>
                <w:color w:val="auto"/>
              </w:rPr>
            </w:pPr>
          </w:p>
        </w:tc>
        <w:tc>
          <w:tcPr>
            <w:tcW w:w="2260" w:type="dxa"/>
            <w:vAlign w:val="bottom"/>
            <w:tcBorders>
              <w:right w:val="single" w:sz="8" w:color="EFF2EF"/>
            </w:tcBorders>
            <w:shd w:val="clear" w:color="auto" w:fill="EFF2EF"/>
          </w:tcPr>
          <w:p>
            <w:pPr>
              <w:spacing w:after="0"/>
              <w:rPr>
                <w:sz w:val="17"/>
                <w:szCs w:val="17"/>
                <w:color w:val="auto"/>
              </w:rPr>
            </w:pPr>
          </w:p>
        </w:tc>
        <w:tc>
          <w:tcPr>
            <w:tcW w:w="2340" w:type="dxa"/>
            <w:vAlign w:val="bottom"/>
            <w:tcBorders>
              <w:right w:val="single" w:sz="8" w:color="EFF2EF"/>
            </w:tcBorders>
            <w:shd w:val="clear" w:color="auto" w:fill="EFF2EF"/>
          </w:tcPr>
          <w:p>
            <w:pPr>
              <w:jc w:val="center"/>
              <w:ind w:left="320"/>
              <w:spacing w:after="0"/>
              <w:rPr>
                <w:sz w:val="20"/>
                <w:szCs w:val="20"/>
                <w:color w:val="auto"/>
              </w:rPr>
            </w:pPr>
            <w:r>
              <w:rPr>
                <w:rFonts w:ascii="Calibri" w:cs="Calibri" w:eastAsia="Calibri" w:hAnsi="Calibri"/>
                <w:sz w:val="16"/>
                <w:szCs w:val="16"/>
                <w:color w:val="333333"/>
              </w:rPr>
              <w:t>indicatve of shareholder</w:t>
            </w:r>
          </w:p>
        </w:tc>
        <w:tc>
          <w:tcPr>
            <w:tcW w:w="2420" w:type="dxa"/>
            <w:vAlign w:val="bottom"/>
            <w:tcBorders>
              <w:right w:val="single" w:sz="8" w:color="EFF2EF"/>
            </w:tcBorders>
            <w:shd w:val="clear" w:color="auto" w:fill="EFF2EF"/>
          </w:tcPr>
          <w:p>
            <w:pPr>
              <w:spacing w:after="0"/>
              <w:rPr>
                <w:sz w:val="17"/>
                <w:szCs w:val="17"/>
                <w:color w:val="auto"/>
              </w:rPr>
            </w:pPr>
          </w:p>
        </w:tc>
        <w:tc>
          <w:tcPr>
            <w:tcW w:w="202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880" w:type="dxa"/>
            <w:vAlign w:val="bottom"/>
            <w:tcBorders>
              <w:left w:val="single" w:sz="8" w:color="EFF2EF"/>
              <w:right w:val="single" w:sz="8" w:color="EFF2EF"/>
            </w:tcBorders>
            <w:shd w:val="clear" w:color="auto" w:fill="EFF2EF"/>
          </w:tcPr>
          <w:p>
            <w:pPr>
              <w:spacing w:after="0"/>
              <w:rPr>
                <w:sz w:val="24"/>
                <w:szCs w:val="24"/>
                <w:color w:val="auto"/>
              </w:rPr>
            </w:pPr>
          </w:p>
        </w:tc>
        <w:tc>
          <w:tcPr>
            <w:tcW w:w="2260" w:type="dxa"/>
            <w:vAlign w:val="bottom"/>
            <w:tcBorders>
              <w:right w:val="single" w:sz="8" w:color="EFF2EF"/>
            </w:tcBorders>
            <w:shd w:val="clear" w:color="auto" w:fill="EFF2EF"/>
          </w:tcPr>
          <w:p>
            <w:pPr>
              <w:spacing w:after="0"/>
              <w:rPr>
                <w:sz w:val="24"/>
                <w:szCs w:val="24"/>
                <w:color w:val="auto"/>
              </w:rPr>
            </w:pPr>
          </w:p>
        </w:tc>
        <w:tc>
          <w:tcPr>
            <w:tcW w:w="2340" w:type="dxa"/>
            <w:vAlign w:val="bottom"/>
            <w:tcBorders>
              <w:right w:val="single" w:sz="8" w:color="EFF2EF"/>
            </w:tcBorders>
            <w:shd w:val="clear" w:color="auto" w:fill="EFF2EF"/>
          </w:tcPr>
          <w:p>
            <w:pPr>
              <w:jc w:val="center"/>
              <w:ind w:left="340"/>
              <w:spacing w:after="0"/>
              <w:rPr>
                <w:sz w:val="20"/>
                <w:szCs w:val="20"/>
                <w:color w:val="auto"/>
              </w:rPr>
            </w:pPr>
            <w:r>
              <w:rPr>
                <w:rFonts w:ascii="Calibri" w:cs="Calibri" w:eastAsia="Calibri" w:hAnsi="Calibri"/>
                <w:sz w:val="16"/>
                <w:szCs w:val="16"/>
                <w:color w:val="333333"/>
                <w:w w:val="92"/>
              </w:rPr>
              <w:t xml:space="preserve">value </w:t>
            </w:r>
            <w:r>
              <w:rPr>
                <w:rFonts w:ascii="Calibri" w:cs="Calibri" w:eastAsia="Calibri" w:hAnsi="Calibri"/>
                <w:sz w:val="24"/>
                <w:szCs w:val="24"/>
                <w:color w:val="333333"/>
                <w:w w:val="92"/>
                <w:vertAlign w:val="superscript"/>
              </w:rPr>
              <w:t>(1)</w:t>
            </w:r>
          </w:p>
        </w:tc>
        <w:tc>
          <w:tcPr>
            <w:tcW w:w="2420" w:type="dxa"/>
            <w:vAlign w:val="bottom"/>
            <w:tcBorders>
              <w:right w:val="single" w:sz="8" w:color="EFF2EF"/>
            </w:tcBorders>
            <w:shd w:val="clear" w:color="auto" w:fill="EFF2EF"/>
          </w:tcPr>
          <w:p>
            <w:pPr>
              <w:spacing w:after="0"/>
              <w:rPr>
                <w:sz w:val="24"/>
                <w:szCs w:val="24"/>
                <w:color w:val="auto"/>
              </w:rPr>
            </w:pPr>
          </w:p>
        </w:tc>
        <w:tc>
          <w:tcPr>
            <w:tcW w:w="2020" w:type="dxa"/>
            <w:vAlign w:val="bottom"/>
            <w:shd w:val="clear" w:color="auto" w:fill="EFF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80" w:type="dxa"/>
            <w:vAlign w:val="bottom"/>
            <w:tcBorders>
              <w:left w:val="single" w:sz="8" w:color="EFF2EF"/>
              <w:right w:val="single" w:sz="8" w:color="EFF2EF"/>
            </w:tcBorders>
            <w:shd w:val="clear" w:color="auto" w:fill="EFF2EF"/>
          </w:tcPr>
          <w:p>
            <w:pPr>
              <w:spacing w:after="0"/>
              <w:rPr>
                <w:sz w:val="6"/>
                <w:szCs w:val="6"/>
                <w:color w:val="auto"/>
              </w:rPr>
            </w:pPr>
          </w:p>
        </w:tc>
        <w:tc>
          <w:tcPr>
            <w:tcW w:w="2260" w:type="dxa"/>
            <w:vAlign w:val="bottom"/>
            <w:tcBorders>
              <w:right w:val="single" w:sz="8" w:color="EFF2EF"/>
            </w:tcBorders>
            <w:shd w:val="clear" w:color="auto" w:fill="EFF2EF"/>
          </w:tcPr>
          <w:p>
            <w:pPr>
              <w:spacing w:after="0"/>
              <w:rPr>
                <w:sz w:val="6"/>
                <w:szCs w:val="6"/>
                <w:color w:val="auto"/>
              </w:rPr>
            </w:pPr>
          </w:p>
        </w:tc>
        <w:tc>
          <w:tcPr>
            <w:tcW w:w="2340" w:type="dxa"/>
            <w:vAlign w:val="bottom"/>
            <w:tcBorders>
              <w:right w:val="single" w:sz="8" w:color="EFF2EF"/>
            </w:tcBorders>
            <w:shd w:val="clear" w:color="auto" w:fill="EFF2EF"/>
          </w:tcPr>
          <w:p>
            <w:pPr>
              <w:spacing w:after="0"/>
              <w:rPr>
                <w:sz w:val="6"/>
                <w:szCs w:val="6"/>
                <w:color w:val="auto"/>
              </w:rPr>
            </w:pPr>
          </w:p>
        </w:tc>
        <w:tc>
          <w:tcPr>
            <w:tcW w:w="2420" w:type="dxa"/>
            <w:vAlign w:val="bottom"/>
            <w:tcBorders>
              <w:right w:val="single" w:sz="8" w:color="EFF2EF"/>
            </w:tcBorders>
            <w:shd w:val="clear" w:color="auto" w:fill="EFF2EF"/>
          </w:tcPr>
          <w:p>
            <w:pPr>
              <w:spacing w:after="0"/>
              <w:rPr>
                <w:sz w:val="6"/>
                <w:szCs w:val="6"/>
                <w:color w:val="auto"/>
              </w:rPr>
            </w:pPr>
          </w:p>
        </w:tc>
        <w:tc>
          <w:tcPr>
            <w:tcW w:w="2020" w:type="dxa"/>
            <w:vAlign w:val="bottom"/>
            <w:shd w:val="clear" w:color="auto" w:fill="EFF2E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1880" w:type="dxa"/>
            <w:vAlign w:val="bottom"/>
          </w:tcPr>
          <w:p>
            <w:pPr>
              <w:spacing w:after="0"/>
              <w:rPr>
                <w:sz w:val="24"/>
                <w:szCs w:val="24"/>
                <w:color w:val="auto"/>
              </w:rPr>
            </w:pPr>
          </w:p>
        </w:tc>
        <w:tc>
          <w:tcPr>
            <w:tcW w:w="2260" w:type="dxa"/>
            <w:vAlign w:val="bottom"/>
          </w:tcPr>
          <w:p>
            <w:pPr>
              <w:jc w:val="center"/>
              <w:ind w:left="300"/>
              <w:spacing w:after="0"/>
              <w:rPr>
                <w:sz w:val="20"/>
                <w:szCs w:val="20"/>
                <w:color w:val="auto"/>
              </w:rPr>
            </w:pPr>
            <w:r>
              <w:rPr>
                <w:rFonts w:ascii="Calibri" w:cs="Calibri" w:eastAsia="Calibri" w:hAnsi="Calibri"/>
                <w:sz w:val="16"/>
                <w:szCs w:val="16"/>
                <w:color w:val="333333"/>
              </w:rPr>
              <w:t>Incentvize executves</w:t>
            </w:r>
          </w:p>
        </w:tc>
        <w:tc>
          <w:tcPr>
            <w:tcW w:w="2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2260" w:type="dxa"/>
            <w:vAlign w:val="bottom"/>
          </w:tcPr>
          <w:p>
            <w:pPr>
              <w:jc w:val="center"/>
              <w:ind w:left="300"/>
              <w:spacing w:after="0"/>
              <w:rPr>
                <w:sz w:val="20"/>
                <w:szCs w:val="20"/>
                <w:color w:val="auto"/>
              </w:rPr>
            </w:pPr>
            <w:r>
              <w:rPr>
                <w:rFonts w:ascii="Calibri" w:cs="Calibri" w:eastAsia="Calibri" w:hAnsi="Calibri"/>
                <w:sz w:val="16"/>
                <w:szCs w:val="16"/>
                <w:color w:val="333333"/>
              </w:rPr>
              <w:t>to achieve</w:t>
            </w: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80" w:type="dxa"/>
            <w:vAlign w:val="bottom"/>
            <w:vMerge w:val="restart"/>
          </w:tcPr>
          <w:p>
            <w:pPr>
              <w:spacing w:after="0"/>
              <w:rPr>
                <w:sz w:val="20"/>
                <w:szCs w:val="20"/>
                <w:color w:val="auto"/>
              </w:rPr>
            </w:pPr>
            <w:r>
              <w:rPr>
                <w:rFonts w:ascii="Calibri" w:cs="Calibri" w:eastAsia="Calibri" w:hAnsi="Calibri"/>
                <w:sz w:val="16"/>
                <w:szCs w:val="16"/>
                <w:b w:val="1"/>
                <w:bCs w:val="1"/>
                <w:color w:val="333333"/>
              </w:rPr>
              <w:t>Individual Performance</w:t>
            </w:r>
          </w:p>
        </w:tc>
        <w:tc>
          <w:tcPr>
            <w:tcW w:w="2260" w:type="dxa"/>
            <w:vAlign w:val="bottom"/>
          </w:tcPr>
          <w:p>
            <w:pPr>
              <w:jc w:val="center"/>
              <w:ind w:left="320"/>
              <w:spacing w:after="0"/>
              <w:rPr>
                <w:sz w:val="20"/>
                <w:szCs w:val="20"/>
                <w:color w:val="auto"/>
              </w:rPr>
            </w:pPr>
            <w:r>
              <w:rPr>
                <w:rFonts w:ascii="Calibri" w:cs="Calibri" w:eastAsia="Calibri" w:hAnsi="Calibri"/>
                <w:sz w:val="16"/>
                <w:szCs w:val="16"/>
                <w:color w:val="333333"/>
                <w:w w:val="98"/>
              </w:rPr>
              <w:t>pre-established short-</w:t>
            </w:r>
          </w:p>
        </w:tc>
        <w:tc>
          <w:tcPr>
            <w:tcW w:w="2340" w:type="dxa"/>
            <w:vAlign w:val="bottom"/>
          </w:tcPr>
          <w:p>
            <w:pPr>
              <w:jc w:val="center"/>
              <w:ind w:left="320"/>
              <w:spacing w:after="0"/>
              <w:rPr>
                <w:sz w:val="20"/>
                <w:szCs w:val="20"/>
                <w:color w:val="auto"/>
              </w:rPr>
            </w:pPr>
            <w:r>
              <w:rPr>
                <w:rFonts w:ascii="Calibri" w:cs="Calibri" w:eastAsia="Calibri" w:hAnsi="Calibri"/>
                <w:sz w:val="16"/>
                <w:szCs w:val="16"/>
                <w:color w:val="333333"/>
                <w:w w:val="99"/>
              </w:rPr>
              <w:t>Measures individual NEO</w:t>
            </w:r>
          </w:p>
        </w:tc>
        <w:tc>
          <w:tcPr>
            <w:tcW w:w="2420" w:type="dxa"/>
            <w:vAlign w:val="bottom"/>
            <w:vMerge w:val="restart"/>
          </w:tcPr>
          <w:p>
            <w:pPr>
              <w:jc w:val="center"/>
              <w:ind w:left="320"/>
              <w:spacing w:after="0"/>
              <w:rPr>
                <w:sz w:val="20"/>
                <w:szCs w:val="20"/>
                <w:color w:val="auto"/>
              </w:rPr>
            </w:pPr>
            <w:r>
              <w:rPr>
                <w:rFonts w:ascii="Calibri" w:cs="Calibri" w:eastAsia="Calibri" w:hAnsi="Calibri"/>
                <w:sz w:val="16"/>
                <w:szCs w:val="16"/>
                <w:b w:val="1"/>
                <w:bCs w:val="1"/>
                <w:color w:val="333333"/>
              </w:rPr>
              <w:t>33.4%</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880" w:type="dxa"/>
            <w:vAlign w:val="bottom"/>
            <w:vMerge w:val="continue"/>
          </w:tcPr>
          <w:p>
            <w:pPr>
              <w:spacing w:after="0"/>
              <w:rPr>
                <w:sz w:val="8"/>
                <w:szCs w:val="8"/>
                <w:color w:val="auto"/>
              </w:rPr>
            </w:pPr>
          </w:p>
        </w:tc>
        <w:tc>
          <w:tcPr>
            <w:tcW w:w="2260" w:type="dxa"/>
            <w:vAlign w:val="bottom"/>
            <w:vMerge w:val="restart"/>
          </w:tcPr>
          <w:p>
            <w:pPr>
              <w:jc w:val="center"/>
              <w:ind w:left="300"/>
              <w:spacing w:after="0"/>
              <w:rPr>
                <w:sz w:val="20"/>
                <w:szCs w:val="20"/>
                <w:color w:val="auto"/>
              </w:rPr>
            </w:pPr>
            <w:r>
              <w:rPr>
                <w:rFonts w:ascii="Calibri" w:cs="Calibri" w:eastAsia="Calibri" w:hAnsi="Calibri"/>
                <w:sz w:val="16"/>
                <w:szCs w:val="16"/>
                <w:color w:val="333333"/>
                <w:w w:val="99"/>
              </w:rPr>
              <w:t>term and long-term</w:t>
            </w:r>
          </w:p>
        </w:tc>
        <w:tc>
          <w:tcPr>
            <w:tcW w:w="2340" w:type="dxa"/>
            <w:vAlign w:val="bottom"/>
            <w:vMerge w:val="restart"/>
          </w:tcPr>
          <w:p>
            <w:pPr>
              <w:jc w:val="center"/>
              <w:ind w:left="320"/>
              <w:spacing w:after="0"/>
              <w:rPr>
                <w:sz w:val="20"/>
                <w:szCs w:val="20"/>
                <w:color w:val="auto"/>
              </w:rPr>
            </w:pPr>
            <w:r>
              <w:rPr>
                <w:rFonts w:ascii="Calibri" w:cs="Calibri" w:eastAsia="Calibri" w:hAnsi="Calibri"/>
                <w:sz w:val="16"/>
                <w:szCs w:val="16"/>
                <w:color w:val="333333"/>
              </w:rPr>
              <w:t>success</w:t>
            </w:r>
          </w:p>
        </w:tc>
        <w:tc>
          <w:tcPr>
            <w:tcW w:w="242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2260" w:type="dxa"/>
            <w:vAlign w:val="bottom"/>
          </w:tcPr>
          <w:p>
            <w:pPr>
              <w:jc w:val="center"/>
              <w:ind w:left="300"/>
              <w:spacing w:after="0"/>
              <w:rPr>
                <w:sz w:val="20"/>
                <w:szCs w:val="20"/>
                <w:color w:val="auto"/>
              </w:rPr>
            </w:pPr>
            <w:r>
              <w:rPr>
                <w:rFonts w:ascii="Calibri" w:cs="Calibri" w:eastAsia="Calibri" w:hAnsi="Calibri"/>
                <w:sz w:val="16"/>
                <w:szCs w:val="16"/>
                <w:color w:val="333333"/>
              </w:rPr>
              <w:t>strategic and business</w:t>
            </w: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2260" w:type="dxa"/>
            <w:vAlign w:val="bottom"/>
          </w:tcPr>
          <w:p>
            <w:pPr>
              <w:jc w:val="center"/>
              <w:ind w:left="320"/>
              <w:spacing w:after="0"/>
              <w:rPr>
                <w:sz w:val="20"/>
                <w:szCs w:val="20"/>
                <w:color w:val="auto"/>
              </w:rPr>
            </w:pPr>
            <w:r>
              <w:rPr>
                <w:rFonts w:ascii="Calibri" w:cs="Calibri" w:eastAsia="Calibri" w:hAnsi="Calibri"/>
                <w:sz w:val="16"/>
                <w:szCs w:val="16"/>
                <w:color w:val="333333"/>
              </w:rPr>
              <w:t>objectves</w:t>
            </w: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102235</wp:posOffset>
            </wp:positionV>
            <wp:extent cx="14522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80" w:lineRule="exact"/>
        <w:rPr>
          <w:sz w:val="20"/>
          <w:szCs w:val="20"/>
          <w:color w:val="auto"/>
        </w:rPr>
      </w:pPr>
    </w:p>
    <w:p>
      <w:pPr>
        <w:ind w:left="600" w:right="20" w:hanging="433"/>
        <w:spacing w:after="0" w:line="207" w:lineRule="auto"/>
        <w:tabs>
          <w:tab w:leader="none" w:pos="600" w:val="left"/>
        </w:tabs>
        <w:numPr>
          <w:ilvl w:val="0"/>
          <w:numId w:val="82"/>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The Compensaton Commitee did not further adjust the fnancial performance metrics defned in </w:t>
      </w:r>
      <w:r>
        <w:rPr>
          <w:rFonts w:ascii="Calibri" w:cs="Calibri" w:eastAsia="Calibri" w:hAnsi="Calibri"/>
          <w:sz w:val="14"/>
          <w:szCs w:val="14"/>
          <w:u w:val="single" w:color="auto"/>
          <w:color w:val="0591DB"/>
        </w:rPr>
        <w:t>Appendix A</w:t>
      </w:r>
      <w:r>
        <w:rPr>
          <w:rFonts w:ascii="Calibri" w:cs="Calibri" w:eastAsia="Calibri" w:hAnsi="Calibri"/>
          <w:sz w:val="14"/>
          <w:szCs w:val="14"/>
          <w:color w:val="333333"/>
        </w:rPr>
        <w:t xml:space="preserve"> to determine 2025 AIP. See the secton of this CD&amp;A ttled “— 2025 Pay Outcomes — 2025 Annual Incentve Pay — Financial Metrics” beginning on </w:t>
      </w:r>
      <w:r>
        <w:rPr>
          <w:rFonts w:ascii="Calibri" w:cs="Calibri" w:eastAsia="Calibri" w:hAnsi="Calibri"/>
          <w:sz w:val="14"/>
          <w:szCs w:val="14"/>
          <w:color w:val="0591DB"/>
        </w:rPr>
        <w:t>page 68</w:t>
      </w:r>
      <w:r>
        <w:rPr>
          <w:rFonts w:ascii="Calibri" w:cs="Calibri" w:eastAsia="Calibri" w:hAnsi="Calibri"/>
          <w:sz w:val="14"/>
          <w:szCs w:val="14"/>
          <w:color w:val="333333"/>
        </w:rPr>
        <w:t xml:space="preserve"> and </w:t>
      </w:r>
      <w:r>
        <w:rPr>
          <w:rFonts w:ascii="Calibri" w:cs="Calibri" w:eastAsia="Calibri" w:hAnsi="Calibri"/>
          <w:sz w:val="14"/>
          <w:szCs w:val="14"/>
          <w:u w:val="single" w:color="auto"/>
          <w:color w:val="0591DB"/>
        </w:rPr>
        <w:t>Appendix B</w:t>
      </w:r>
      <w:r>
        <w:rPr>
          <w:rFonts w:ascii="Calibri" w:cs="Calibri" w:eastAsia="Calibri" w:hAnsi="Calibri"/>
          <w:sz w:val="14"/>
          <w:szCs w:val="14"/>
          <w:color w:val="333333"/>
        </w:rPr>
        <w:t xml:space="preserve"> for the defnitons of the non-GAAP fnancial measures for determining 2025 AIP of our partcipatng NEOs, and the reconciliatons of such non-GAAP fnancial measures to the most directly comparable GAAP fnancial measures.</w:t>
      </w:r>
    </w:p>
    <w:p>
      <w:pPr>
        <w:spacing w:after="0" w:line="207"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During the frst quarter of 2025, the Compensaton Commitee set the targets for each of the fnancial metrics applicable to all partcipatng NEOs and outlined the key individual performance goals for our CEO for the 2025 bonus year. For the other partcipatng NEOs, the CEO established their individual performance goals in consultaton with them and with the directon of the Compensaton Commitee.</w:t>
      </w:r>
    </w:p>
    <w:p>
      <w:pPr>
        <w:spacing w:after="0" w:line="209" w:lineRule="exact"/>
        <w:rPr>
          <w:sz w:val="20"/>
          <w:szCs w:val="20"/>
          <w:color w:val="auto"/>
        </w:rPr>
      </w:pPr>
    </w:p>
    <w:p>
      <w:pPr>
        <w:ind w:left="600"/>
        <w:spacing w:after="0"/>
        <w:rPr>
          <w:sz w:val="20"/>
          <w:szCs w:val="20"/>
          <w:color w:val="auto"/>
        </w:rPr>
      </w:pPr>
      <w:r>
        <w:rPr>
          <w:rFonts w:ascii="Calibri" w:cs="Calibri" w:eastAsia="Calibri" w:hAnsi="Calibri"/>
          <w:sz w:val="17"/>
          <w:szCs w:val="17"/>
          <w:i w:val="1"/>
          <w:iCs w:val="1"/>
          <w:color w:val="0591DB"/>
        </w:rPr>
        <w:t>Financial Metrics</w:t>
      </w:r>
    </w:p>
    <w:p>
      <w:pPr>
        <w:spacing w:after="0" w:line="105"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During the frst quarter of 2025, the Compensaton Commitee set the target for the fnancial metrics of Adjusted EBITDA and Adjusted EPS and outlined the key individual performance goals for our CEO for the 2025 bonus year. For other NEOs, the CEO established their individual performance goals in consultaton with them and with the directon of the Compensaton Commitee. The fnancial metrics were set taking into account the Company’s strategic initatves, historical fnancial performance, internal budgetng for the relevant year, external guidance, and expected business and market conditons. The Compensaton Commitee believes that the fnancial metrics and AIP opportunites set by the Compensaton Commitee for 2025 AIP focused the NEOs’ atenton on factors that drive business growth and shareholder value during a challenging business environment.</w:t>
      </w:r>
    </w:p>
    <w:p>
      <w:pPr>
        <w:spacing w:after="0" w:line="214" w:lineRule="exact"/>
        <w:rPr>
          <w:sz w:val="20"/>
          <w:szCs w:val="20"/>
          <w:color w:val="auto"/>
        </w:rPr>
      </w:pPr>
    </w:p>
    <w:p>
      <w:pPr>
        <w:jc w:val="both"/>
        <w:ind w:left="160" w:right="160"/>
        <w:spacing w:after="0" w:line="232" w:lineRule="auto"/>
        <w:rPr>
          <w:sz w:val="20"/>
          <w:szCs w:val="20"/>
          <w:color w:val="auto"/>
        </w:rPr>
      </w:pPr>
      <w:r>
        <w:rPr>
          <w:rFonts w:ascii="Calibri" w:cs="Calibri" w:eastAsia="Calibri" w:hAnsi="Calibri"/>
          <w:sz w:val="17"/>
          <w:szCs w:val="17"/>
          <w:color w:val="333333"/>
        </w:rPr>
        <w:t>The 2025 target for Adjusted EBITDA of $431.9 million was set above the actual Adjusted EBITDA of $403.7 million reported by the Company for the year ended December 31, 2024 and was set at the same tme as the 2025 target for Adjusted EPS. The threshold and maximum Adjusted EBITDA metrics were set at 20% below and above the target at $345.5 million and $518.3 million, respectvely.</w:t>
      </w:r>
    </w:p>
    <w:p>
      <w:pPr>
        <w:spacing w:after="0" w:line="214" w:lineRule="exact"/>
        <w:rPr>
          <w:sz w:val="20"/>
          <w:szCs w:val="20"/>
          <w:color w:val="auto"/>
        </w:rPr>
      </w:pPr>
    </w:p>
    <w:p>
      <w:pPr>
        <w:ind w:left="160" w:right="420"/>
        <w:spacing w:after="0" w:line="233" w:lineRule="auto"/>
        <w:rPr>
          <w:sz w:val="20"/>
          <w:szCs w:val="20"/>
          <w:color w:val="auto"/>
        </w:rPr>
      </w:pPr>
      <w:r>
        <w:rPr>
          <w:rFonts w:ascii="Calibri" w:cs="Calibri" w:eastAsia="Calibri" w:hAnsi="Calibri"/>
          <w:sz w:val="17"/>
          <w:szCs w:val="17"/>
          <w:color w:val="333333"/>
        </w:rPr>
        <w:t>The 2025 target for Adjusted EPS of $8.20 was set above the actual Adjusted EPS of $7.99 reported by the Company for the year ended December 31, 2024. The 2025 target for Adjusted EPS was established at the midpoint of the</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68</w:t>
      </w:r>
    </w:p>
    <w:p>
      <w:pPr>
        <w:sectPr>
          <w:pgSz w:w="11900" w:h="16838" w:orient="portrait"/>
          <w:cols w:equalWidth="0" w:num="1">
            <w:col w:w="11100"/>
          </w:cols>
          <w:pgMar w:left="320" w:top="478"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80"/>
        <w:spacing w:after="0" w:line="233" w:lineRule="auto"/>
        <w:rPr>
          <w:sz w:val="20"/>
          <w:szCs w:val="20"/>
          <w:color w:val="auto"/>
        </w:rPr>
      </w:pPr>
      <w:r>
        <w:rPr>
          <w:rFonts w:ascii="Calibri" w:cs="Calibri" w:eastAsia="Calibri" w:hAnsi="Calibri"/>
          <w:sz w:val="17"/>
          <w:szCs w:val="17"/>
          <w:color w:val="333333"/>
        </w:rPr>
        <w:t>external guidance range announced by the Company on February 20, 2025. The threshold and maximum Adjusted EPS metrics were set at 20% below and above the target at $6.56 and $9.84, respectvely.</w:t>
      </w:r>
    </w:p>
    <w:p>
      <w:pPr>
        <w:spacing w:after="0" w:line="212"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For purposes of determining 2025 AIP, the fnancial performance metrics of Adjusted EBITDA and Adjusted EPS are defned consistently with the defnitons of similarly ttled fnancial measures that are considered non-GAAP reported in the Company’s Annual Report on Form 10-K fled with the SEC for the year ended December 31, 2025 (the “2025 Form 10-K”), subject to further adjustments, and the Adjusted EBITDA fnancial performance metric was further adjusted, as follows:</w:t>
      </w:r>
    </w:p>
    <w:p>
      <w:pPr>
        <w:spacing w:after="0" w:line="120" w:lineRule="exact"/>
        <w:rPr>
          <w:sz w:val="20"/>
          <w:szCs w:val="20"/>
          <w:color w:val="auto"/>
        </w:rPr>
      </w:pPr>
    </w:p>
    <w:p>
      <w:pPr>
        <w:ind w:left="1020" w:right="280" w:hanging="318"/>
        <w:spacing w:after="0" w:line="232" w:lineRule="auto"/>
        <w:tabs>
          <w:tab w:leader="none" w:pos="1020" w:val="left"/>
        </w:tabs>
        <w:numPr>
          <w:ilvl w:val="0"/>
          <w:numId w:val="83"/>
        </w:numPr>
        <w:rPr>
          <w:rFonts w:ascii="MS PGothic" w:cs="MS PGothic" w:eastAsia="MS PGothic" w:hAnsi="MS PGothic"/>
          <w:sz w:val="17"/>
          <w:szCs w:val="17"/>
          <w:color w:val="0591DB"/>
        </w:rPr>
      </w:pPr>
      <w:r>
        <w:rPr>
          <w:rFonts w:ascii="Calibri" w:cs="Calibri" w:eastAsia="Calibri" w:hAnsi="Calibri"/>
          <w:sz w:val="17"/>
          <w:szCs w:val="17"/>
          <w:color w:val="333333"/>
        </w:rPr>
        <w:t>We defne Adjusted EBITDA, which is a non-GAAP fnancial measure, as consolidated net income before income tax provision, other non-operatng income (expense), depreciaton, amortzaton of intangible assets, remeasurement of acquisiton-related contngent consideraton, special charges, goodwill impairment charges, gain or loss on sale of a business and losses on early extnguishment of debt, subject to further adjustments, in the sole discreton of the Compensaton Commitee, to exclude: (1) operatng results, including costs and expenses, of operatons (including minority interest) discontnued, sold or acquired; (2) the impact of foreign exchange rates diferent from budget (i.e. – constant currency costs); (3) costs and expenses related to fnancing actvity and gains or losses related to fnancing actvity;</w:t>
      </w:r>
    </w:p>
    <w:p>
      <w:pPr>
        <w:spacing w:after="0" w:line="2" w:lineRule="exact"/>
        <w:rPr>
          <w:rFonts w:ascii="MS PGothic" w:cs="MS PGothic" w:eastAsia="MS PGothic" w:hAnsi="MS PGothic"/>
          <w:sz w:val="17"/>
          <w:szCs w:val="17"/>
          <w:color w:val="0591DB"/>
        </w:rPr>
      </w:pPr>
    </w:p>
    <w:p>
      <w:pPr>
        <w:ind w:left="1260" w:hanging="237"/>
        <w:spacing w:after="0" w:line="232" w:lineRule="auto"/>
        <w:tabs>
          <w:tab w:leader="none" w:pos="1260" w:val="left"/>
        </w:tabs>
        <w:numPr>
          <w:ilvl w:val="1"/>
          <w:numId w:val="83"/>
        </w:numPr>
        <w:rPr>
          <w:rFonts w:ascii="Calibri" w:cs="Calibri" w:eastAsia="Calibri" w:hAnsi="Calibri"/>
          <w:sz w:val="17"/>
          <w:szCs w:val="17"/>
          <w:color w:val="333333"/>
        </w:rPr>
      </w:pPr>
      <w:r>
        <w:rPr>
          <w:rFonts w:ascii="Calibri" w:cs="Calibri" w:eastAsia="Calibri" w:hAnsi="Calibri"/>
          <w:sz w:val="17"/>
          <w:szCs w:val="17"/>
          <w:color w:val="333333"/>
        </w:rPr>
        <w:t>unplanned severance costs; and (5) litgaton setlements and costs.</w:t>
      </w:r>
    </w:p>
    <w:p>
      <w:pPr>
        <w:spacing w:after="0" w:line="117" w:lineRule="exact"/>
        <w:rPr>
          <w:rFonts w:ascii="Calibri" w:cs="Calibri" w:eastAsia="Calibri" w:hAnsi="Calibri"/>
          <w:sz w:val="17"/>
          <w:szCs w:val="17"/>
          <w:color w:val="333333"/>
        </w:rPr>
      </w:pPr>
    </w:p>
    <w:p>
      <w:pPr>
        <w:ind w:left="1020" w:hanging="318"/>
        <w:spacing w:after="0" w:line="232" w:lineRule="auto"/>
        <w:tabs>
          <w:tab w:leader="none" w:pos="1020" w:val="left"/>
        </w:tabs>
        <w:numPr>
          <w:ilvl w:val="0"/>
          <w:numId w:val="83"/>
        </w:numPr>
        <w:rPr>
          <w:rFonts w:ascii="MS PGothic" w:cs="MS PGothic" w:eastAsia="MS PGothic" w:hAnsi="MS PGothic"/>
          <w:sz w:val="17"/>
          <w:szCs w:val="17"/>
          <w:color w:val="0591DB"/>
        </w:rPr>
      </w:pPr>
      <w:r>
        <w:rPr>
          <w:rFonts w:ascii="Calibri" w:cs="Calibri" w:eastAsia="Calibri" w:hAnsi="Calibri"/>
          <w:sz w:val="17"/>
          <w:szCs w:val="17"/>
          <w:color w:val="333333"/>
        </w:rPr>
        <w:t>We defne Adjusted EPS, a non-GAAP fnancial measure, as earnings per diluted share, excluding the impact of remeasurement of acquisiton-related contngent consideraton, special charges, goodwill impairment charges, losses on early extnguishment of debt, non-cash interest expense on convertble notes and the gain or loss on sale of a business, subject to further adjustments, in the sole discreton of the Compensaton Commitee, to: (1) exclude operatng results, including costs and expenses, of operatons (including minority interest) discontnued, sold or acquired; (2) exclude the impact of foreign exchange rates diferent from budget (i.e. – constant currency costs); (3) exclude costs and expenses related to fnancing actvity and gains or losses related to fnancing actvity; (4) exclude unplanned severance costs;</w:t>
      </w:r>
    </w:p>
    <w:p>
      <w:pPr>
        <w:spacing w:after="0" w:line="2" w:lineRule="exact"/>
        <w:rPr>
          <w:rFonts w:ascii="MS PGothic" w:cs="MS PGothic" w:eastAsia="MS PGothic" w:hAnsi="MS PGothic"/>
          <w:sz w:val="17"/>
          <w:szCs w:val="17"/>
          <w:color w:val="0591DB"/>
        </w:rPr>
      </w:pPr>
    </w:p>
    <w:p>
      <w:pPr>
        <w:ind w:left="1020" w:right="40" w:firstLine="3"/>
        <w:spacing w:after="0" w:line="232" w:lineRule="auto"/>
        <w:tabs>
          <w:tab w:leader="none" w:pos="1253" w:val="left"/>
        </w:tabs>
        <w:numPr>
          <w:ilvl w:val="1"/>
          <w:numId w:val="84"/>
        </w:numPr>
        <w:rPr>
          <w:rFonts w:ascii="Calibri" w:cs="Calibri" w:eastAsia="Calibri" w:hAnsi="Calibri"/>
          <w:sz w:val="17"/>
          <w:szCs w:val="17"/>
          <w:color w:val="333333"/>
        </w:rPr>
      </w:pPr>
      <w:r>
        <w:rPr>
          <w:rFonts w:ascii="Calibri" w:cs="Calibri" w:eastAsia="Calibri" w:hAnsi="Calibri"/>
          <w:sz w:val="17"/>
          <w:szCs w:val="17"/>
          <w:color w:val="333333"/>
        </w:rPr>
        <w:t>exclude litgaton setlements and costs; (6) exclude any gain or loss refected in the Company’s Consolidated Statement of Income as a result of any sale or other dispositon of any business or business segment of the Company in part or in its entrety completed in 2025, to the extent that such gain or loss is not already excluded from Adjusted EPS; and (7) include, in the event of a sale or dispositon of part of any business or business segment of the Company completed in 2025, the minority interest of such business or business segment subsequent to the closing of the sale or dispositon. In the event of any sale or other dispositon of any business or business segment of the Company in its entrety completed in 2025, the Adjusted EPS performance metrics may be reduced by an amount equal to the budgeted operatng income for such business or business segment for the porton of 2025 subsequent to the closing of such transacton.</w:t>
      </w:r>
    </w:p>
    <w:p>
      <w:pPr>
        <w:spacing w:after="0" w:line="118" w:lineRule="exact"/>
        <w:rPr>
          <w:rFonts w:ascii="Calibri" w:cs="Calibri" w:eastAsia="Calibri" w:hAnsi="Calibri"/>
          <w:sz w:val="17"/>
          <w:szCs w:val="17"/>
          <w:color w:val="333333"/>
        </w:rPr>
      </w:pPr>
    </w:p>
    <w:p>
      <w:pPr>
        <w:ind w:left="1020" w:right="380" w:hanging="318"/>
        <w:spacing w:after="0" w:line="233" w:lineRule="auto"/>
        <w:tabs>
          <w:tab w:leader="none" w:pos="1020" w:val="left"/>
        </w:tabs>
        <w:numPr>
          <w:ilvl w:val="0"/>
          <w:numId w:val="84"/>
        </w:numPr>
        <w:rPr>
          <w:rFonts w:ascii="MS PGothic" w:cs="MS PGothic" w:eastAsia="MS PGothic" w:hAnsi="MS PGothic"/>
          <w:sz w:val="17"/>
          <w:szCs w:val="17"/>
          <w:color w:val="0591DB"/>
        </w:rPr>
      </w:pPr>
      <w:r>
        <w:rPr>
          <w:rFonts w:ascii="Calibri" w:cs="Calibri" w:eastAsia="Calibri" w:hAnsi="Calibri"/>
          <w:sz w:val="17"/>
          <w:szCs w:val="17"/>
          <w:color w:val="333333"/>
        </w:rPr>
        <w:t xml:space="preserve">See </w:t>
      </w:r>
      <w:r>
        <w:rPr>
          <w:rFonts w:ascii="Calibri" w:cs="Calibri" w:eastAsia="Calibri" w:hAnsi="Calibri"/>
          <w:sz w:val="17"/>
          <w:szCs w:val="17"/>
          <w:u w:val="single" w:color="auto"/>
          <w:color w:val="0591DB"/>
        </w:rPr>
        <w:t>Appendix B</w:t>
      </w:r>
      <w:r>
        <w:rPr>
          <w:rFonts w:ascii="Calibri" w:cs="Calibri" w:eastAsia="Calibri" w:hAnsi="Calibri"/>
          <w:sz w:val="17"/>
          <w:szCs w:val="17"/>
          <w:color w:val="333333"/>
        </w:rPr>
        <w:t xml:space="preserve"> for the reconciliatons of Adjusted EBITDA and Adjusted EPS for 2025 AIP purposes to the most directly comparable GAAP fnancial measures.</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At the tme that the Company’s full-year guidance was provided on February 20, 2025, the 2025 AIP fnancial performance metrics set by the</w:t>
      </w:r>
    </w:p>
    <w:p>
      <w:pPr>
        <w:ind w:left="160"/>
        <w:spacing w:after="0" w:line="232" w:lineRule="auto"/>
        <w:rPr>
          <w:sz w:val="20"/>
          <w:szCs w:val="20"/>
          <w:color w:val="auto"/>
        </w:rPr>
      </w:pPr>
      <w:r>
        <w:rPr>
          <w:rFonts w:ascii="Calibri" w:cs="Calibri" w:eastAsia="Calibri" w:hAnsi="Calibri"/>
          <w:sz w:val="17"/>
          <w:szCs w:val="17"/>
          <w:color w:val="333333"/>
        </w:rPr>
        <w:t>Compensaton Commitee were informed by:</w:t>
      </w:r>
    </w:p>
    <w:p>
      <w:pPr>
        <w:spacing w:after="0" w:line="118" w:lineRule="exact"/>
        <w:rPr>
          <w:sz w:val="20"/>
          <w:szCs w:val="20"/>
          <w:color w:val="auto"/>
        </w:rPr>
      </w:pPr>
    </w:p>
    <w:p>
      <w:pPr>
        <w:ind w:left="1020" w:right="640" w:hanging="318"/>
        <w:spacing w:after="0" w:line="233" w:lineRule="auto"/>
        <w:tabs>
          <w:tab w:leader="none" w:pos="1020" w:val="left"/>
        </w:tabs>
        <w:numPr>
          <w:ilvl w:val="0"/>
          <w:numId w:val="85"/>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An expectaton for restructuring actvity to remain steady through 2025</w:t>
      </w:r>
      <w:r>
        <w:rPr>
          <w:rFonts w:ascii="Calibri" w:cs="Calibri" w:eastAsia="Calibri" w:hAnsi="Calibri"/>
          <w:sz w:val="17"/>
          <w:szCs w:val="17"/>
          <w:color w:val="333333"/>
        </w:rPr>
        <w:t>. The expectaton for a contnuaton of steady demand in our</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Restructuring practce within our Corporate Finance segment, our highest-margin business.</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69</w:t>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020" w:right="440" w:hanging="318"/>
        <w:spacing w:after="0" w:line="232" w:lineRule="auto"/>
        <w:tabs>
          <w:tab w:leader="none" w:pos="1020" w:val="left"/>
        </w:tabs>
        <w:numPr>
          <w:ilvl w:val="0"/>
          <w:numId w:val="86"/>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An expectaton for mergers and acquisiton (“M&amp;A”) actvity to increase in 2025</w:t>
      </w:r>
      <w:r>
        <w:rPr>
          <w:rFonts w:ascii="Calibri" w:cs="Calibri" w:eastAsia="Calibri" w:hAnsi="Calibri"/>
          <w:sz w:val="17"/>
          <w:szCs w:val="17"/>
          <w:color w:val="333333"/>
        </w:rPr>
        <w:t>. The expectaton for improvement in the M&amp;A market,</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partcularly afer a slow end to 2024 for such actvity. M&amp;A actvity drives demand for M&amp;A-related Anttrust services in our Economic Consultng segment, ‘‘Second Request’’ services in our Technology segment and Transactons services in our Corporate Finance segment.</w:t>
      </w:r>
    </w:p>
    <w:p>
      <w:pPr>
        <w:spacing w:after="0" w:line="120" w:lineRule="exact"/>
        <w:rPr>
          <w:rFonts w:ascii="MS PGothic" w:cs="MS PGothic" w:eastAsia="MS PGothic" w:hAnsi="MS PGothic"/>
          <w:sz w:val="17"/>
          <w:szCs w:val="17"/>
          <w:color w:val="0591DB"/>
        </w:rPr>
      </w:pPr>
    </w:p>
    <w:p>
      <w:pPr>
        <w:ind w:left="1020" w:right="40" w:hanging="318"/>
        <w:spacing w:after="0" w:line="232" w:lineRule="auto"/>
        <w:tabs>
          <w:tab w:leader="none" w:pos="1020" w:val="left"/>
        </w:tabs>
        <w:numPr>
          <w:ilvl w:val="0"/>
          <w:numId w:val="86"/>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An expectaton for substantal revenue and Adjusted Segment EBITDA declines in our Economic Consultng segment. </w:t>
      </w:r>
      <w:r>
        <w:rPr>
          <w:rFonts w:ascii="Calibri" w:cs="Calibri" w:eastAsia="Calibri" w:hAnsi="Calibri"/>
          <w:sz w:val="17"/>
          <w:szCs w:val="17"/>
          <w:color w:val="333333"/>
        </w:rPr>
        <w:t>The expectaton for</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substantal headwinds in our Economic Consultng segment in 2025 compared with 2024 due to a disrupton in the Compass Lexecon business within the Economic Consultng segment. At the tme the Company provided guidance on February 20, 2025, a number of senior professionals in Compass Lexecon had either departed or shared their intent to depart and we expected a number of less tenured professionals would also depart shortly afer. We expected these increased compettve pressures to impact our ability to atract and retain clients in 2025, which we expected would result in increased compensaton costs to retain and atract staf in the segment.</w:t>
      </w:r>
    </w:p>
    <w:p>
      <w:pPr>
        <w:spacing w:after="0" w:line="120" w:lineRule="exact"/>
        <w:rPr>
          <w:rFonts w:ascii="MS PGothic" w:cs="MS PGothic" w:eastAsia="MS PGothic" w:hAnsi="MS PGothic"/>
          <w:sz w:val="17"/>
          <w:szCs w:val="17"/>
          <w:color w:val="0591DB"/>
        </w:rPr>
      </w:pPr>
    </w:p>
    <w:p>
      <w:pPr>
        <w:ind w:left="1020" w:right="260" w:hanging="318"/>
        <w:spacing w:after="0" w:line="232" w:lineRule="auto"/>
        <w:tabs>
          <w:tab w:leader="none" w:pos="1020" w:val="left"/>
        </w:tabs>
        <w:numPr>
          <w:ilvl w:val="0"/>
          <w:numId w:val="86"/>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An expectaton for demand in our Forensic and Litgaton Consultng business to pick up</w:t>
      </w:r>
      <w:r>
        <w:rPr>
          <w:rFonts w:ascii="Calibri" w:cs="Calibri" w:eastAsia="Calibri" w:hAnsi="Calibri"/>
          <w:sz w:val="17"/>
          <w:szCs w:val="17"/>
          <w:color w:val="333333"/>
        </w:rPr>
        <w:t>, partcularly for disputes and investgatons work.</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This assumpton was based on engagements we had already been retained on and an expectaton for prior investments in senior talent to ramp up in 2025.</w:t>
      </w:r>
    </w:p>
    <w:p>
      <w:pPr>
        <w:spacing w:after="0" w:line="120" w:lineRule="exact"/>
        <w:rPr>
          <w:rFonts w:ascii="MS PGothic" w:cs="MS PGothic" w:eastAsia="MS PGothic" w:hAnsi="MS PGothic"/>
          <w:sz w:val="17"/>
          <w:szCs w:val="17"/>
          <w:color w:val="0591DB"/>
        </w:rPr>
      </w:pPr>
    </w:p>
    <w:p>
      <w:pPr>
        <w:ind w:left="1020" w:hanging="318"/>
        <w:spacing w:after="0" w:line="232" w:lineRule="auto"/>
        <w:tabs>
          <w:tab w:leader="none" w:pos="1020" w:val="left"/>
        </w:tabs>
        <w:numPr>
          <w:ilvl w:val="0"/>
          <w:numId w:val="86"/>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An expectaton for contnued investment in talent</w:t>
      </w:r>
      <w:r>
        <w:rPr>
          <w:rFonts w:ascii="Calibri" w:cs="Calibri" w:eastAsia="Calibri" w:hAnsi="Calibri"/>
          <w:sz w:val="17"/>
          <w:szCs w:val="17"/>
          <w:color w:val="333333"/>
        </w:rPr>
        <w:t>. Though the Company had announced headcount actons in areas with sustained</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underutlizaton in the fourth quarter of 2024 and the frst quarter of 2025, resultng in an expectaton of an approximately 4% reducton in our total headcount, we expected to contnue investng in areas where we saw exceptonal opportunites to hire talent, which typically results in a negatve impact to Adjusted EBITDA at least through the frst year afer hiring.</w:t>
      </w:r>
    </w:p>
    <w:p>
      <w:pPr>
        <w:spacing w:after="0" w:line="120" w:lineRule="exact"/>
        <w:rPr>
          <w:rFonts w:ascii="MS PGothic" w:cs="MS PGothic" w:eastAsia="MS PGothic" w:hAnsi="MS PGothic"/>
          <w:sz w:val="17"/>
          <w:szCs w:val="17"/>
          <w:color w:val="0591DB"/>
        </w:rPr>
      </w:pPr>
    </w:p>
    <w:p>
      <w:pPr>
        <w:jc w:val="both"/>
        <w:ind w:left="1020" w:right="580" w:hanging="318"/>
        <w:spacing w:after="0" w:line="232" w:lineRule="auto"/>
        <w:tabs>
          <w:tab w:leader="none" w:pos="1020" w:val="left"/>
        </w:tabs>
        <w:numPr>
          <w:ilvl w:val="0"/>
          <w:numId w:val="86"/>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An expectaton for Selling, General and Administratve (‘‘SG&amp;A’’) expenses to be fat compared with 2024</w:t>
      </w:r>
      <w:r>
        <w:rPr>
          <w:rFonts w:ascii="Calibri" w:cs="Calibri" w:eastAsia="Calibri" w:hAnsi="Calibri"/>
          <w:sz w:val="17"/>
          <w:szCs w:val="17"/>
          <w:color w:val="333333"/>
        </w:rPr>
        <w:t>. The expectaton for SG&amp;A</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expenses to remain fat was primarily based on an expectaton for a reducton in bad debt to more normalized levels and benefts from litgaton setlements.</w:t>
      </w:r>
    </w:p>
    <w:p>
      <w:pPr>
        <w:spacing w:after="0" w:line="120" w:lineRule="exact"/>
        <w:rPr>
          <w:rFonts w:ascii="MS PGothic" w:cs="MS PGothic" w:eastAsia="MS PGothic" w:hAnsi="MS PGothic"/>
          <w:sz w:val="17"/>
          <w:szCs w:val="17"/>
          <w:color w:val="0591DB"/>
        </w:rPr>
      </w:pPr>
    </w:p>
    <w:p>
      <w:pPr>
        <w:ind w:left="1020" w:hanging="318"/>
        <w:spacing w:after="0" w:line="233" w:lineRule="auto"/>
        <w:tabs>
          <w:tab w:leader="none" w:pos="1020" w:val="left"/>
        </w:tabs>
        <w:numPr>
          <w:ilvl w:val="0"/>
          <w:numId w:val="86"/>
        </w:numPr>
        <w:rPr>
          <w:rFonts w:ascii="MS PGothic" w:cs="MS PGothic" w:eastAsia="MS PGothic" w:hAnsi="MS PGothic"/>
          <w:sz w:val="17"/>
          <w:szCs w:val="17"/>
          <w:color w:val="0591DB"/>
        </w:rPr>
      </w:pPr>
      <w:r>
        <w:rPr>
          <w:rFonts w:ascii="Calibri" w:cs="Calibri" w:eastAsia="Calibri" w:hAnsi="Calibri"/>
          <w:sz w:val="17"/>
          <w:szCs w:val="17"/>
          <w:b w:val="1"/>
          <w:bCs w:val="1"/>
          <w:color w:val="333333"/>
        </w:rPr>
        <w:t xml:space="preserve">An expectaton for a higher efectve tax rate for 2025. </w:t>
      </w:r>
      <w:r>
        <w:rPr>
          <w:rFonts w:ascii="Calibri" w:cs="Calibri" w:eastAsia="Calibri" w:hAnsi="Calibri"/>
          <w:sz w:val="17"/>
          <w:szCs w:val="17"/>
          <w:color w:val="333333"/>
        </w:rPr>
        <w:t>The Company expected our 2025 efectve tax rate to range between 23.0% and 25.0%,</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which compared with 20.2% in 2024.</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0591DB"/>
        </w:rPr>
        <w:t>Individual Performance Metrics</w:t>
      </w:r>
    </w:p>
    <w:p>
      <w:pPr>
        <w:spacing w:after="0" w:line="105"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For 2025 AIP, 25% of the CEO’s 2025 AIP was contngent upon achieving individual performance goals specifc to the CEO, and one-third of each other partcipatng NEO’s 2025 AIP was contngent upon achieving individual performance goals specifc to such NEO. For the CEO, these goals were established by the Compensaton Commitee in February 2025 and communicated to him. For all other partcipatng NEOs, the CEO established the goals with review and input from the applicable NEO and with the directon of the Compensaton Commitee. At the end of 2025, the CEO assessed the performance of each partcipatng NEO and presented his recommendatons on the NEO’s individual performance to the Compensaton Commitee in the frst quarter of 2026 for approval. The Compensaton Commitee exclusively assesses the CEO’s performance. As part of the assessment of the individual performance porton of the 2025 AIP, the Compensaton Commitee has the authority to reduce the actual amount payable to the CEO and each other NEO under their awards.</w:t>
      </w:r>
    </w:p>
    <w:p>
      <w:pPr>
        <w:spacing w:after="0" w:line="214"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For 2025, the CEO was awarded 2025 AIP for individual performance at 125% of target. The interim CFO/CSTO, GC and CHRO were awarded 2025 AIP for individual performance at 125% of target. These awards are refectve of both the Company’s fnancial performance in 2025 and the CEO’s and other partcipatng NEOs’ tangible evidence of accomplishing or exceeding individual performance goals. The 2025 performance assessments — notng both 2025 goals and achievements for the CEO and each other partcipatng NEO — are detailed on the following pages:</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70</w:t>
      </w:r>
    </w:p>
    <w:p>
      <w:pPr>
        <w:sectPr>
          <w:pgSz w:w="11900" w:h="16838" w:orient="portrait"/>
          <w:cols w:equalWidth="0" w:num="1">
            <w:col w:w="11080"/>
          </w:cols>
          <w:pgMar w:left="320" w:top="478"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STEVEN H. GUNBY’S INDIVIDUAL PERFORMANCE HIGHLIGHTS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4300" w:type="dxa"/>
            <w:vAlign w:val="bottom"/>
            <w:tcBorders>
              <w:top w:val="single" w:sz="8" w:color="0591DB"/>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2025 GOALS</w:t>
            </w:r>
          </w:p>
        </w:tc>
        <w:tc>
          <w:tcPr>
            <w:tcW w:w="6640" w:type="dxa"/>
            <w:vAlign w:val="bottom"/>
            <w:tcBorders>
              <w:top w:val="single" w:sz="8" w:color="0591DB"/>
              <w:right w:val="single" w:sz="8" w:color="0591DB"/>
            </w:tcBorders>
          </w:tcPr>
          <w:p>
            <w:pPr>
              <w:ind w:left="180"/>
              <w:spacing w:after="0"/>
              <w:rPr>
                <w:sz w:val="20"/>
                <w:szCs w:val="20"/>
                <w:color w:val="auto"/>
              </w:rPr>
            </w:pPr>
            <w:r>
              <w:rPr>
                <w:rFonts w:ascii="Calibri" w:cs="Calibri" w:eastAsia="Calibri" w:hAnsi="Calibri"/>
                <w:sz w:val="21"/>
                <w:szCs w:val="21"/>
                <w:b w:val="1"/>
                <w:bCs w:val="1"/>
                <w:color w:val="0591DB"/>
              </w:rPr>
              <w:t>  2025 ACCOMPLISHMENTS</w:t>
            </w:r>
          </w:p>
        </w:tc>
      </w:tr>
      <w:tr>
        <w:trPr>
          <w:trHeight w:val="104"/>
        </w:trPr>
        <w:tc>
          <w:tcPr>
            <w:tcW w:w="4300" w:type="dxa"/>
            <w:vAlign w:val="bottom"/>
            <w:tcBorders>
              <w:left w:val="single" w:sz="8" w:color="0591DB"/>
              <w:bottom w:val="single" w:sz="8" w:color="0591DB"/>
              <w:right w:val="single" w:sz="8" w:color="0591DB"/>
            </w:tcBorders>
          </w:tcPr>
          <w:p>
            <w:pPr>
              <w:spacing w:after="0"/>
              <w:rPr>
                <w:sz w:val="9"/>
                <w:szCs w:val="9"/>
                <w:color w:val="auto"/>
              </w:rPr>
            </w:pPr>
          </w:p>
        </w:tc>
        <w:tc>
          <w:tcPr>
            <w:tcW w:w="6640" w:type="dxa"/>
            <w:vAlign w:val="bottom"/>
            <w:tcBorders>
              <w:bottom w:val="single" w:sz="8" w:color="0591DB"/>
              <w:right w:val="single" w:sz="8" w:color="0591DB"/>
            </w:tcBorders>
          </w:tcPr>
          <w:p>
            <w:pPr>
              <w:spacing w:after="0"/>
              <w:rPr>
                <w:sz w:val="9"/>
                <w:szCs w:val="9"/>
                <w:color w:val="auto"/>
              </w:rPr>
            </w:pP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ind w:left="260"/>
        <w:spacing w:after="0" w:line="203" w:lineRule="auto"/>
        <w:rPr>
          <w:sz w:val="20"/>
          <w:szCs w:val="20"/>
          <w:color w:val="auto"/>
        </w:rPr>
      </w:pPr>
      <w:r>
        <w:rPr>
          <w:rFonts w:ascii="Calibri" w:cs="Calibri" w:eastAsia="Calibri" w:hAnsi="Calibri"/>
          <w:sz w:val="17"/>
          <w:szCs w:val="17"/>
          <w:b w:val="1"/>
          <w:bCs w:val="1"/>
          <w:color w:val="333333"/>
        </w:rPr>
        <w:t>Contnue trend of sustained year-over-year growth</w:t>
      </w:r>
    </w:p>
    <w:p>
      <w:pPr>
        <w:spacing w:after="0" w:line="200" w:lineRule="exact"/>
        <w:rPr>
          <w:sz w:val="20"/>
          <w:szCs w:val="20"/>
          <w:color w:val="auto"/>
        </w:rPr>
      </w:pPr>
    </w:p>
    <w:p>
      <w:pPr>
        <w:spacing w:after="0" w:line="333" w:lineRule="exact"/>
        <w:rPr>
          <w:sz w:val="20"/>
          <w:szCs w:val="20"/>
          <w:color w:val="auto"/>
        </w:rPr>
      </w:pPr>
    </w:p>
    <w:p>
      <w:pPr>
        <w:ind w:left="260" w:right="400"/>
        <w:spacing w:after="0" w:line="233" w:lineRule="auto"/>
        <w:rPr>
          <w:sz w:val="20"/>
          <w:szCs w:val="20"/>
          <w:color w:val="auto"/>
        </w:rPr>
      </w:pPr>
      <w:r>
        <w:rPr>
          <w:rFonts w:ascii="Calibri" w:cs="Calibri" w:eastAsia="Calibri" w:hAnsi="Calibri"/>
          <w:sz w:val="17"/>
          <w:szCs w:val="17"/>
          <w:b w:val="1"/>
          <w:bCs w:val="1"/>
          <w:color w:val="333333"/>
        </w:rPr>
        <w:t>Redefne and extend go-forward strategy, including growth beyond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spacing w:after="0" w:line="233" w:lineRule="auto"/>
        <w:rPr>
          <w:sz w:val="20"/>
          <w:szCs w:val="20"/>
          <w:color w:val="auto"/>
        </w:rPr>
      </w:pPr>
      <w:r>
        <w:rPr>
          <w:rFonts w:ascii="Calibri" w:cs="Calibri" w:eastAsia="Calibri" w:hAnsi="Calibri"/>
          <w:sz w:val="17"/>
          <w:szCs w:val="17"/>
          <w:b w:val="1"/>
          <w:bCs w:val="1"/>
          <w:color w:val="333333"/>
        </w:rPr>
        <w:t>Foster high-performing leadership culture with discipline and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Contnue to drive efectve use of cash</w:t>
      </w:r>
    </w:p>
    <w:p>
      <w:pPr>
        <w:spacing w:after="0" w:line="327"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Drive next generaton of growth</w:t>
      </w:r>
    </w:p>
    <w:p>
      <w:pPr>
        <w:spacing w:after="0" w:line="20" w:lineRule="exact"/>
        <w:rPr>
          <w:sz w:val="20"/>
          <w:szCs w:val="20"/>
          <w:color w:val="auto"/>
        </w:rPr>
      </w:pPr>
      <w:r>
        <w:rPr>
          <w:sz w:val="20"/>
          <w:szCs w:val="20"/>
          <w:color w:val="auto"/>
        </w:rPr>
        <w:br w:type="column"/>
      </w:r>
    </w:p>
    <w:p>
      <w:pPr>
        <w:jc w:val="both"/>
        <w:ind w:left="268" w:right="40" w:hanging="268"/>
        <w:spacing w:after="0" w:line="232"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Despite facing signifcant headwinds in two of our business segments, we, once again, delivered record revenues, EPS and Adjusted EPS, marking the 8</w:t>
      </w:r>
      <w:r>
        <w:rPr>
          <w:rFonts w:ascii="Calibri" w:cs="Calibri" w:eastAsia="Calibri" w:hAnsi="Calibri"/>
          <w:sz w:val="12"/>
          <w:szCs w:val="12"/>
          <w:color w:val="333333"/>
        </w:rPr>
        <w:t>th</w:t>
      </w:r>
      <w:r>
        <w:rPr>
          <w:rFonts w:ascii="Calibri" w:cs="Calibri" w:eastAsia="Calibri" w:hAnsi="Calibri"/>
          <w:sz w:val="17"/>
          <w:szCs w:val="17"/>
          <w:color w:val="333333"/>
        </w:rPr>
        <w:t xml:space="preserve"> consecutve year of revenue growth and the 11</w:t>
      </w:r>
      <w:r>
        <w:rPr>
          <w:rFonts w:ascii="Calibri" w:cs="Calibri" w:eastAsia="Calibri" w:hAnsi="Calibri"/>
          <w:sz w:val="12"/>
          <w:szCs w:val="12"/>
          <w:color w:val="333333"/>
        </w:rPr>
        <w:t>th</w:t>
      </w:r>
      <w:r>
        <w:rPr>
          <w:rFonts w:ascii="Calibri" w:cs="Calibri" w:eastAsia="Calibri" w:hAnsi="Calibri"/>
          <w:sz w:val="17"/>
          <w:szCs w:val="17"/>
          <w:color w:val="333333"/>
        </w:rPr>
        <w:t xml:space="preserve"> consecutve year of Adjusted EPS growth.</w:t>
      </w:r>
    </w:p>
    <w:p>
      <w:pPr>
        <w:spacing w:after="0" w:line="133" w:lineRule="exact"/>
        <w:rPr>
          <w:rFonts w:ascii="MS PGothic" w:cs="MS PGothic" w:eastAsia="MS PGothic" w:hAnsi="MS PGothic"/>
          <w:sz w:val="17"/>
          <w:szCs w:val="17"/>
          <w:color w:val="0591DB"/>
        </w:rPr>
      </w:pPr>
    </w:p>
    <w:p>
      <w:pPr>
        <w:ind w:left="268" w:right="40" w:hanging="268"/>
        <w:spacing w:after="0" w:line="232"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Record revenues in our Corporate Finance, Forensic and Litgaton Consultng, and Strategic Communicatons segments, supported by multyear investments to reinforce core positons and extend into new adjacencies.</w:t>
      </w:r>
    </w:p>
    <w:p>
      <w:pPr>
        <w:spacing w:after="0" w:line="107" w:lineRule="exact"/>
        <w:rPr>
          <w:rFonts w:ascii="MS PGothic" w:cs="MS PGothic" w:eastAsia="MS PGothic" w:hAnsi="MS PGothic"/>
          <w:sz w:val="17"/>
          <w:szCs w:val="17"/>
          <w:color w:val="0591DB"/>
        </w:rPr>
      </w:pPr>
    </w:p>
    <w:p>
      <w:pPr>
        <w:ind w:left="268" w:right="40" w:hanging="268"/>
        <w:spacing w:after="0" w:line="232"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Contnued to expand Europe, Middle East and Africa (“EMEA”) capabilites beyond the UK through multyear investments – the region delivered record revenues with Germany and France growing 24% and 20% year-over-year, respectvely.</w:t>
      </w:r>
    </w:p>
    <w:p>
      <w:pPr>
        <w:spacing w:after="0" w:line="133" w:lineRule="exact"/>
        <w:rPr>
          <w:rFonts w:ascii="MS PGothic" w:cs="MS PGothic" w:eastAsia="MS PGothic" w:hAnsi="MS PGothic"/>
          <w:sz w:val="17"/>
          <w:szCs w:val="17"/>
          <w:color w:val="0591DB"/>
        </w:rPr>
      </w:pPr>
    </w:p>
    <w:p>
      <w:pPr>
        <w:jc w:val="both"/>
        <w:ind w:left="268" w:right="60" w:hanging="268"/>
        <w:spacing w:after="0" w:line="232"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Contnued to drive mult-year, mult-dimensional succession plans with the Board and segment/regional leaders, with 2025 transiton plans executed for our Chief Financial Ofcer, Chief Human Resources Ofcer, Europe, Middle East and Africa Regional Chair and several leaders below our segment leadership.</w:t>
      </w:r>
    </w:p>
    <w:p>
      <w:pPr>
        <w:spacing w:after="0" w:line="107" w:lineRule="exact"/>
        <w:rPr>
          <w:rFonts w:ascii="MS PGothic" w:cs="MS PGothic" w:eastAsia="MS PGothic" w:hAnsi="MS PGothic"/>
          <w:sz w:val="17"/>
          <w:szCs w:val="17"/>
          <w:color w:val="0591DB"/>
        </w:rPr>
      </w:pPr>
    </w:p>
    <w:p>
      <w:pPr>
        <w:ind w:left="268" w:right="200" w:hanging="268"/>
        <w:spacing w:after="0" w:line="232"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Improved pricing discipline, capacity and realizaton, increasing revenue per head in our Forensic and Litgaton Consultng, Corporate Finance and Strategic Communicatons segments by 11%, 11% and 22% year over year, respectvely.</w:t>
      </w:r>
    </w:p>
    <w:p>
      <w:pPr>
        <w:spacing w:after="0" w:line="133" w:lineRule="exact"/>
        <w:rPr>
          <w:rFonts w:ascii="MS PGothic" w:cs="MS PGothic" w:eastAsia="MS PGothic" w:hAnsi="MS PGothic"/>
          <w:sz w:val="17"/>
          <w:szCs w:val="17"/>
          <w:color w:val="0591DB"/>
        </w:rPr>
      </w:pPr>
    </w:p>
    <w:p>
      <w:pPr>
        <w:ind w:left="268" w:right="180" w:hanging="268"/>
        <w:spacing w:after="0" w:line="233"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Returned $858.6 million to shareholders by repurchasing 15% of shares outstanding at an average price of $163.07 per share in 2025.</w:t>
      </w:r>
    </w:p>
    <w:p>
      <w:pPr>
        <w:spacing w:after="0" w:line="132" w:lineRule="exact"/>
        <w:rPr>
          <w:rFonts w:ascii="MS PGothic" w:cs="MS PGothic" w:eastAsia="MS PGothic" w:hAnsi="MS PGothic"/>
          <w:sz w:val="17"/>
          <w:szCs w:val="17"/>
          <w:color w:val="0591DB"/>
        </w:rPr>
      </w:pPr>
    </w:p>
    <w:p>
      <w:pPr>
        <w:ind w:left="268" w:right="340" w:hanging="268"/>
        <w:spacing w:after="0" w:line="233"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Aligned with segment leaders on the next set of strategic investments and growth priorites.</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Promoted 45 professionals to Senior Managing Director.</w:t>
      </w:r>
    </w:p>
    <w:p>
      <w:pPr>
        <w:spacing w:after="0" w:line="104" w:lineRule="exact"/>
        <w:rPr>
          <w:rFonts w:ascii="MS PGothic" w:cs="MS PGothic" w:eastAsia="MS PGothic" w:hAnsi="MS PGothic"/>
          <w:sz w:val="17"/>
          <w:szCs w:val="17"/>
          <w:color w:val="0591DB"/>
        </w:rPr>
      </w:pPr>
    </w:p>
    <w:p>
      <w:pPr>
        <w:ind w:left="268" w:right="320" w:hanging="268"/>
        <w:spacing w:after="0" w:line="233"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Announced 85 senior hires, a record number, including 29 senior hires in Compass Lexecon.</w:t>
      </w:r>
    </w:p>
    <w:p>
      <w:pPr>
        <w:spacing w:after="0" w:line="105" w:lineRule="exact"/>
        <w:rPr>
          <w:rFonts w:ascii="MS PGothic" w:cs="MS PGothic" w:eastAsia="MS PGothic" w:hAnsi="MS PGothic"/>
          <w:sz w:val="17"/>
          <w:szCs w:val="17"/>
          <w:color w:val="0591DB"/>
        </w:rPr>
      </w:pPr>
    </w:p>
    <w:p>
      <w:pPr>
        <w:ind w:left="268" w:right="440" w:hanging="268"/>
        <w:spacing w:after="0" w:line="233" w:lineRule="auto"/>
        <w:tabs>
          <w:tab w:leader="none" w:pos="268" w:val="left"/>
        </w:tabs>
        <w:numPr>
          <w:ilvl w:val="0"/>
          <w:numId w:val="87"/>
        </w:numPr>
        <w:rPr>
          <w:rFonts w:ascii="MS PGothic" w:cs="MS PGothic" w:eastAsia="MS PGothic" w:hAnsi="MS PGothic"/>
          <w:sz w:val="17"/>
          <w:szCs w:val="17"/>
          <w:color w:val="0591DB"/>
        </w:rPr>
      </w:pPr>
      <w:r>
        <w:rPr>
          <w:rFonts w:ascii="Calibri" w:cs="Calibri" w:eastAsia="Calibri" w:hAnsi="Calibri"/>
          <w:sz w:val="17"/>
          <w:szCs w:val="17"/>
          <w:color w:val="333333"/>
        </w:rPr>
        <w:t>Launched a global brand campaign to reinforce the frm’s positon as the leading expert frm for organizatons facing crisis and transformaton.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-3397250</wp:posOffset>
            </wp:positionV>
            <wp:extent cx="6929755" cy="916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91694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-1435100</wp:posOffset>
            </wp:positionV>
            <wp:extent cx="6929755" cy="339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339725"/>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4340" w:space="392"/>
            <w:col w:w="6368"/>
          </w:cols>
          <w:pgMar w:left="320" w:top="478" w:right="479" w:bottom="1440" w:gutter="0" w:footer="0" w:header="0"/>
          <w:type w:val="continuous"/>
        </w:sectPr>
      </w:pPr>
    </w:p>
    <w:p>
      <w:pPr>
        <w:jc w:val="center"/>
        <w:ind w:right="-139"/>
        <w:spacing w:after="0"/>
        <w:rPr>
          <w:sz w:val="20"/>
          <w:szCs w:val="20"/>
          <w:color w:val="auto"/>
        </w:rPr>
      </w:pPr>
      <w:r>
        <w:rPr>
          <w:rFonts w:ascii="Calibri" w:cs="Calibri" w:eastAsia="Calibri" w:hAnsi="Calibri"/>
          <w:sz w:val="15"/>
          <w:szCs w:val="15"/>
          <w:color w:val="333333"/>
        </w:rPr>
        <w:t>71</w:t>
      </w:r>
    </w:p>
    <w:p>
      <w:pPr>
        <w:sectPr>
          <w:pgSz w:w="11900" w:h="16838" w:orient="portrait"/>
          <w:cols w:equalWidth="0" w:num="1">
            <w:col w:w="11100"/>
          </w:cols>
          <w:pgMar w:left="320" w:top="478" w:right="47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PAUL LINTON’S INDIVIDUAL PERFORMANCE HIGHLIGHTS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4300" w:type="dxa"/>
            <w:vAlign w:val="bottom"/>
            <w:tcBorders>
              <w:top w:val="single" w:sz="8" w:color="0591DB"/>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2025 GOALS</w:t>
            </w:r>
          </w:p>
        </w:tc>
        <w:tc>
          <w:tcPr>
            <w:tcW w:w="6640" w:type="dxa"/>
            <w:vAlign w:val="bottom"/>
            <w:tcBorders>
              <w:top w:val="single" w:sz="8" w:color="0591DB"/>
              <w:right w:val="single" w:sz="8" w:color="0591DB"/>
            </w:tcBorders>
          </w:tcPr>
          <w:p>
            <w:pPr>
              <w:ind w:left="180"/>
              <w:spacing w:after="0"/>
              <w:rPr>
                <w:sz w:val="20"/>
                <w:szCs w:val="20"/>
                <w:color w:val="auto"/>
              </w:rPr>
            </w:pPr>
            <w:r>
              <w:rPr>
                <w:rFonts w:ascii="Calibri" w:cs="Calibri" w:eastAsia="Calibri" w:hAnsi="Calibri"/>
                <w:sz w:val="21"/>
                <w:szCs w:val="21"/>
                <w:b w:val="1"/>
                <w:bCs w:val="1"/>
                <w:color w:val="0591DB"/>
              </w:rPr>
              <w:t>  2025 ACCOMPLISHMENTS</w:t>
            </w:r>
          </w:p>
        </w:tc>
      </w:tr>
      <w:tr>
        <w:trPr>
          <w:trHeight w:val="104"/>
        </w:trPr>
        <w:tc>
          <w:tcPr>
            <w:tcW w:w="4300" w:type="dxa"/>
            <w:vAlign w:val="bottom"/>
            <w:tcBorders>
              <w:left w:val="single" w:sz="8" w:color="0591DB"/>
              <w:bottom w:val="single" w:sz="8" w:color="0591DB"/>
              <w:right w:val="single" w:sz="8" w:color="0591DB"/>
            </w:tcBorders>
          </w:tcPr>
          <w:p>
            <w:pPr>
              <w:spacing w:after="0"/>
              <w:rPr>
                <w:sz w:val="9"/>
                <w:szCs w:val="9"/>
                <w:color w:val="auto"/>
              </w:rPr>
            </w:pPr>
          </w:p>
        </w:tc>
        <w:tc>
          <w:tcPr>
            <w:tcW w:w="6640" w:type="dxa"/>
            <w:vAlign w:val="bottom"/>
            <w:tcBorders>
              <w:bottom w:val="single" w:sz="8" w:color="0591DB"/>
              <w:right w:val="single" w:sz="8" w:color="0591DB"/>
            </w:tcBorders>
          </w:tcPr>
          <w:p>
            <w:pPr>
              <w:spacing w:after="0"/>
              <w:rPr>
                <w:sz w:val="9"/>
                <w:szCs w:val="9"/>
                <w:color w:val="auto"/>
              </w:rPr>
            </w:pP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ind w:left="260"/>
        <w:spacing w:after="0" w:line="203" w:lineRule="auto"/>
        <w:rPr>
          <w:sz w:val="20"/>
          <w:szCs w:val="20"/>
          <w:color w:val="auto"/>
        </w:rPr>
      </w:pPr>
      <w:r>
        <w:rPr>
          <w:rFonts w:ascii="Calibri" w:cs="Calibri" w:eastAsia="Calibri" w:hAnsi="Calibri"/>
          <w:sz w:val="17"/>
          <w:szCs w:val="17"/>
          <w:b w:val="1"/>
          <w:bCs w:val="1"/>
          <w:color w:val="333333"/>
        </w:rPr>
        <w:t>Execute efectve capital allocaton strategy</w:t>
      </w:r>
    </w:p>
    <w:p>
      <w:pPr>
        <w:spacing w:after="0" w:line="225" w:lineRule="exact"/>
        <w:rPr>
          <w:sz w:val="20"/>
          <w:szCs w:val="20"/>
          <w:color w:val="auto"/>
        </w:rPr>
      </w:pPr>
    </w:p>
    <w:p>
      <w:pPr>
        <w:ind w:left="260" w:right="560"/>
        <w:spacing w:after="0" w:line="233" w:lineRule="auto"/>
        <w:rPr>
          <w:sz w:val="20"/>
          <w:szCs w:val="20"/>
          <w:color w:val="auto"/>
        </w:rPr>
      </w:pPr>
      <w:r>
        <w:rPr>
          <w:rFonts w:ascii="Calibri" w:cs="Calibri" w:eastAsia="Calibri" w:hAnsi="Calibri"/>
          <w:sz w:val="17"/>
          <w:szCs w:val="17"/>
          <w:b w:val="1"/>
          <w:bCs w:val="1"/>
          <w:color w:val="333333"/>
        </w:rPr>
        <w:t>Contnue to drive cost-efectveness and cash optmizaton</w:t>
      </w:r>
    </w:p>
    <w:p>
      <w:pPr>
        <w:spacing w:after="0" w:line="25" w:lineRule="exact"/>
        <w:rPr>
          <w:sz w:val="20"/>
          <w:szCs w:val="20"/>
          <w:color w:val="auto"/>
        </w:rPr>
      </w:pPr>
    </w:p>
    <w:p>
      <w:pPr>
        <w:ind w:left="260"/>
        <w:spacing w:after="0" w:line="233" w:lineRule="auto"/>
        <w:rPr>
          <w:sz w:val="20"/>
          <w:szCs w:val="20"/>
          <w:color w:val="auto"/>
        </w:rPr>
      </w:pPr>
      <w:r>
        <w:rPr>
          <w:rFonts w:ascii="Calibri" w:cs="Calibri" w:eastAsia="Calibri" w:hAnsi="Calibri"/>
          <w:sz w:val="17"/>
          <w:szCs w:val="17"/>
          <w:b w:val="1"/>
          <w:bCs w:val="1"/>
          <w:color w:val="333333"/>
        </w:rPr>
        <w:t>Support business segments and regions with revising strategies and driving prioritzed initatves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right="1220"/>
        <w:spacing w:after="0" w:line="233" w:lineRule="auto"/>
        <w:rPr>
          <w:sz w:val="20"/>
          <w:szCs w:val="20"/>
          <w:color w:val="auto"/>
        </w:rPr>
      </w:pPr>
      <w:r>
        <w:rPr>
          <w:rFonts w:ascii="Calibri" w:cs="Calibri" w:eastAsia="Calibri" w:hAnsi="Calibri"/>
          <w:sz w:val="17"/>
          <w:szCs w:val="17"/>
          <w:b w:val="1"/>
          <w:bCs w:val="1"/>
          <w:color w:val="333333"/>
        </w:rPr>
        <w:t>Maintain and enhance relatonships with investor community</w:t>
      </w:r>
    </w:p>
    <w:p>
      <w:pPr>
        <w:spacing w:after="0" w:line="328"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Manage informaton technology</w:t>
      </w:r>
    </w:p>
    <w:p>
      <w:pPr>
        <w:ind w:left="260"/>
        <w:spacing w:after="0" w:line="232" w:lineRule="auto"/>
        <w:rPr>
          <w:sz w:val="20"/>
          <w:szCs w:val="20"/>
          <w:color w:val="auto"/>
        </w:rPr>
      </w:pPr>
      <w:r>
        <w:rPr>
          <w:rFonts w:ascii="Calibri" w:cs="Calibri" w:eastAsia="Calibri" w:hAnsi="Calibri"/>
          <w:sz w:val="17"/>
          <w:szCs w:val="17"/>
          <w:b w:val="1"/>
          <w:bCs w:val="1"/>
          <w:color w:val="333333"/>
        </w:rPr>
        <w:t>excellence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right="40"/>
        <w:spacing w:after="0" w:line="233" w:lineRule="auto"/>
        <w:rPr>
          <w:sz w:val="20"/>
          <w:szCs w:val="20"/>
          <w:color w:val="auto"/>
        </w:rPr>
      </w:pPr>
      <w:r>
        <w:rPr>
          <w:rFonts w:ascii="Calibri" w:cs="Calibri" w:eastAsia="Calibri" w:hAnsi="Calibri"/>
          <w:sz w:val="17"/>
          <w:szCs w:val="17"/>
          <w:b w:val="1"/>
          <w:bCs w:val="1"/>
          <w:color w:val="333333"/>
        </w:rPr>
        <w:t>Ensure all fnancial statements fled with the SEC are accurate and tmely</w:t>
      </w:r>
    </w:p>
    <w:p>
      <w:pPr>
        <w:spacing w:after="0" w:line="127"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Enhance the Company’s ESG initatves and reportng</w:t>
      </w:r>
    </w:p>
    <w:p>
      <w:pPr>
        <w:spacing w:after="0" w:line="200" w:lineRule="exact"/>
        <w:rPr>
          <w:sz w:val="20"/>
          <w:szCs w:val="20"/>
          <w:color w:val="auto"/>
        </w:rPr>
      </w:pPr>
    </w:p>
    <w:p>
      <w:pPr>
        <w:spacing w:after="0" w:line="226" w:lineRule="exact"/>
        <w:rPr>
          <w:sz w:val="20"/>
          <w:szCs w:val="20"/>
          <w:color w:val="auto"/>
        </w:rPr>
      </w:pPr>
    </w:p>
    <w:p>
      <w:pPr>
        <w:ind w:left="260" w:right="180"/>
        <w:spacing w:after="0" w:line="233" w:lineRule="auto"/>
        <w:rPr>
          <w:sz w:val="20"/>
          <w:szCs w:val="20"/>
          <w:color w:val="auto"/>
        </w:rPr>
      </w:pPr>
      <w:r>
        <w:rPr>
          <w:rFonts w:ascii="Calibri" w:cs="Calibri" w:eastAsia="Calibri" w:hAnsi="Calibri"/>
          <w:sz w:val="17"/>
          <w:szCs w:val="17"/>
          <w:b w:val="1"/>
          <w:bCs w:val="1"/>
          <w:color w:val="333333"/>
        </w:rPr>
        <w:t>Execute real estate projects and contnue planning 2025/2026 projects</w:t>
      </w:r>
    </w:p>
    <w:p>
      <w:pPr>
        <w:spacing w:after="0" w:line="20" w:lineRule="exact"/>
        <w:rPr>
          <w:sz w:val="20"/>
          <w:szCs w:val="20"/>
          <w:color w:val="auto"/>
        </w:rPr>
      </w:pPr>
      <w:r>
        <w:rPr>
          <w:sz w:val="20"/>
          <w:szCs w:val="20"/>
          <w:color w:val="auto"/>
        </w:rPr>
        <w:br w:type="column"/>
      </w:r>
    </w:p>
    <w:p>
      <w:pPr>
        <w:ind w:left="268" w:right="18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Returned $858.6 million to shareholders by repurchasing 15% of shares outstanding at an average price of $163.07 per share in 2025.</w:t>
      </w:r>
    </w:p>
    <w:p>
      <w:pPr>
        <w:spacing w:after="0" w:line="24" w:lineRule="exact"/>
        <w:rPr>
          <w:rFonts w:ascii="MS PGothic" w:cs="MS PGothic" w:eastAsia="MS PGothic" w:hAnsi="MS PGothic"/>
          <w:sz w:val="17"/>
          <w:szCs w:val="17"/>
          <w:color w:val="0591DB"/>
        </w:rPr>
      </w:pPr>
    </w:p>
    <w:p>
      <w:pPr>
        <w:ind w:left="268" w:right="18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Reduced Days Sales Outstanding (‘‘DSO’’) from 97 days on December 31, 2024 to 88 days on December 31, 2025.</w:t>
      </w:r>
    </w:p>
    <w:p>
      <w:pPr>
        <w:spacing w:after="0" w:line="25" w:lineRule="exact"/>
        <w:rPr>
          <w:rFonts w:ascii="MS PGothic" w:cs="MS PGothic" w:eastAsia="MS PGothic" w:hAnsi="MS PGothic"/>
          <w:sz w:val="17"/>
          <w:szCs w:val="17"/>
          <w:color w:val="0591DB"/>
        </w:rPr>
      </w:pPr>
    </w:p>
    <w:p>
      <w:pPr>
        <w:ind w:left="268" w:right="20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Supported segments in development of investment business cases to drive the next generaton of growth.</w:t>
      </w:r>
    </w:p>
    <w:p>
      <w:pPr>
        <w:spacing w:after="0" w:line="105" w:lineRule="exact"/>
        <w:rPr>
          <w:rFonts w:ascii="MS PGothic" w:cs="MS PGothic" w:eastAsia="MS PGothic" w:hAnsi="MS PGothic"/>
          <w:sz w:val="17"/>
          <w:szCs w:val="17"/>
          <w:color w:val="0591DB"/>
        </w:rPr>
      </w:pPr>
    </w:p>
    <w:p>
      <w:pPr>
        <w:ind w:left="268" w:right="180" w:hanging="268"/>
        <w:spacing w:after="0" w:line="232"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Partnered with segments teams in North America to review pricing benchmarks and identfy and implement opportunites for revenue growth through pricing best practces.</w:t>
      </w:r>
    </w:p>
    <w:p>
      <w:pPr>
        <w:spacing w:after="0" w:line="107" w:lineRule="exact"/>
        <w:rPr>
          <w:rFonts w:ascii="MS PGothic" w:cs="MS PGothic" w:eastAsia="MS PGothic" w:hAnsi="MS PGothic"/>
          <w:sz w:val="17"/>
          <w:szCs w:val="17"/>
          <w:color w:val="0591DB"/>
        </w:rPr>
      </w:pPr>
    </w:p>
    <w:p>
      <w:pPr>
        <w:ind w:left="268" w:right="40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Contnued a multyear efort to support the EMEA region in refning its ambitous growth agenda.</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Contnued to support new Asia regional leadership with growth strategy eforts.</w:t>
      </w:r>
    </w:p>
    <w:p>
      <w:pPr>
        <w:spacing w:after="0" w:line="36" w:lineRule="exact"/>
        <w:rPr>
          <w:rFonts w:ascii="MS PGothic" w:cs="MS PGothic" w:eastAsia="MS PGothic" w:hAnsi="MS PGothic"/>
          <w:sz w:val="17"/>
          <w:szCs w:val="17"/>
          <w:color w:val="0591DB"/>
        </w:rPr>
      </w:pPr>
    </w:p>
    <w:p>
      <w:pPr>
        <w:ind w:left="268" w:hanging="268"/>
        <w:spacing w:after="0" w:line="221"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Maintained regular contact and credibility with shareholders and sell-side analysts.</w:t>
      </w:r>
    </w:p>
    <w:p>
      <w:pPr>
        <w:spacing w:after="0" w:line="104" w:lineRule="exact"/>
        <w:rPr>
          <w:rFonts w:ascii="MS PGothic" w:cs="MS PGothic" w:eastAsia="MS PGothic" w:hAnsi="MS PGothic"/>
          <w:sz w:val="17"/>
          <w:szCs w:val="17"/>
          <w:color w:val="0591DB"/>
        </w:rPr>
      </w:pPr>
    </w:p>
    <w:p>
      <w:pPr>
        <w:ind w:left="268" w:right="40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Atracted new high-quality actve shareholders who have built meaningful top 30 positons.</w:t>
      </w:r>
    </w:p>
    <w:p>
      <w:pPr>
        <w:spacing w:after="0" w:line="2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No known loss of data from cybersecurity breach incidents in 2025.</w:t>
      </w:r>
    </w:p>
    <w:p>
      <w:pPr>
        <w:spacing w:after="0" w:line="104" w:lineRule="exact"/>
        <w:rPr>
          <w:rFonts w:ascii="MS PGothic" w:cs="MS PGothic" w:eastAsia="MS PGothic" w:hAnsi="MS PGothic"/>
          <w:sz w:val="17"/>
          <w:szCs w:val="17"/>
          <w:color w:val="0591DB"/>
        </w:rPr>
      </w:pPr>
    </w:p>
    <w:p>
      <w:pPr>
        <w:ind w:left="268" w:right="38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Contnued to enhance and progress internal cybersecurity programs, policies and tools.</w:t>
      </w:r>
    </w:p>
    <w:p>
      <w:pPr>
        <w:spacing w:after="0" w:line="105" w:lineRule="exact"/>
        <w:rPr>
          <w:rFonts w:ascii="MS PGothic" w:cs="MS PGothic" w:eastAsia="MS PGothic" w:hAnsi="MS PGothic"/>
          <w:sz w:val="17"/>
          <w:szCs w:val="17"/>
          <w:color w:val="0591DB"/>
        </w:rPr>
      </w:pPr>
    </w:p>
    <w:p>
      <w:pPr>
        <w:ind w:left="268" w:right="4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Contnued to enhance efciencies within the Company’s Enterprise Resource Planning (‘‘ERP’’) system.</w:t>
      </w:r>
    </w:p>
    <w:p>
      <w:pPr>
        <w:spacing w:after="0" w:line="2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All SEC flings were tmely fled in 2025.</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No signifcant defciencies or material weaknesses reported for 2025.</w:t>
      </w:r>
    </w:p>
    <w:p>
      <w:pPr>
        <w:spacing w:after="0" w:line="35" w:lineRule="exact"/>
        <w:rPr>
          <w:rFonts w:ascii="MS PGothic" w:cs="MS PGothic" w:eastAsia="MS PGothic" w:hAnsi="MS PGothic"/>
          <w:sz w:val="17"/>
          <w:szCs w:val="17"/>
          <w:color w:val="0591DB"/>
        </w:rPr>
      </w:pPr>
    </w:p>
    <w:p>
      <w:pPr>
        <w:ind w:left="268" w:right="60" w:hanging="268"/>
        <w:spacing w:after="0" w:line="228"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Improved CDP score from a C in 2024 to a B- in 2025, which was largely a result of the achievement of Science Based Targets Initatve (“SBTi”) validaton and third-party verifcaton of full emissions inventory.</w:t>
      </w:r>
    </w:p>
    <w:p>
      <w:pPr>
        <w:spacing w:after="0" w:line="25" w:lineRule="exact"/>
        <w:rPr>
          <w:rFonts w:ascii="MS PGothic" w:cs="MS PGothic" w:eastAsia="MS PGothic" w:hAnsi="MS PGothic"/>
          <w:sz w:val="17"/>
          <w:szCs w:val="17"/>
          <w:color w:val="0591DB"/>
        </w:rPr>
      </w:pPr>
    </w:p>
    <w:p>
      <w:pPr>
        <w:ind w:left="268" w:right="60" w:hanging="268"/>
        <w:spacing w:after="0" w:line="233"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Maintained costs below real estate cost target of 4.0% of Company revenues that was communicated at the Company’s 2017 Investor Day.</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Delivered 54 real estate projects of varying size and scope in 2025.</w:t>
      </w:r>
    </w:p>
    <w:p>
      <w:pPr>
        <w:spacing w:after="0" w:line="104" w:lineRule="exact"/>
        <w:rPr>
          <w:rFonts w:ascii="MS PGothic" w:cs="MS PGothic" w:eastAsia="MS PGothic" w:hAnsi="MS PGothic"/>
          <w:sz w:val="17"/>
          <w:szCs w:val="17"/>
          <w:color w:val="0591DB"/>
        </w:rPr>
      </w:pPr>
    </w:p>
    <w:p>
      <w:pPr>
        <w:ind w:left="268" w:right="120" w:hanging="268"/>
        <w:spacing w:after="0" w:line="232" w:lineRule="auto"/>
        <w:tabs>
          <w:tab w:leader="none" w:pos="268" w:val="left"/>
        </w:tabs>
        <w:numPr>
          <w:ilvl w:val="0"/>
          <w:numId w:val="88"/>
        </w:numPr>
        <w:rPr>
          <w:rFonts w:ascii="MS PGothic" w:cs="MS PGothic" w:eastAsia="MS PGothic" w:hAnsi="MS PGothic"/>
          <w:sz w:val="17"/>
          <w:szCs w:val="17"/>
          <w:color w:val="0591DB"/>
        </w:rPr>
      </w:pPr>
      <w:r>
        <w:rPr>
          <w:rFonts w:ascii="Calibri" w:cs="Calibri" w:eastAsia="Calibri" w:hAnsi="Calibri"/>
          <w:sz w:val="17"/>
          <w:szCs w:val="17"/>
          <w:color w:val="333333"/>
        </w:rPr>
        <w:t>Completed lease negotatons for a new ofce space in London, which, when completed, will improve the workplace environment for professionals while reducing the Company’s environmental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-4406900</wp:posOffset>
            </wp:positionV>
            <wp:extent cx="6929755" cy="271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27178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-2894965</wp:posOffset>
            </wp:positionV>
            <wp:extent cx="6929755" cy="467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4673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-899160</wp:posOffset>
            </wp:positionV>
            <wp:extent cx="6929755" cy="916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91694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-1638300</wp:posOffset>
            </wp:positionV>
            <wp:extent cx="6929755" cy="339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339725"/>
                    </a:xfrm>
                    <a:prstGeom prst="rect">
                      <a:avLst/>
                    </a:prstGeom>
                    <a:noFill/>
                  </pic:spPr>
                </pic:pic>
              </a:graphicData>
            </a:graphic>
          </wp:anchor>
        </w:drawing>
      </w:r>
    </w:p>
    <w:p>
      <w:pPr>
        <w:spacing w:after="0" w:line="123" w:lineRule="exact"/>
        <w:rPr>
          <w:sz w:val="20"/>
          <w:szCs w:val="20"/>
          <w:color w:val="auto"/>
        </w:rPr>
      </w:pPr>
    </w:p>
    <w:p>
      <w:pPr>
        <w:ind w:left="808"/>
        <w:spacing w:after="0"/>
        <w:rPr>
          <w:sz w:val="20"/>
          <w:szCs w:val="20"/>
          <w:color w:val="auto"/>
        </w:rPr>
      </w:pPr>
      <w:r>
        <w:rPr>
          <w:rFonts w:ascii="Calibri" w:cs="Calibri" w:eastAsia="Calibri" w:hAnsi="Calibri"/>
          <w:sz w:val="17"/>
          <w:szCs w:val="17"/>
          <w:color w:val="333333"/>
        </w:rPr>
        <w:t>72</w:t>
      </w:r>
    </w:p>
    <w:p>
      <w:pPr>
        <w:sectPr>
          <w:pgSz w:w="11900" w:h="16838" w:orient="portrait"/>
          <w:cols w:equalWidth="0" w:num="2">
            <w:col w:w="4060" w:space="672"/>
            <w:col w:w="6368"/>
          </w:cols>
          <w:pgMar w:left="320" w:top="478" w:right="47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CURTIS P. LU’S INDIVIDUAL PERFORMANCE HIGHLIGHTS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4300" w:type="dxa"/>
            <w:vAlign w:val="bottom"/>
            <w:tcBorders>
              <w:top w:val="single" w:sz="8" w:color="0591DB"/>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2025 GOALS</w:t>
            </w:r>
          </w:p>
        </w:tc>
        <w:tc>
          <w:tcPr>
            <w:tcW w:w="6640" w:type="dxa"/>
            <w:vAlign w:val="bottom"/>
            <w:tcBorders>
              <w:top w:val="single" w:sz="8" w:color="0591DB"/>
              <w:right w:val="single" w:sz="8" w:color="0591DB"/>
            </w:tcBorders>
          </w:tcPr>
          <w:p>
            <w:pPr>
              <w:ind w:left="180"/>
              <w:spacing w:after="0"/>
              <w:rPr>
                <w:sz w:val="20"/>
                <w:szCs w:val="20"/>
                <w:color w:val="auto"/>
              </w:rPr>
            </w:pPr>
            <w:r>
              <w:rPr>
                <w:rFonts w:ascii="Calibri" w:cs="Calibri" w:eastAsia="Calibri" w:hAnsi="Calibri"/>
                <w:sz w:val="21"/>
                <w:szCs w:val="21"/>
                <w:b w:val="1"/>
                <w:bCs w:val="1"/>
                <w:color w:val="0591DB"/>
              </w:rPr>
              <w:t>  2025 ACCOMPLISHMENTS</w:t>
            </w:r>
          </w:p>
        </w:tc>
      </w:tr>
      <w:tr>
        <w:trPr>
          <w:trHeight w:val="104"/>
        </w:trPr>
        <w:tc>
          <w:tcPr>
            <w:tcW w:w="4300" w:type="dxa"/>
            <w:vAlign w:val="bottom"/>
            <w:tcBorders>
              <w:left w:val="single" w:sz="8" w:color="0591DB"/>
              <w:bottom w:val="single" w:sz="8" w:color="0591DB"/>
              <w:right w:val="single" w:sz="8" w:color="0591DB"/>
            </w:tcBorders>
          </w:tcPr>
          <w:p>
            <w:pPr>
              <w:spacing w:after="0"/>
              <w:rPr>
                <w:sz w:val="9"/>
                <w:szCs w:val="9"/>
                <w:color w:val="auto"/>
              </w:rPr>
            </w:pPr>
          </w:p>
        </w:tc>
        <w:tc>
          <w:tcPr>
            <w:tcW w:w="6640" w:type="dxa"/>
            <w:vAlign w:val="bottom"/>
            <w:tcBorders>
              <w:bottom w:val="single" w:sz="8" w:color="0591DB"/>
              <w:right w:val="single" w:sz="8" w:color="0591DB"/>
            </w:tcBorders>
          </w:tcPr>
          <w:p>
            <w:pPr>
              <w:spacing w:after="0"/>
              <w:rPr>
                <w:sz w:val="9"/>
                <w:szCs w:val="9"/>
                <w:color w:val="auto"/>
              </w:rPr>
            </w:pP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ind w:left="260"/>
        <w:spacing w:after="0" w:line="203" w:lineRule="auto"/>
        <w:rPr>
          <w:sz w:val="20"/>
          <w:szCs w:val="20"/>
          <w:color w:val="auto"/>
        </w:rPr>
      </w:pPr>
      <w:r>
        <w:rPr>
          <w:rFonts w:ascii="Calibri" w:cs="Calibri" w:eastAsia="Calibri" w:hAnsi="Calibri"/>
          <w:sz w:val="17"/>
          <w:szCs w:val="17"/>
          <w:b w:val="1"/>
          <w:bCs w:val="1"/>
          <w:color w:val="333333"/>
        </w:rPr>
        <w:t>Manage litgaton and claims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right="180"/>
        <w:spacing w:after="0" w:line="233" w:lineRule="auto"/>
        <w:rPr>
          <w:sz w:val="20"/>
          <w:szCs w:val="20"/>
          <w:color w:val="auto"/>
        </w:rPr>
      </w:pPr>
      <w:r>
        <w:rPr>
          <w:rFonts w:ascii="Calibri" w:cs="Calibri" w:eastAsia="Calibri" w:hAnsi="Calibri"/>
          <w:sz w:val="17"/>
          <w:szCs w:val="17"/>
          <w:b w:val="1"/>
          <w:bCs w:val="1"/>
          <w:color w:val="333333"/>
        </w:rPr>
        <w:t>Manage and mitgate legal, compliance and regulatory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260"/>
        <w:spacing w:after="0" w:line="232" w:lineRule="auto"/>
        <w:rPr>
          <w:sz w:val="20"/>
          <w:szCs w:val="20"/>
          <w:color w:val="auto"/>
        </w:rPr>
      </w:pPr>
      <w:r>
        <w:rPr>
          <w:rFonts w:ascii="Calibri" w:cs="Calibri" w:eastAsia="Calibri" w:hAnsi="Calibri"/>
          <w:sz w:val="17"/>
          <w:szCs w:val="17"/>
          <w:b w:val="1"/>
          <w:bCs w:val="1"/>
          <w:color w:val="333333"/>
        </w:rPr>
        <w:t>Support FTI Consultng in giving back to our communites and foster a culture of inclusion &amp; belonging and being a responsible corporate citzen</w:t>
      </w:r>
    </w:p>
    <w:p>
      <w:pPr>
        <w:spacing w:after="0" w:line="20" w:lineRule="exact"/>
        <w:rPr>
          <w:sz w:val="20"/>
          <w:szCs w:val="20"/>
          <w:color w:val="auto"/>
        </w:rPr>
      </w:pPr>
      <w:r>
        <w:rPr>
          <w:sz w:val="20"/>
          <w:szCs w:val="20"/>
          <w:color w:val="auto"/>
        </w:rPr>
        <w:br w:type="column"/>
      </w:r>
    </w:p>
    <w:p>
      <w:pPr>
        <w:ind w:left="268" w:right="620" w:hanging="268"/>
        <w:spacing w:after="0" w:line="233"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Protected the FTI Consultng brand by efectvely overseeing claims, managing litgaton and mitgatng frmwide risks.</w:t>
      </w:r>
    </w:p>
    <w:p>
      <w:pPr>
        <w:spacing w:after="0" w:line="104" w:lineRule="exact"/>
        <w:rPr>
          <w:rFonts w:ascii="MS PGothic" w:cs="MS PGothic" w:eastAsia="MS PGothic" w:hAnsi="MS PGothic"/>
          <w:sz w:val="17"/>
          <w:szCs w:val="17"/>
          <w:color w:val="0591DB"/>
        </w:rPr>
      </w:pPr>
    </w:p>
    <w:p>
      <w:pPr>
        <w:ind w:left="268" w:right="200" w:hanging="268"/>
        <w:spacing w:after="0" w:line="233"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Managed and led numerous and important legal negotatons resultng in successful business contnuity.</w:t>
      </w:r>
    </w:p>
    <w:p>
      <w:pPr>
        <w:spacing w:after="0" w:line="25" w:lineRule="exact"/>
        <w:rPr>
          <w:rFonts w:ascii="MS PGothic" w:cs="MS PGothic" w:eastAsia="MS PGothic" w:hAnsi="MS PGothic"/>
          <w:sz w:val="17"/>
          <w:szCs w:val="17"/>
          <w:color w:val="0591DB"/>
        </w:rPr>
      </w:pPr>
    </w:p>
    <w:p>
      <w:pPr>
        <w:jc w:val="both"/>
        <w:ind w:left="268" w:right="440" w:hanging="268"/>
        <w:spacing w:after="0" w:line="232"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Managed complex confict issues, maintaining consistency within the Company’s clearance and disclosure processes, and strengthened training and educaton on conficts across the Company.</w:t>
      </w:r>
    </w:p>
    <w:p>
      <w:pPr>
        <w:spacing w:after="0" w:line="107" w:lineRule="exact"/>
        <w:rPr>
          <w:rFonts w:ascii="MS PGothic" w:cs="MS PGothic" w:eastAsia="MS PGothic" w:hAnsi="MS PGothic"/>
          <w:sz w:val="17"/>
          <w:szCs w:val="17"/>
          <w:color w:val="0591DB"/>
        </w:rPr>
      </w:pPr>
    </w:p>
    <w:p>
      <w:pPr>
        <w:ind w:left="268" w:right="260" w:hanging="268"/>
        <w:spacing w:after="0" w:line="232"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Managed reputatonal and cybersecurity risk for the Company, partnering with Human Resources, Marketng, Communicatons, Informaton Technology and other departments and reported on eforts to the Board of Directors and Executve Commitee.</w:t>
      </w:r>
    </w:p>
    <w:p>
      <w:pPr>
        <w:spacing w:after="0" w:line="107" w:lineRule="exact"/>
        <w:rPr>
          <w:rFonts w:ascii="MS PGothic" w:cs="MS PGothic" w:eastAsia="MS PGothic" w:hAnsi="MS PGothic"/>
          <w:sz w:val="17"/>
          <w:szCs w:val="17"/>
          <w:color w:val="0591DB"/>
        </w:rPr>
      </w:pPr>
    </w:p>
    <w:p>
      <w:pPr>
        <w:ind w:left="268" w:right="180" w:hanging="268"/>
        <w:spacing w:after="0" w:line="233"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Managed and directed compliance with applicable laws, rules and regulatons in the jurisdictons in which we do business.</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Oversaw internal audit eforts.</w:t>
      </w:r>
    </w:p>
    <w:p>
      <w:pPr>
        <w:spacing w:after="0" w:line="36" w:lineRule="exact"/>
        <w:rPr>
          <w:rFonts w:ascii="MS PGothic" w:cs="MS PGothic" w:eastAsia="MS PGothic" w:hAnsi="MS PGothic"/>
          <w:sz w:val="17"/>
          <w:szCs w:val="17"/>
          <w:color w:val="0591DB"/>
        </w:rPr>
      </w:pPr>
    </w:p>
    <w:p>
      <w:pPr>
        <w:ind w:left="268" w:hanging="268"/>
        <w:spacing w:after="0" w:line="221"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Contnued to lead a global, cross-segment Pro Bono Advisory Commitee.</w:t>
      </w:r>
    </w:p>
    <w:p>
      <w:pPr>
        <w:spacing w:after="0" w:line="104" w:lineRule="exact"/>
        <w:rPr>
          <w:rFonts w:ascii="MS PGothic" w:cs="MS PGothic" w:eastAsia="MS PGothic" w:hAnsi="MS PGothic"/>
          <w:sz w:val="17"/>
          <w:szCs w:val="17"/>
          <w:color w:val="0591DB"/>
        </w:rPr>
      </w:pPr>
    </w:p>
    <w:p>
      <w:pPr>
        <w:ind w:left="268" w:right="320" w:hanging="268"/>
        <w:spacing w:after="0" w:line="233" w:lineRule="auto"/>
        <w:tabs>
          <w:tab w:leader="none" w:pos="268" w:val="left"/>
        </w:tabs>
        <w:numPr>
          <w:ilvl w:val="0"/>
          <w:numId w:val="89"/>
        </w:numPr>
        <w:rPr>
          <w:rFonts w:ascii="MS PGothic" w:cs="MS PGothic" w:eastAsia="MS PGothic" w:hAnsi="MS PGothic"/>
          <w:sz w:val="17"/>
          <w:szCs w:val="17"/>
          <w:color w:val="0591DB"/>
        </w:rPr>
      </w:pPr>
      <w:r>
        <w:rPr>
          <w:rFonts w:ascii="Calibri" w:cs="Calibri" w:eastAsia="Calibri" w:hAnsi="Calibri"/>
          <w:sz w:val="17"/>
          <w:szCs w:val="17"/>
          <w:color w:val="333333"/>
        </w:rPr>
        <w:t>Led the frm’s pro bono eforts, which resulted in engagements totaling more than $9.3 million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-1945005</wp:posOffset>
            </wp:positionV>
            <wp:extent cx="6929755" cy="14947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1494790"/>
                    </a:xfrm>
                    <a:prstGeom prst="rect">
                      <a:avLst/>
                    </a:prstGeom>
                    <a:noFill/>
                  </pic:spPr>
                </pic:pic>
              </a:graphicData>
            </a:graphic>
          </wp:anchor>
        </w:drawing>
      </w:r>
    </w:p>
    <w:p>
      <w:pPr>
        <w:spacing w:after="0" w:line="121" w:lineRule="exact"/>
        <w:rPr>
          <w:sz w:val="20"/>
          <w:szCs w:val="20"/>
          <w:color w:val="auto"/>
        </w:rPr>
      </w:pPr>
    </w:p>
    <w:p>
      <w:pPr>
        <w:ind w:left="808"/>
        <w:spacing w:after="0"/>
        <w:rPr>
          <w:sz w:val="20"/>
          <w:szCs w:val="20"/>
          <w:color w:val="auto"/>
        </w:rPr>
      </w:pPr>
      <w:r>
        <w:rPr>
          <w:rFonts w:ascii="Calibri" w:cs="Calibri" w:eastAsia="Calibri" w:hAnsi="Calibri"/>
          <w:sz w:val="17"/>
          <w:szCs w:val="17"/>
          <w:color w:val="333333"/>
        </w:rPr>
        <w:t>73</w:t>
      </w:r>
    </w:p>
    <w:p>
      <w:pPr>
        <w:sectPr>
          <w:pgSz w:w="11900" w:h="16838" w:orient="portrait"/>
          <w:cols w:equalWidth="0" w:num="2">
            <w:col w:w="4360" w:space="372"/>
            <w:col w:w="6368"/>
          </w:cols>
          <w:pgMar w:left="320" w:top="478" w:right="4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HOLLY PAUL’S INDIVIDUAL PERFORMANCE HIGHLIGHTS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4300" w:type="dxa"/>
            <w:vAlign w:val="bottom"/>
            <w:tcBorders>
              <w:top w:val="single" w:sz="8" w:color="0591DB"/>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2025 GOALS</w:t>
            </w:r>
          </w:p>
        </w:tc>
        <w:tc>
          <w:tcPr>
            <w:tcW w:w="6640" w:type="dxa"/>
            <w:vAlign w:val="bottom"/>
            <w:tcBorders>
              <w:top w:val="single" w:sz="8" w:color="0591DB"/>
              <w:right w:val="single" w:sz="8" w:color="0591DB"/>
            </w:tcBorders>
          </w:tcPr>
          <w:p>
            <w:pPr>
              <w:ind w:left="180"/>
              <w:spacing w:after="0"/>
              <w:rPr>
                <w:sz w:val="20"/>
                <w:szCs w:val="20"/>
                <w:color w:val="auto"/>
              </w:rPr>
            </w:pPr>
            <w:r>
              <w:rPr>
                <w:rFonts w:ascii="Calibri" w:cs="Calibri" w:eastAsia="Calibri" w:hAnsi="Calibri"/>
                <w:sz w:val="21"/>
                <w:szCs w:val="21"/>
                <w:b w:val="1"/>
                <w:bCs w:val="1"/>
                <w:color w:val="0591DB"/>
              </w:rPr>
              <w:t>  2025 ACCOMPLISHMENTS</w:t>
            </w:r>
          </w:p>
        </w:tc>
      </w:tr>
      <w:tr>
        <w:trPr>
          <w:trHeight w:val="104"/>
        </w:trPr>
        <w:tc>
          <w:tcPr>
            <w:tcW w:w="4300" w:type="dxa"/>
            <w:vAlign w:val="bottom"/>
            <w:tcBorders>
              <w:left w:val="single" w:sz="8" w:color="0591DB"/>
              <w:bottom w:val="single" w:sz="8" w:color="0591DB"/>
              <w:right w:val="single" w:sz="8" w:color="0591DB"/>
            </w:tcBorders>
          </w:tcPr>
          <w:p>
            <w:pPr>
              <w:spacing w:after="0"/>
              <w:rPr>
                <w:sz w:val="9"/>
                <w:szCs w:val="9"/>
                <w:color w:val="auto"/>
              </w:rPr>
            </w:pPr>
          </w:p>
        </w:tc>
        <w:tc>
          <w:tcPr>
            <w:tcW w:w="6640" w:type="dxa"/>
            <w:vAlign w:val="bottom"/>
            <w:tcBorders>
              <w:bottom w:val="single" w:sz="8" w:color="0591DB"/>
              <w:right w:val="single" w:sz="8" w:color="0591DB"/>
            </w:tcBorders>
          </w:tcPr>
          <w:p>
            <w:pPr>
              <w:spacing w:after="0"/>
              <w:rPr>
                <w:sz w:val="9"/>
                <w:szCs w:val="9"/>
                <w:color w:val="auto"/>
              </w:rPr>
            </w:pP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ind w:left="260"/>
        <w:spacing w:after="0" w:line="217" w:lineRule="auto"/>
        <w:rPr>
          <w:sz w:val="20"/>
          <w:szCs w:val="20"/>
          <w:color w:val="auto"/>
        </w:rPr>
      </w:pPr>
      <w:r>
        <w:rPr>
          <w:rFonts w:ascii="Calibri" w:cs="Calibri" w:eastAsia="Calibri" w:hAnsi="Calibri"/>
          <w:sz w:val="17"/>
          <w:szCs w:val="17"/>
          <w:b w:val="1"/>
          <w:bCs w:val="1"/>
          <w:color w:val="333333"/>
        </w:rPr>
        <w:t>Contnue to enhance the culture startng at the leadership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right="80"/>
        <w:spacing w:after="0" w:line="233" w:lineRule="auto"/>
        <w:rPr>
          <w:sz w:val="20"/>
          <w:szCs w:val="20"/>
          <w:color w:val="auto"/>
        </w:rPr>
      </w:pPr>
      <w:r>
        <w:rPr>
          <w:rFonts w:ascii="Calibri" w:cs="Calibri" w:eastAsia="Calibri" w:hAnsi="Calibri"/>
          <w:sz w:val="17"/>
          <w:szCs w:val="17"/>
          <w:b w:val="1"/>
          <w:bCs w:val="1"/>
          <w:color w:val="333333"/>
        </w:rPr>
        <w:t>Atract and recruit great people to FTI Consultng to drive organic growth</w:t>
      </w: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Calibri" w:cs="Calibri" w:eastAsia="Calibri" w:hAnsi="Calibri"/>
          <w:sz w:val="17"/>
          <w:szCs w:val="17"/>
          <w:b w:val="1"/>
          <w:bCs w:val="1"/>
          <w:color w:val="333333"/>
        </w:rPr>
        <w:t>Focus on eforts to build an inclusive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right="320"/>
        <w:spacing w:after="0" w:line="233" w:lineRule="auto"/>
        <w:rPr>
          <w:sz w:val="20"/>
          <w:szCs w:val="20"/>
          <w:color w:val="auto"/>
        </w:rPr>
      </w:pPr>
      <w:r>
        <w:rPr>
          <w:rFonts w:ascii="Calibri" w:cs="Calibri" w:eastAsia="Calibri" w:hAnsi="Calibri"/>
          <w:sz w:val="17"/>
          <w:szCs w:val="17"/>
          <w:b w:val="1"/>
          <w:bCs w:val="1"/>
          <w:color w:val="333333"/>
        </w:rPr>
        <w:t>Develop and train our people for high performance to beter serve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636270</wp:posOffset>
            </wp:positionV>
            <wp:extent cx="14522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8" w:right="22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Delivered successful culture-building programs, including Milestone Programs, New Consultant Orientaton and Senior Managing Director readiness programs.</w:t>
      </w:r>
    </w:p>
    <w:p>
      <w:pPr>
        <w:spacing w:after="0" w:line="104" w:lineRule="exact"/>
        <w:rPr>
          <w:rFonts w:ascii="MS PGothic" w:cs="MS PGothic" w:eastAsia="MS PGothic" w:hAnsi="MS PGothic"/>
          <w:sz w:val="17"/>
          <w:szCs w:val="17"/>
          <w:color w:val="0591DB"/>
        </w:rPr>
      </w:pPr>
    </w:p>
    <w:p>
      <w:pPr>
        <w:ind w:left="268" w:right="42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Oversaw the executon of the Company’s 12</w:t>
      </w:r>
      <w:r>
        <w:rPr>
          <w:rFonts w:ascii="Calibri" w:cs="Calibri" w:eastAsia="Calibri" w:hAnsi="Calibri"/>
          <w:sz w:val="12"/>
          <w:szCs w:val="12"/>
          <w:color w:val="333333"/>
        </w:rPr>
        <w:t>th</w:t>
      </w:r>
      <w:r>
        <w:rPr>
          <w:rFonts w:ascii="Calibri" w:cs="Calibri" w:eastAsia="Calibri" w:hAnsi="Calibri"/>
          <w:sz w:val="17"/>
          <w:szCs w:val="17"/>
          <w:color w:val="333333"/>
        </w:rPr>
        <w:t xml:space="preserve"> annual FTI Awards program, which recognized more than 380 people globally.</w:t>
      </w:r>
    </w:p>
    <w:p>
      <w:pPr>
        <w:spacing w:after="0" w:line="105" w:lineRule="exact"/>
        <w:rPr>
          <w:rFonts w:ascii="MS PGothic" w:cs="MS PGothic" w:eastAsia="MS PGothic" w:hAnsi="MS PGothic"/>
          <w:sz w:val="17"/>
          <w:szCs w:val="17"/>
          <w:color w:val="0591DB"/>
        </w:rPr>
      </w:pPr>
    </w:p>
    <w:p>
      <w:pPr>
        <w:ind w:left="268" w:right="20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FTI Consultng professionals provided more than 6,700 hours of volunteer service to support over 1,200 charitable organizatons.</w:t>
      </w:r>
    </w:p>
    <w:p>
      <w:pPr>
        <w:spacing w:after="0" w:line="25" w:lineRule="exact"/>
        <w:rPr>
          <w:rFonts w:ascii="MS PGothic" w:cs="MS PGothic" w:eastAsia="MS PGothic" w:hAnsi="MS PGothic"/>
          <w:sz w:val="17"/>
          <w:szCs w:val="17"/>
          <w:color w:val="0591DB"/>
        </w:rPr>
      </w:pPr>
    </w:p>
    <w:p>
      <w:pPr>
        <w:ind w:left="268" w:right="20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Achieved an 87% and an 80% acceptance rate for experienced hires and early talent hires, respectvely, in 2025.</w:t>
      </w:r>
    </w:p>
    <w:p>
      <w:pPr>
        <w:spacing w:after="0" w:line="105" w:lineRule="exact"/>
        <w:rPr>
          <w:rFonts w:ascii="MS PGothic" w:cs="MS PGothic" w:eastAsia="MS PGothic" w:hAnsi="MS PGothic"/>
          <w:sz w:val="17"/>
          <w:szCs w:val="17"/>
          <w:color w:val="0591DB"/>
        </w:rPr>
      </w:pPr>
    </w:p>
    <w:p>
      <w:pPr>
        <w:ind w:left="268" w:right="12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Contnued enhanced focus on employer brand, driving a 13% increase in applicatons globally compared with 2024.</w:t>
      </w:r>
    </w:p>
    <w:p>
      <w:pPr>
        <w:spacing w:after="0" w:line="25" w:lineRule="exact"/>
        <w:rPr>
          <w:rFonts w:ascii="MS PGothic" w:cs="MS PGothic" w:eastAsia="MS PGothic" w:hAnsi="MS PGothic"/>
          <w:sz w:val="17"/>
          <w:szCs w:val="17"/>
          <w:color w:val="0591DB"/>
        </w:rPr>
      </w:pPr>
    </w:p>
    <w:p>
      <w:pPr>
        <w:ind w:left="268" w:right="14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Engaged more than 2,500 employees through employee resource groups and numerous internal events to further enhance an inclusive culture among employees.</w:t>
      </w:r>
    </w:p>
    <w:p>
      <w:pPr>
        <w:spacing w:after="0" w:line="105" w:lineRule="exact"/>
        <w:rPr>
          <w:rFonts w:ascii="MS PGothic" w:cs="MS PGothic" w:eastAsia="MS PGothic" w:hAnsi="MS PGothic"/>
          <w:sz w:val="17"/>
          <w:szCs w:val="17"/>
          <w:color w:val="0591DB"/>
        </w:rPr>
      </w:pPr>
    </w:p>
    <w:p>
      <w:pPr>
        <w:ind w:left="268" w:right="24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Scaled the internal speaker series, FTI Voices, to feature nearly 50 senior leaders, encouraging dialogue on inclusion, belonging, career growth and business strategy.</w:t>
      </w:r>
    </w:p>
    <w:p>
      <w:pPr>
        <w:spacing w:after="0" w:line="105" w:lineRule="exact"/>
        <w:rPr>
          <w:rFonts w:ascii="MS PGothic" w:cs="MS PGothic" w:eastAsia="MS PGothic" w:hAnsi="MS PGothic"/>
          <w:sz w:val="17"/>
          <w:szCs w:val="17"/>
          <w:color w:val="0591DB"/>
        </w:rPr>
      </w:pPr>
    </w:p>
    <w:p>
      <w:pPr>
        <w:ind w:left="268" w:right="16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Contnued to support employees at the Manager level and above in the Managing &amp; Leading Inclusive Teams training, with nearly 450 partcipants in 2025.</w:t>
      </w:r>
    </w:p>
    <w:p>
      <w:pPr>
        <w:spacing w:after="0" w:line="25" w:lineRule="exact"/>
        <w:rPr>
          <w:rFonts w:ascii="MS PGothic" w:cs="MS PGothic" w:eastAsia="MS PGothic" w:hAnsi="MS PGothic"/>
          <w:sz w:val="17"/>
          <w:szCs w:val="17"/>
          <w:color w:val="0591DB"/>
        </w:rPr>
      </w:pPr>
    </w:p>
    <w:p>
      <w:pPr>
        <w:ind w:left="268" w:right="30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More than 1,300 professionals were promoted in 2025, recognizing and advancing talent within the Company.</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 xml:space="preserve">98% of employees </w:t>
      </w:r>
      <w:r>
        <w:rPr>
          <w:rFonts w:ascii="Calibri" w:cs="Calibri" w:eastAsia="Calibri" w:hAnsi="Calibri"/>
          <w:sz w:val="12"/>
          <w:szCs w:val="12"/>
          <w:color w:val="333333"/>
        </w:rPr>
        <w:t>(1)</w:t>
      </w:r>
      <w:r>
        <w:rPr>
          <w:rFonts w:ascii="Calibri" w:cs="Calibri" w:eastAsia="Calibri" w:hAnsi="Calibri"/>
          <w:sz w:val="17"/>
          <w:szCs w:val="17"/>
          <w:color w:val="333333"/>
        </w:rPr>
        <w:t xml:space="preserve"> partcipated in talent development training programs in 2025.</w:t>
      </w:r>
    </w:p>
    <w:p>
      <w:pPr>
        <w:spacing w:after="0" w:line="104" w:lineRule="exact"/>
        <w:rPr>
          <w:rFonts w:ascii="MS PGothic" w:cs="MS PGothic" w:eastAsia="MS PGothic" w:hAnsi="MS PGothic"/>
          <w:sz w:val="17"/>
          <w:szCs w:val="17"/>
          <w:color w:val="0591DB"/>
        </w:rPr>
      </w:pPr>
    </w:p>
    <w:p>
      <w:pPr>
        <w:ind w:left="268" w:right="460" w:hanging="268"/>
        <w:spacing w:after="0" w:line="233" w:lineRule="auto"/>
        <w:tabs>
          <w:tab w:leader="none" w:pos="268" w:val="left"/>
        </w:tabs>
        <w:numPr>
          <w:ilvl w:val="0"/>
          <w:numId w:val="90"/>
        </w:numPr>
        <w:rPr>
          <w:rFonts w:ascii="MS PGothic" w:cs="MS PGothic" w:eastAsia="MS PGothic" w:hAnsi="MS PGothic"/>
          <w:sz w:val="17"/>
          <w:szCs w:val="17"/>
          <w:color w:val="0591DB"/>
        </w:rPr>
      </w:pPr>
      <w:r>
        <w:rPr>
          <w:rFonts w:ascii="Calibri" w:cs="Calibri" w:eastAsia="Calibri" w:hAnsi="Calibri"/>
          <w:sz w:val="17"/>
          <w:szCs w:val="17"/>
          <w:color w:val="333333"/>
        </w:rPr>
        <w:t>More than 4,000 employees across all levels and regions partcipated in artfcial intelligence trainings.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-2284730</wp:posOffset>
            </wp:positionV>
            <wp:extent cx="6929755" cy="5943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-772795</wp:posOffset>
            </wp:positionV>
            <wp:extent cx="6929755" cy="789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78994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4440" w:space="292"/>
            <w:col w:w="6368"/>
          </w:cols>
          <w:pgMar w:left="320" w:top="478" w:right="479" w:bottom="1440" w:gutter="0" w:footer="0" w:header="0"/>
          <w:type w:val="continuous"/>
        </w:sectPr>
      </w:pPr>
    </w:p>
    <w:p>
      <w:pPr>
        <w:ind w:left="600" w:right="440" w:hanging="433"/>
        <w:spacing w:after="0" w:line="233" w:lineRule="auto"/>
        <w:tabs>
          <w:tab w:leader="none" w:pos="600" w:val="left"/>
        </w:tabs>
        <w:numPr>
          <w:ilvl w:val="0"/>
          <w:numId w:val="91"/>
        </w:numPr>
        <w:rPr>
          <w:rFonts w:ascii="Calibri" w:cs="Calibri" w:eastAsia="Calibri" w:hAnsi="Calibri"/>
          <w:sz w:val="13"/>
          <w:szCs w:val="13"/>
          <w:color w:val="333333"/>
        </w:rPr>
      </w:pPr>
      <w:r>
        <w:rPr>
          <w:rFonts w:ascii="Calibri" w:cs="Calibri" w:eastAsia="Calibri" w:hAnsi="Calibri"/>
          <w:sz w:val="17"/>
          <w:szCs w:val="17"/>
          <w:color w:val="333333"/>
        </w:rPr>
        <w:t>“Employees” refers to FTI Consultng’s total headcount as reported in our Annual Report on Form 10-K fled with the SEC for each calendar year ended December 31.</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74</w:t>
      </w:r>
    </w:p>
    <w:p>
      <w:pPr>
        <w:sectPr>
          <w:pgSz w:w="11900" w:h="16838" w:orient="portrait"/>
          <w:cols w:equalWidth="0" w:num="1">
            <w:col w:w="11100"/>
          </w:cols>
          <w:pgMar w:left="320" w:top="478" w:right="47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2025 Discretonary Incentve Program</w:t>
      </w:r>
    </w:p>
    <w:p>
      <w:pPr>
        <w:spacing w:after="0" w:line="212"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Mr. Keatng receives a cash incentve award in recogniton of his performance in the prior year. Our CEO and CFO review Mr. Keatng’s accomplishments for the prior year and recommend an award amount to the Compensaton Commitee, which has the discreton to approve the award as recommended by management or to adjust the award amount based on Mr. Keatng’s individual performance. Below are the 2025 accomplishments our CEO, CFO and the Compensaton Commitee considered in determining the amount of Mr. Keatng’s discretonary incentve award.</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BRENDAN J. KEATING INDIVIDUAL PERFORMANCE HIGHLIGHTS</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4300" w:type="dxa"/>
            <w:vAlign w:val="bottom"/>
            <w:tcBorders>
              <w:top w:val="single" w:sz="8" w:color="0591DB"/>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2025 GOALS</w:t>
            </w:r>
          </w:p>
        </w:tc>
        <w:tc>
          <w:tcPr>
            <w:tcW w:w="6640" w:type="dxa"/>
            <w:vAlign w:val="bottom"/>
            <w:tcBorders>
              <w:top w:val="single" w:sz="8" w:color="0591DB"/>
              <w:right w:val="single" w:sz="8" w:color="0591DB"/>
            </w:tcBorders>
          </w:tcPr>
          <w:p>
            <w:pPr>
              <w:ind w:left="180"/>
              <w:spacing w:after="0"/>
              <w:rPr>
                <w:sz w:val="20"/>
                <w:szCs w:val="20"/>
                <w:color w:val="auto"/>
              </w:rPr>
            </w:pPr>
            <w:r>
              <w:rPr>
                <w:rFonts w:ascii="Calibri" w:cs="Calibri" w:eastAsia="Calibri" w:hAnsi="Calibri"/>
                <w:sz w:val="21"/>
                <w:szCs w:val="21"/>
                <w:b w:val="1"/>
                <w:bCs w:val="1"/>
                <w:color w:val="0591DB"/>
              </w:rPr>
              <w:t>  2025 ACCOMPLISHMENTS</w:t>
            </w:r>
          </w:p>
        </w:tc>
      </w:tr>
      <w:tr>
        <w:trPr>
          <w:trHeight w:val="104"/>
        </w:trPr>
        <w:tc>
          <w:tcPr>
            <w:tcW w:w="4300" w:type="dxa"/>
            <w:vAlign w:val="bottom"/>
            <w:tcBorders>
              <w:left w:val="single" w:sz="8" w:color="0591DB"/>
              <w:bottom w:val="single" w:sz="8" w:color="0591DB"/>
              <w:right w:val="single" w:sz="8" w:color="0591DB"/>
            </w:tcBorders>
          </w:tcPr>
          <w:p>
            <w:pPr>
              <w:spacing w:after="0"/>
              <w:rPr>
                <w:sz w:val="9"/>
                <w:szCs w:val="9"/>
                <w:color w:val="auto"/>
              </w:rPr>
            </w:pPr>
          </w:p>
        </w:tc>
        <w:tc>
          <w:tcPr>
            <w:tcW w:w="6640" w:type="dxa"/>
            <w:vAlign w:val="bottom"/>
            <w:tcBorders>
              <w:bottom w:val="single" w:sz="8" w:color="0591DB"/>
              <w:right w:val="single" w:sz="8" w:color="0591DB"/>
            </w:tcBorders>
          </w:tcPr>
          <w:p>
            <w:pPr>
              <w:spacing w:after="0"/>
              <w:rPr>
                <w:sz w:val="9"/>
                <w:szCs w:val="9"/>
                <w:color w:val="auto"/>
              </w:rPr>
            </w:pPr>
          </w:p>
        </w:tc>
      </w:tr>
    </w:tbl>
    <w:p>
      <w:pPr>
        <w:spacing w:after="0" w:line="1" w:lineRule="exact"/>
        <w:rPr>
          <w:sz w:val="20"/>
          <w:szCs w:val="20"/>
          <w:color w:val="auto"/>
        </w:rPr>
      </w:pPr>
    </w:p>
    <w:p>
      <w:pPr>
        <w:sectPr>
          <w:pgSz w:w="11900" w:h="16838" w:orient="portrait"/>
          <w:cols w:equalWidth="0" w:num="1">
            <w:col w:w="11100"/>
          </w:cols>
          <w:pgMar w:left="320" w:top="478" w:right="479" w:bottom="1440" w:gutter="0" w:footer="0" w:header="0"/>
        </w:sectPr>
      </w:pPr>
    </w:p>
    <w:p>
      <w:pPr>
        <w:ind w:left="260"/>
        <w:spacing w:after="0" w:line="217" w:lineRule="auto"/>
        <w:rPr>
          <w:sz w:val="20"/>
          <w:szCs w:val="20"/>
          <w:color w:val="auto"/>
        </w:rPr>
      </w:pPr>
      <w:r>
        <w:rPr>
          <w:rFonts w:ascii="Calibri" w:cs="Calibri" w:eastAsia="Calibri" w:hAnsi="Calibri"/>
          <w:sz w:val="17"/>
          <w:szCs w:val="17"/>
          <w:b w:val="1"/>
          <w:bCs w:val="1"/>
          <w:color w:val="333333"/>
        </w:rPr>
        <w:t>Ensure all fnancial statements fled with the SEC are accurate and tmely</w:t>
      </w:r>
    </w:p>
    <w:p>
      <w:pPr>
        <w:spacing w:after="0" w:line="132" w:lineRule="exact"/>
        <w:rPr>
          <w:sz w:val="20"/>
          <w:szCs w:val="20"/>
          <w:color w:val="auto"/>
        </w:rPr>
      </w:pPr>
    </w:p>
    <w:p>
      <w:pPr>
        <w:ind w:left="260" w:right="120"/>
        <w:spacing w:after="0" w:line="233" w:lineRule="auto"/>
        <w:rPr>
          <w:sz w:val="20"/>
          <w:szCs w:val="20"/>
          <w:color w:val="auto"/>
        </w:rPr>
      </w:pPr>
      <w:r>
        <w:rPr>
          <w:rFonts w:ascii="Calibri" w:cs="Calibri" w:eastAsia="Calibri" w:hAnsi="Calibri"/>
          <w:sz w:val="17"/>
          <w:szCs w:val="17"/>
          <w:b w:val="1"/>
          <w:bCs w:val="1"/>
          <w:color w:val="333333"/>
        </w:rPr>
        <w:t>Contnue to build out and improve efectveness of Finance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right="520"/>
        <w:spacing w:after="0" w:line="233" w:lineRule="auto"/>
        <w:rPr>
          <w:sz w:val="20"/>
          <w:szCs w:val="20"/>
          <w:color w:val="auto"/>
        </w:rPr>
      </w:pPr>
      <w:r>
        <w:rPr>
          <w:rFonts w:ascii="Calibri" w:cs="Calibri" w:eastAsia="Calibri" w:hAnsi="Calibri"/>
          <w:sz w:val="17"/>
          <w:szCs w:val="17"/>
          <w:b w:val="1"/>
          <w:bCs w:val="1"/>
          <w:color w:val="333333"/>
        </w:rPr>
        <w:t>Contnue to drive cost-efectveness and cash optmizaton</w:t>
      </w:r>
    </w:p>
    <w:p>
      <w:pPr>
        <w:spacing w:after="0" w:line="20" w:lineRule="exact"/>
        <w:rPr>
          <w:sz w:val="20"/>
          <w:szCs w:val="20"/>
          <w:color w:val="auto"/>
        </w:rPr>
      </w:pPr>
      <w:r>
        <w:rPr>
          <w:sz w:val="20"/>
          <w:szCs w:val="20"/>
          <w:color w:val="auto"/>
        </w:rPr>
        <w:br w:type="column"/>
      </w:r>
    </w:p>
    <w:p>
      <w:pPr>
        <w:ind w:left="268" w:hanging="268"/>
        <w:spacing w:after="0" w:line="234" w:lineRule="auto"/>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Ensured on-tme fling of all SEC reports throughout 2025.</w:t>
      </w:r>
    </w:p>
    <w:p>
      <w:pPr>
        <w:spacing w:after="0" w:line="100" w:lineRule="exact"/>
        <w:rPr>
          <w:rFonts w:ascii="MS PGothic" w:cs="MS PGothic" w:eastAsia="MS PGothic" w:hAnsi="MS PGothic"/>
          <w:sz w:val="17"/>
          <w:szCs w:val="17"/>
          <w:color w:val="0591DB"/>
        </w:rPr>
      </w:pPr>
    </w:p>
    <w:p>
      <w:pPr>
        <w:ind w:left="268" w:hanging="268"/>
        <w:spacing w:after="0"/>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No signifcant defciencies or material weaknesses reported for 2025.</w:t>
      </w:r>
    </w:p>
    <w:p>
      <w:pPr>
        <w:spacing w:after="0" w:line="36" w:lineRule="exact"/>
        <w:rPr>
          <w:rFonts w:ascii="MS PGothic" w:cs="MS PGothic" w:eastAsia="MS PGothic" w:hAnsi="MS PGothic"/>
          <w:sz w:val="17"/>
          <w:szCs w:val="17"/>
          <w:color w:val="0591DB"/>
        </w:rPr>
      </w:pPr>
    </w:p>
    <w:p>
      <w:pPr>
        <w:ind w:left="268" w:hanging="268"/>
        <w:spacing w:after="0" w:line="221" w:lineRule="auto"/>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Drove fnance process efciencies, reducing the monthly close cycle tme by 11%.</w:t>
      </w:r>
    </w:p>
    <w:p>
      <w:pPr>
        <w:spacing w:after="0" w:line="104" w:lineRule="exact"/>
        <w:rPr>
          <w:rFonts w:ascii="MS PGothic" w:cs="MS PGothic" w:eastAsia="MS PGothic" w:hAnsi="MS PGothic"/>
          <w:sz w:val="17"/>
          <w:szCs w:val="17"/>
          <w:color w:val="0591DB"/>
        </w:rPr>
      </w:pPr>
    </w:p>
    <w:p>
      <w:pPr>
        <w:ind w:left="268" w:right="120" w:hanging="268"/>
        <w:spacing w:after="0" w:line="232" w:lineRule="auto"/>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Enhanced fnancial reportng controls through targeted global business process improvements and ERP system confguratons, reducing risk exposure and improving compliance; concurrently expanded ERP platorm scope to additonal countries while maintaining control integrity.</w:t>
      </w:r>
    </w:p>
    <w:p>
      <w:pPr>
        <w:spacing w:after="0" w:line="107" w:lineRule="exact"/>
        <w:rPr>
          <w:rFonts w:ascii="MS PGothic" w:cs="MS PGothic" w:eastAsia="MS PGothic" w:hAnsi="MS PGothic"/>
          <w:sz w:val="17"/>
          <w:szCs w:val="17"/>
          <w:color w:val="0591DB"/>
        </w:rPr>
      </w:pPr>
    </w:p>
    <w:p>
      <w:pPr>
        <w:ind w:left="268" w:right="100" w:hanging="268"/>
        <w:spacing w:after="0" w:line="233" w:lineRule="auto"/>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Implemented workfow efciencies in global business service platorms, to accelerate delivery tmes and improve service levels provided to internal stakeholders.</w:t>
      </w:r>
    </w:p>
    <w:p>
      <w:pPr>
        <w:spacing w:after="0" w:line="25" w:lineRule="exact"/>
        <w:rPr>
          <w:rFonts w:ascii="MS PGothic" w:cs="MS PGothic" w:eastAsia="MS PGothic" w:hAnsi="MS PGothic"/>
          <w:sz w:val="17"/>
          <w:szCs w:val="17"/>
          <w:color w:val="0591DB"/>
        </w:rPr>
      </w:pPr>
    </w:p>
    <w:p>
      <w:pPr>
        <w:ind w:left="268" w:right="240" w:hanging="268"/>
        <w:spacing w:after="0" w:line="233" w:lineRule="auto"/>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Reduced Days Sales Outstanding from 97 days on December 31, 2024 to 88 days on December 31, 2025.</w:t>
      </w:r>
    </w:p>
    <w:p>
      <w:pPr>
        <w:spacing w:after="0" w:line="105" w:lineRule="exact"/>
        <w:rPr>
          <w:rFonts w:ascii="MS PGothic" w:cs="MS PGothic" w:eastAsia="MS PGothic" w:hAnsi="MS PGothic"/>
          <w:sz w:val="17"/>
          <w:szCs w:val="17"/>
          <w:color w:val="0591DB"/>
        </w:rPr>
      </w:pPr>
    </w:p>
    <w:p>
      <w:pPr>
        <w:ind w:left="268" w:right="120" w:hanging="268"/>
        <w:spacing w:after="0" w:line="232" w:lineRule="auto"/>
        <w:tabs>
          <w:tab w:leader="none" w:pos="268" w:val="left"/>
        </w:tabs>
        <w:numPr>
          <w:ilvl w:val="0"/>
          <w:numId w:val="92"/>
        </w:numPr>
        <w:rPr>
          <w:rFonts w:ascii="MS PGothic" w:cs="MS PGothic" w:eastAsia="MS PGothic" w:hAnsi="MS PGothic"/>
          <w:sz w:val="17"/>
          <w:szCs w:val="17"/>
          <w:color w:val="0591DB"/>
        </w:rPr>
      </w:pPr>
      <w:r>
        <w:rPr>
          <w:rFonts w:ascii="Calibri" w:cs="Calibri" w:eastAsia="Calibri" w:hAnsi="Calibri"/>
          <w:sz w:val="17"/>
          <w:szCs w:val="17"/>
          <w:color w:val="333333"/>
        </w:rPr>
        <w:t>Delivered mult-million dollar savings by strengthening the Procurement and Travel department negotaton processes, achieving sustained cost reductons over multple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-1748155</wp:posOffset>
            </wp:positionV>
            <wp:extent cx="6929755" cy="1044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104457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020" w:space="712"/>
            <w:col w:w="6368"/>
          </w:cols>
          <w:pgMar w:left="320" w:top="478" w:right="479" w:bottom="1440" w:gutter="0" w:footer="0" w:header="0"/>
          <w:type w:val="continuous"/>
        </w:sectPr>
      </w:pPr>
    </w:p>
    <w:p>
      <w:pPr>
        <w:jc w:val="center"/>
        <w:ind w:right="-139"/>
        <w:spacing w:after="0"/>
        <w:rPr>
          <w:sz w:val="20"/>
          <w:szCs w:val="20"/>
          <w:color w:val="auto"/>
        </w:rPr>
      </w:pPr>
      <w:r>
        <w:rPr>
          <w:rFonts w:ascii="Calibri" w:cs="Calibri" w:eastAsia="Calibri" w:hAnsi="Calibri"/>
          <w:sz w:val="15"/>
          <w:szCs w:val="15"/>
          <w:color w:val="333333"/>
        </w:rPr>
        <w:t>75</w:t>
      </w:r>
    </w:p>
    <w:p>
      <w:pPr>
        <w:sectPr>
          <w:pgSz w:w="11900" w:h="16838" w:orient="portrait"/>
          <w:cols w:equalWidth="0" w:num="1">
            <w:col w:w="11100"/>
          </w:cols>
          <w:pgMar w:left="320" w:top="478" w:right="47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2025 Annual Incentve Payout Amounts</w:t>
      </w:r>
    </w:p>
    <w:p>
      <w:pPr>
        <w:spacing w:after="0" w:line="212" w:lineRule="exact"/>
        <w:rPr>
          <w:sz w:val="20"/>
          <w:szCs w:val="20"/>
          <w:color w:val="auto"/>
        </w:rPr>
      </w:pPr>
    </w:p>
    <w:p>
      <w:pPr>
        <w:ind w:left="160" w:right="40"/>
        <w:spacing w:after="0" w:line="233" w:lineRule="auto"/>
        <w:rPr>
          <w:sz w:val="20"/>
          <w:szCs w:val="20"/>
          <w:color w:val="auto"/>
        </w:rPr>
      </w:pPr>
      <w:r>
        <w:rPr>
          <w:rFonts w:ascii="Calibri" w:cs="Calibri" w:eastAsia="Calibri" w:hAnsi="Calibri"/>
          <w:sz w:val="17"/>
          <w:szCs w:val="17"/>
          <w:color w:val="333333"/>
        </w:rPr>
        <w:t>The tables below set forth the 2025 AIP paid out to the CEO and each other partcipatng NEO based on the achievement of Adjusted EBITDA, Adjusted EPS and individual performance goals:</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80" w:type="dxa"/>
            <w:vAlign w:val="bottom"/>
            <w:tcBorders>
              <w:top w:val="single" w:sz="8" w:color="0591DB"/>
              <w:left w:val="single" w:sz="8" w:color="0591DB"/>
            </w:tcBorders>
          </w:tcPr>
          <w:p>
            <w:pPr>
              <w:spacing w:after="0"/>
              <w:rPr>
                <w:sz w:val="16"/>
                <w:szCs w:val="16"/>
                <w:color w:val="auto"/>
              </w:rPr>
            </w:pPr>
          </w:p>
        </w:tc>
        <w:tc>
          <w:tcPr>
            <w:tcW w:w="620" w:type="dxa"/>
            <w:vAlign w:val="bottom"/>
            <w:tcBorders>
              <w:top w:val="single" w:sz="8" w:color="0591DB"/>
              <w:right w:val="single" w:sz="8" w:color="0591DB"/>
            </w:tcBorders>
          </w:tcPr>
          <w:p>
            <w:pPr>
              <w:spacing w:after="0"/>
              <w:rPr>
                <w:sz w:val="16"/>
                <w:szCs w:val="16"/>
                <w:color w:val="auto"/>
              </w:rPr>
            </w:pPr>
          </w:p>
        </w:tc>
        <w:tc>
          <w:tcPr>
            <w:tcW w:w="2000" w:type="dxa"/>
            <w:vAlign w:val="bottom"/>
            <w:tcBorders>
              <w:top w:val="single" w:sz="8" w:color="0591DB"/>
              <w:right w:val="single" w:sz="8" w:color="0591DB"/>
            </w:tcBorders>
            <w:gridSpan w:val="4"/>
          </w:tcPr>
          <w:p>
            <w:pPr>
              <w:jc w:val="center"/>
              <w:ind w:left="19"/>
              <w:spacing w:after="0" w:line="186" w:lineRule="exact"/>
              <w:rPr>
                <w:sz w:val="20"/>
                <w:szCs w:val="20"/>
                <w:color w:val="auto"/>
              </w:rPr>
            </w:pPr>
            <w:r>
              <w:rPr>
                <w:rFonts w:ascii="Calibri" w:cs="Calibri" w:eastAsia="Calibri" w:hAnsi="Calibri"/>
                <w:sz w:val="12"/>
                <w:szCs w:val="12"/>
                <w:b w:val="1"/>
                <w:bCs w:val="1"/>
                <w:color w:val="0591DB"/>
                <w:w w:val="93"/>
              </w:rPr>
              <w:t xml:space="preserve">ADJUSTED EBITDA * </w:t>
            </w:r>
            <w:r>
              <w:rPr>
                <w:rFonts w:ascii="Calibri" w:cs="Calibri" w:eastAsia="Calibri" w:hAnsi="Calibri"/>
                <w:sz w:val="17"/>
                <w:szCs w:val="17"/>
                <w:b w:val="1"/>
                <w:bCs w:val="1"/>
                <w:color w:val="0591DB"/>
                <w:w w:val="93"/>
                <w:vertAlign w:val="superscript"/>
              </w:rPr>
              <w:t>(1)</w:t>
            </w:r>
          </w:p>
        </w:tc>
        <w:tc>
          <w:tcPr>
            <w:tcW w:w="1940" w:type="dxa"/>
            <w:vAlign w:val="bottom"/>
            <w:tcBorders>
              <w:top w:val="single" w:sz="8" w:color="0591DB"/>
              <w:right w:val="single" w:sz="8" w:color="0591DB"/>
            </w:tcBorders>
            <w:gridSpan w:val="3"/>
          </w:tcPr>
          <w:p>
            <w:pPr>
              <w:jc w:val="center"/>
              <w:spacing w:after="0" w:line="186" w:lineRule="exact"/>
              <w:rPr>
                <w:sz w:val="20"/>
                <w:szCs w:val="20"/>
                <w:color w:val="auto"/>
              </w:rPr>
            </w:pPr>
            <w:r>
              <w:rPr>
                <w:rFonts w:ascii="Calibri" w:cs="Calibri" w:eastAsia="Calibri" w:hAnsi="Calibri"/>
                <w:sz w:val="12"/>
                <w:szCs w:val="12"/>
                <w:b w:val="1"/>
                <w:bCs w:val="1"/>
                <w:color w:val="0591DB"/>
                <w:w w:val="93"/>
              </w:rPr>
              <w:t xml:space="preserve">ADJUSTED EPS </w:t>
            </w:r>
            <w:r>
              <w:rPr>
                <w:rFonts w:ascii="Calibri" w:cs="Calibri" w:eastAsia="Calibri" w:hAnsi="Calibri"/>
                <w:sz w:val="17"/>
                <w:szCs w:val="17"/>
                <w:b w:val="1"/>
                <w:bCs w:val="1"/>
                <w:color w:val="0591DB"/>
                <w:w w:val="93"/>
                <w:vertAlign w:val="superscript"/>
              </w:rPr>
              <w:t>(1)</w:t>
            </w:r>
          </w:p>
        </w:tc>
        <w:tc>
          <w:tcPr>
            <w:tcW w:w="2000" w:type="dxa"/>
            <w:vAlign w:val="bottom"/>
            <w:tcBorders>
              <w:top w:val="single" w:sz="8" w:color="0591DB"/>
              <w:right w:val="single" w:sz="8" w:color="0591DB"/>
            </w:tcBorders>
            <w:gridSpan w:val="3"/>
          </w:tcPr>
          <w:p>
            <w:pPr>
              <w:jc w:val="center"/>
              <w:spacing w:after="0"/>
              <w:rPr>
                <w:sz w:val="20"/>
                <w:szCs w:val="20"/>
                <w:color w:val="auto"/>
              </w:rPr>
            </w:pPr>
            <w:r>
              <w:rPr>
                <w:rFonts w:ascii="Calibri" w:cs="Calibri" w:eastAsia="Calibri" w:hAnsi="Calibri"/>
                <w:sz w:val="12"/>
                <w:szCs w:val="12"/>
                <w:b w:val="1"/>
                <w:bCs w:val="1"/>
                <w:color w:val="0591DB"/>
                <w:w w:val="95"/>
              </w:rPr>
              <w:t>INDIVIDUAL PERFORMANCE</w:t>
            </w:r>
          </w:p>
        </w:tc>
        <w:tc>
          <w:tcPr>
            <w:tcW w:w="860" w:type="dxa"/>
            <w:vAlign w:val="bottom"/>
            <w:tcBorders>
              <w:top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2"/>
              </w:rPr>
              <w:t>TOTAL</w:t>
            </w:r>
          </w:p>
        </w:tc>
        <w:tc>
          <w:tcPr>
            <w:tcW w:w="640" w:type="dxa"/>
            <w:vAlign w:val="bottom"/>
            <w:tcBorders>
              <w:top w:val="single" w:sz="8" w:color="0591DB"/>
              <w:right w:val="single" w:sz="8" w:color="0591DB"/>
            </w:tcBorders>
          </w:tcPr>
          <w:p>
            <w:pPr>
              <w:spacing w:after="0"/>
              <w:rPr>
                <w:sz w:val="16"/>
                <w:szCs w:val="16"/>
                <w:color w:val="auto"/>
              </w:rPr>
            </w:pPr>
          </w:p>
        </w:tc>
        <w:tc>
          <w:tcPr>
            <w:tcW w:w="560" w:type="dxa"/>
            <w:vAlign w:val="bottom"/>
            <w:tcBorders>
              <w:top w:val="single" w:sz="8" w:color="0591DB"/>
            </w:tcBorders>
          </w:tcPr>
          <w:p>
            <w:pPr>
              <w:spacing w:after="0"/>
              <w:rPr>
                <w:sz w:val="16"/>
                <w:szCs w:val="16"/>
                <w:color w:val="auto"/>
              </w:rPr>
            </w:pPr>
          </w:p>
        </w:tc>
        <w:tc>
          <w:tcPr>
            <w:tcW w:w="20" w:type="dxa"/>
            <w:vAlign w:val="bottom"/>
            <w:tcBorders>
              <w:top w:val="single" w:sz="8" w:color="0591DB"/>
            </w:tcBorders>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left w:val="single" w:sz="8" w:color="0591DB"/>
            </w:tcBorders>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2000" w:type="dxa"/>
            <w:vAlign w:val="bottom"/>
            <w:tcBorders>
              <w:right w:val="single" w:sz="8" w:color="0591DB"/>
            </w:tcBorders>
            <w:gridSpan w:val="4"/>
          </w:tcPr>
          <w:p>
            <w:pPr>
              <w:jc w:val="center"/>
              <w:ind w:left="19"/>
              <w:spacing w:after="0" w:line="134" w:lineRule="exact"/>
              <w:rPr>
                <w:sz w:val="20"/>
                <w:szCs w:val="20"/>
                <w:color w:val="auto"/>
              </w:rPr>
            </w:pPr>
            <w:r>
              <w:rPr>
                <w:rFonts w:ascii="Calibri" w:cs="Calibri" w:eastAsia="Calibri" w:hAnsi="Calibri"/>
                <w:sz w:val="12"/>
                <w:szCs w:val="12"/>
                <w:b w:val="1"/>
                <w:bCs w:val="1"/>
                <w:color w:val="0591DB"/>
                <w:w w:val="94"/>
              </w:rPr>
              <w:t>PAYOUT AS % OF TARGET</w:t>
            </w:r>
          </w:p>
        </w:tc>
        <w:tc>
          <w:tcPr>
            <w:tcW w:w="194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4"/>
              </w:rPr>
              <w:t>PAYOUT AS % OF TARGET</w:t>
            </w:r>
          </w:p>
        </w:tc>
        <w:tc>
          <w:tcPr>
            <w:tcW w:w="200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2"/>
              </w:rPr>
              <w:t>PAYOUT AS % OF TARGET</w:t>
            </w:r>
          </w:p>
        </w:tc>
        <w:tc>
          <w:tcPr>
            <w:tcW w:w="8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1"/>
              </w:rPr>
              <w:t>TARGET</w:t>
            </w:r>
          </w:p>
        </w:tc>
        <w:tc>
          <w:tcPr>
            <w:tcW w:w="64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8"/>
              </w:rPr>
              <w:t>2025</w:t>
            </w:r>
          </w:p>
        </w:tc>
        <w:tc>
          <w:tcPr>
            <w:tcW w:w="560" w:type="dxa"/>
            <w:vAlign w:val="bottom"/>
          </w:tcPr>
          <w:p>
            <w:pPr>
              <w:spacing w:after="0"/>
              <w:rPr>
                <w:sz w:val="11"/>
                <w:szCs w:val="11"/>
                <w:color w:val="auto"/>
              </w:rPr>
            </w:pP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left w:val="single" w:sz="8" w:color="0591DB"/>
            </w:tcBorders>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2000" w:type="dxa"/>
            <w:vAlign w:val="bottom"/>
            <w:tcBorders>
              <w:right w:val="single" w:sz="8" w:color="0591DB"/>
            </w:tcBorders>
            <w:gridSpan w:val="4"/>
          </w:tcPr>
          <w:p>
            <w:pPr>
              <w:jc w:val="center"/>
              <w:ind w:left="19"/>
              <w:spacing w:after="0" w:line="134" w:lineRule="exact"/>
              <w:rPr>
                <w:sz w:val="20"/>
                <w:szCs w:val="20"/>
                <w:color w:val="auto"/>
              </w:rPr>
            </w:pPr>
            <w:r>
              <w:rPr>
                <w:rFonts w:ascii="Calibri" w:cs="Calibri" w:eastAsia="Calibri" w:hAnsi="Calibri"/>
                <w:sz w:val="12"/>
                <w:szCs w:val="12"/>
                <w:b w:val="1"/>
                <w:bCs w:val="1"/>
                <w:color w:val="0591DB"/>
                <w:w w:val="95"/>
              </w:rPr>
              <w:t>(37.5% OF TOTAL AIP</w:t>
            </w:r>
          </w:p>
        </w:tc>
        <w:tc>
          <w:tcPr>
            <w:tcW w:w="194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5"/>
              </w:rPr>
              <w:t>(37.5% OF TOTAL AIP</w:t>
            </w:r>
          </w:p>
        </w:tc>
        <w:tc>
          <w:tcPr>
            <w:tcW w:w="2000" w:type="dxa"/>
            <w:vAlign w:val="bottom"/>
            <w:tcBorders>
              <w:right w:val="single" w:sz="8" w:color="0591DB"/>
            </w:tcBorders>
            <w:gridSpan w:val="3"/>
          </w:tcPr>
          <w:p>
            <w:pPr>
              <w:jc w:val="center"/>
              <w:ind w:left="19"/>
              <w:spacing w:after="0" w:line="134" w:lineRule="exact"/>
              <w:rPr>
                <w:sz w:val="20"/>
                <w:szCs w:val="20"/>
                <w:color w:val="auto"/>
              </w:rPr>
            </w:pPr>
            <w:r>
              <w:rPr>
                <w:rFonts w:ascii="Calibri" w:cs="Calibri" w:eastAsia="Calibri" w:hAnsi="Calibri"/>
                <w:sz w:val="12"/>
                <w:szCs w:val="12"/>
                <w:b w:val="1"/>
                <w:bCs w:val="1"/>
                <w:color w:val="0591DB"/>
                <w:w w:val="95"/>
              </w:rPr>
              <w:t>(25.0% OF TOTAL AIP</w:t>
            </w:r>
          </w:p>
        </w:tc>
        <w:tc>
          <w:tcPr>
            <w:tcW w:w="8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7"/>
              </w:rPr>
              <w:t>INCENTIVE</w:t>
            </w:r>
          </w:p>
        </w:tc>
        <w:tc>
          <w:tcPr>
            <w:tcW w:w="640" w:type="dxa"/>
            <w:vAlign w:val="bottom"/>
            <w:tcBorders>
              <w:right w:val="single" w:sz="8" w:color="0591DB"/>
            </w:tcBorders>
          </w:tcPr>
          <w:p>
            <w:pPr>
              <w:ind w:left="140"/>
              <w:spacing w:after="0" w:line="134" w:lineRule="exact"/>
              <w:rPr>
                <w:sz w:val="20"/>
                <w:szCs w:val="20"/>
                <w:color w:val="auto"/>
              </w:rPr>
            </w:pPr>
            <w:r>
              <w:rPr>
                <w:rFonts w:ascii="Calibri" w:cs="Calibri" w:eastAsia="Calibri" w:hAnsi="Calibri"/>
                <w:sz w:val="12"/>
                <w:szCs w:val="12"/>
                <w:b w:val="1"/>
                <w:bCs w:val="1"/>
                <w:color w:val="0591DB"/>
              </w:rPr>
              <w:t>EARNED</w:t>
            </w:r>
          </w:p>
        </w:tc>
        <w:tc>
          <w:tcPr>
            <w:tcW w:w="5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5"/>
              </w:rPr>
              <w:t>2025 AIP</w:t>
            </w: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tcBorders>
              <w:left w:val="single" w:sz="8" w:color="0591DB"/>
              <w:bottom w:val="single" w:sz="8" w:color="0591DB"/>
              <w:right w:val="single" w:sz="8" w:color="0591DB"/>
            </w:tcBorders>
            <w:gridSpan w:val="2"/>
          </w:tcPr>
          <w:p>
            <w:pPr>
              <w:ind w:left="140"/>
              <w:spacing w:after="0"/>
              <w:rPr>
                <w:sz w:val="20"/>
                <w:szCs w:val="20"/>
                <w:color w:val="auto"/>
              </w:rPr>
            </w:pPr>
            <w:r>
              <w:rPr>
                <w:rFonts w:ascii="Calibri" w:cs="Calibri" w:eastAsia="Calibri" w:hAnsi="Calibri"/>
                <w:sz w:val="12"/>
                <w:szCs w:val="12"/>
                <w:b w:val="1"/>
                <w:bCs w:val="1"/>
                <w:color w:val="0591DB"/>
              </w:rPr>
              <w:t>  CEO</w:t>
            </w:r>
          </w:p>
        </w:tc>
        <w:tc>
          <w:tcPr>
            <w:tcW w:w="660" w:type="dxa"/>
            <w:vAlign w:val="bottom"/>
            <w:tcBorders>
              <w:bottom w:val="single" w:sz="8" w:color="0591DB"/>
            </w:tcBorders>
          </w:tcPr>
          <w:p>
            <w:pPr>
              <w:spacing w:after="0"/>
              <w:rPr>
                <w:sz w:val="19"/>
                <w:szCs w:val="19"/>
                <w:color w:val="auto"/>
              </w:rPr>
            </w:pPr>
          </w:p>
        </w:tc>
        <w:tc>
          <w:tcPr>
            <w:tcW w:w="1340" w:type="dxa"/>
            <w:vAlign w:val="bottom"/>
            <w:tcBorders>
              <w:bottom w:val="single" w:sz="8" w:color="0591DB"/>
              <w:right w:val="single" w:sz="8" w:color="0591DB"/>
            </w:tcBorders>
            <w:gridSpan w:val="3"/>
          </w:tcPr>
          <w:p>
            <w:pPr>
              <w:jc w:val="center"/>
              <w:ind w:right="537"/>
              <w:spacing w:after="0" w:line="137" w:lineRule="exact"/>
              <w:rPr>
                <w:sz w:val="20"/>
                <w:szCs w:val="20"/>
                <w:color w:val="auto"/>
              </w:rPr>
            </w:pPr>
            <w:r>
              <w:rPr>
                <w:rFonts w:ascii="Calibri" w:cs="Calibri" w:eastAsia="Calibri" w:hAnsi="Calibri"/>
                <w:sz w:val="12"/>
                <w:szCs w:val="12"/>
                <w:b w:val="1"/>
                <w:bCs w:val="1"/>
                <w:color w:val="0591DB"/>
                <w:w w:val="96"/>
              </w:rPr>
              <w:t>OPPORTUNITY)</w:t>
            </w:r>
          </w:p>
        </w:tc>
        <w:tc>
          <w:tcPr>
            <w:tcW w:w="1940" w:type="dxa"/>
            <w:vAlign w:val="bottom"/>
            <w:tcBorders>
              <w:bottom w:val="single" w:sz="8" w:color="0591DB"/>
              <w:right w:val="single" w:sz="8" w:color="0591DB"/>
            </w:tcBorders>
            <w:gridSpan w:val="3"/>
          </w:tcPr>
          <w:p>
            <w:pPr>
              <w:jc w:val="center"/>
              <w:spacing w:after="0" w:line="137" w:lineRule="exact"/>
              <w:rPr>
                <w:sz w:val="20"/>
                <w:szCs w:val="20"/>
                <w:color w:val="auto"/>
              </w:rPr>
            </w:pPr>
            <w:r>
              <w:rPr>
                <w:rFonts w:ascii="Calibri" w:cs="Calibri" w:eastAsia="Calibri" w:hAnsi="Calibri"/>
                <w:sz w:val="12"/>
                <w:szCs w:val="12"/>
                <w:b w:val="1"/>
                <w:bCs w:val="1"/>
                <w:color w:val="0591DB"/>
                <w:w w:val="93"/>
              </w:rPr>
              <w:t>OPPORTUNITY)</w:t>
            </w:r>
          </w:p>
        </w:tc>
        <w:tc>
          <w:tcPr>
            <w:tcW w:w="2000" w:type="dxa"/>
            <w:vAlign w:val="bottom"/>
            <w:tcBorders>
              <w:bottom w:val="single" w:sz="8" w:color="0591DB"/>
              <w:right w:val="single" w:sz="8" w:color="0591DB"/>
            </w:tcBorders>
            <w:gridSpan w:val="3"/>
          </w:tcPr>
          <w:p>
            <w:pPr>
              <w:jc w:val="center"/>
              <w:spacing w:after="0" w:line="137" w:lineRule="exact"/>
              <w:rPr>
                <w:sz w:val="20"/>
                <w:szCs w:val="20"/>
                <w:color w:val="auto"/>
              </w:rPr>
            </w:pPr>
            <w:r>
              <w:rPr>
                <w:rFonts w:ascii="Calibri" w:cs="Calibri" w:eastAsia="Calibri" w:hAnsi="Calibri"/>
                <w:sz w:val="12"/>
                <w:szCs w:val="12"/>
                <w:b w:val="1"/>
                <w:bCs w:val="1"/>
                <w:color w:val="0591DB"/>
                <w:w w:val="96"/>
              </w:rPr>
              <w:t>OPPORTUNITY)</w:t>
            </w:r>
          </w:p>
        </w:tc>
        <w:tc>
          <w:tcPr>
            <w:tcW w:w="860" w:type="dxa"/>
            <w:vAlign w:val="bottom"/>
            <w:tcBorders>
              <w:bottom w:val="single" w:sz="8" w:color="0591DB"/>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7"/>
              </w:rPr>
              <w:t> OPPORTUNITY </w:t>
            </w:r>
          </w:p>
        </w:tc>
        <w:tc>
          <w:tcPr>
            <w:tcW w:w="640" w:type="dxa"/>
            <w:vAlign w:val="bottom"/>
            <w:tcBorders>
              <w:bottom w:val="single" w:sz="8" w:color="0591DB"/>
              <w:right w:val="single" w:sz="8" w:color="0591DB"/>
            </w:tcBorders>
          </w:tcPr>
          <w:p>
            <w:pPr>
              <w:ind w:left="140"/>
              <w:spacing w:after="0" w:line="229" w:lineRule="exact"/>
              <w:rPr>
                <w:sz w:val="20"/>
                <w:szCs w:val="20"/>
                <w:color w:val="auto"/>
              </w:rPr>
            </w:pPr>
            <w:r>
              <w:rPr>
                <w:rFonts w:ascii="Calibri" w:cs="Calibri" w:eastAsia="Calibri" w:hAnsi="Calibri"/>
                <w:sz w:val="23"/>
                <w:szCs w:val="23"/>
                <w:b w:val="1"/>
                <w:bCs w:val="1"/>
                <w:color w:val="0591DB"/>
                <w:w w:val="99"/>
                <w:vertAlign w:val="subscript"/>
              </w:rPr>
              <w:t>AIP</w:t>
            </w:r>
            <w:r>
              <w:rPr>
                <w:rFonts w:ascii="Calibri" w:cs="Calibri" w:eastAsia="Calibri" w:hAnsi="Calibri"/>
                <w:sz w:val="9"/>
                <w:szCs w:val="9"/>
                <w:b w:val="1"/>
                <w:bCs w:val="1"/>
                <w:color w:val="0591DB"/>
                <w:w w:val="99"/>
              </w:rPr>
              <w:t xml:space="preserve"> (2) (3)</w:t>
            </w:r>
          </w:p>
        </w:tc>
        <w:tc>
          <w:tcPr>
            <w:tcW w:w="560" w:type="dxa"/>
            <w:vAlign w:val="bottom"/>
            <w:tcBorders>
              <w:bottom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0"/>
              </w:rPr>
              <w:t>PAYOUT</w:t>
            </w:r>
          </w:p>
        </w:tc>
        <w:tc>
          <w:tcPr>
            <w:tcW w:w="20" w:type="dxa"/>
            <w:vAlign w:val="bottom"/>
            <w:tcBorders>
              <w:bottom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tcBorders>
              <w:left w:val="single" w:sz="8" w:color="0591DB"/>
            </w:tcBorders>
          </w:tcPr>
          <w:p>
            <w:pPr>
              <w:spacing w:after="0"/>
              <w:rPr>
                <w:sz w:val="14"/>
                <w:szCs w:val="14"/>
                <w:color w:val="auto"/>
              </w:rPr>
            </w:pPr>
          </w:p>
        </w:tc>
        <w:tc>
          <w:tcPr>
            <w:tcW w:w="620" w:type="dxa"/>
            <w:vAlign w:val="bottom"/>
            <w:tcBorders>
              <w:right w:val="single" w:sz="8" w:color="0591DB"/>
            </w:tcBorders>
          </w:tcPr>
          <w:p>
            <w:pPr>
              <w:spacing w:after="0"/>
              <w:rPr>
                <w:sz w:val="14"/>
                <w:szCs w:val="14"/>
                <w:color w:val="auto"/>
              </w:rPr>
            </w:pPr>
          </w:p>
        </w:tc>
        <w:tc>
          <w:tcPr>
            <w:tcW w:w="740" w:type="dxa"/>
            <w:vAlign w:val="bottom"/>
            <w:tcBorders>
              <w:right w:val="single" w:sz="8" w:color="0591DB"/>
            </w:tcBorders>
            <w:gridSpan w:val="2"/>
          </w:tcPr>
          <w:p>
            <w:pPr>
              <w:ind w:left="80"/>
              <w:spacing w:after="0"/>
              <w:rPr>
                <w:sz w:val="20"/>
                <w:szCs w:val="20"/>
                <w:color w:val="auto"/>
              </w:rPr>
            </w:pPr>
            <w:r>
              <w:rPr>
                <w:rFonts w:ascii="Calibri" w:cs="Calibri" w:eastAsia="Calibri" w:hAnsi="Calibri"/>
                <w:sz w:val="12"/>
                <w:szCs w:val="12"/>
                <w:b w:val="1"/>
                <w:bCs w:val="1"/>
                <w:color w:val="0591DB"/>
                <w:w w:val="99"/>
              </w:rPr>
              <w:t> THRESHOLD</w:t>
            </w:r>
          </w:p>
        </w:tc>
        <w:tc>
          <w:tcPr>
            <w:tcW w:w="56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5"/>
              </w:rPr>
              <w:t> TARGET</w:t>
            </w:r>
          </w:p>
        </w:tc>
        <w:tc>
          <w:tcPr>
            <w:tcW w:w="700" w:type="dxa"/>
            <w:vAlign w:val="bottom"/>
            <w:tcBorders>
              <w:right w:val="single" w:sz="8" w:color="0591DB"/>
            </w:tcBorders>
          </w:tcPr>
          <w:p>
            <w:pPr>
              <w:ind w:left="80"/>
              <w:spacing w:after="0"/>
              <w:rPr>
                <w:sz w:val="20"/>
                <w:szCs w:val="20"/>
                <w:color w:val="auto"/>
              </w:rPr>
            </w:pPr>
            <w:r>
              <w:rPr>
                <w:rFonts w:ascii="Calibri" w:cs="Calibri" w:eastAsia="Calibri" w:hAnsi="Calibri"/>
                <w:sz w:val="12"/>
                <w:szCs w:val="12"/>
                <w:b w:val="1"/>
                <w:bCs w:val="1"/>
                <w:color w:val="0591DB"/>
                <w:w w:val="98"/>
              </w:rPr>
              <w:t> MAXIMUM</w:t>
            </w:r>
          </w:p>
        </w:tc>
        <w:tc>
          <w:tcPr>
            <w:tcW w:w="720" w:type="dxa"/>
            <w:vAlign w:val="bottom"/>
            <w:tcBorders>
              <w:right w:val="single" w:sz="8" w:color="0591DB"/>
            </w:tcBorders>
          </w:tcPr>
          <w:p>
            <w:pPr>
              <w:ind w:left="80"/>
              <w:spacing w:after="0"/>
              <w:rPr>
                <w:sz w:val="20"/>
                <w:szCs w:val="20"/>
                <w:color w:val="auto"/>
              </w:rPr>
            </w:pPr>
            <w:r>
              <w:rPr>
                <w:rFonts w:ascii="Calibri" w:cs="Calibri" w:eastAsia="Calibri" w:hAnsi="Calibri"/>
                <w:sz w:val="12"/>
                <w:szCs w:val="12"/>
                <w:b w:val="1"/>
                <w:bCs w:val="1"/>
                <w:color w:val="0591DB"/>
                <w:w w:val="95"/>
              </w:rPr>
              <w:t> THRESHOLD</w:t>
            </w:r>
          </w:p>
        </w:tc>
        <w:tc>
          <w:tcPr>
            <w:tcW w:w="52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5"/>
              </w:rPr>
              <w:t> TARGET</w:t>
            </w:r>
          </w:p>
        </w:tc>
        <w:tc>
          <w:tcPr>
            <w:tcW w:w="700" w:type="dxa"/>
            <w:vAlign w:val="bottom"/>
            <w:tcBorders>
              <w:right w:val="single" w:sz="8" w:color="0591DB"/>
            </w:tcBorders>
          </w:tcPr>
          <w:p>
            <w:pPr>
              <w:ind w:left="80"/>
              <w:spacing w:after="0"/>
              <w:rPr>
                <w:sz w:val="20"/>
                <w:szCs w:val="20"/>
                <w:color w:val="auto"/>
              </w:rPr>
            </w:pPr>
            <w:r>
              <w:rPr>
                <w:rFonts w:ascii="Calibri" w:cs="Calibri" w:eastAsia="Calibri" w:hAnsi="Calibri"/>
                <w:sz w:val="12"/>
                <w:szCs w:val="12"/>
                <w:b w:val="1"/>
                <w:bCs w:val="1"/>
                <w:color w:val="0591DB"/>
                <w:w w:val="98"/>
              </w:rPr>
              <w:t> MAXIMUM</w:t>
            </w:r>
          </w:p>
        </w:tc>
        <w:tc>
          <w:tcPr>
            <w:tcW w:w="720" w:type="dxa"/>
            <w:vAlign w:val="bottom"/>
            <w:tcBorders>
              <w:right w:val="single" w:sz="8" w:color="0591DB"/>
            </w:tcBorders>
          </w:tcPr>
          <w:p>
            <w:pPr>
              <w:ind w:left="80"/>
              <w:spacing w:after="0"/>
              <w:rPr>
                <w:sz w:val="20"/>
                <w:szCs w:val="20"/>
                <w:color w:val="auto"/>
              </w:rPr>
            </w:pPr>
            <w:r>
              <w:rPr>
                <w:rFonts w:ascii="Calibri" w:cs="Calibri" w:eastAsia="Calibri" w:hAnsi="Calibri"/>
                <w:sz w:val="12"/>
                <w:szCs w:val="12"/>
                <w:b w:val="1"/>
                <w:bCs w:val="1"/>
                <w:color w:val="0591DB"/>
                <w:w w:val="95"/>
              </w:rPr>
              <w:t> THRESHOLD</w:t>
            </w:r>
          </w:p>
        </w:tc>
        <w:tc>
          <w:tcPr>
            <w:tcW w:w="6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0"/>
              </w:rPr>
              <w:t> TARGET</w:t>
            </w:r>
          </w:p>
        </w:tc>
        <w:tc>
          <w:tcPr>
            <w:tcW w:w="680" w:type="dxa"/>
            <w:vAlign w:val="bottom"/>
            <w:tcBorders>
              <w:right w:val="single" w:sz="8" w:color="0591DB"/>
            </w:tcBorders>
          </w:tcPr>
          <w:p>
            <w:pPr>
              <w:ind w:left="80"/>
              <w:spacing w:after="0"/>
              <w:rPr>
                <w:sz w:val="20"/>
                <w:szCs w:val="20"/>
                <w:color w:val="auto"/>
              </w:rPr>
            </w:pPr>
            <w:r>
              <w:rPr>
                <w:rFonts w:ascii="Calibri" w:cs="Calibri" w:eastAsia="Calibri" w:hAnsi="Calibri"/>
                <w:sz w:val="12"/>
                <w:szCs w:val="12"/>
                <w:b w:val="1"/>
                <w:bCs w:val="1"/>
                <w:color w:val="0591DB"/>
                <w:w w:val="95"/>
              </w:rPr>
              <w:t> MAXIMUM</w:t>
            </w:r>
          </w:p>
        </w:tc>
        <w:tc>
          <w:tcPr>
            <w:tcW w:w="860" w:type="dxa"/>
            <w:vAlign w:val="bottom"/>
            <w:tcBorders>
              <w:right w:val="single" w:sz="8" w:color="0591DB"/>
            </w:tcBorders>
          </w:tcPr>
          <w:p>
            <w:pPr>
              <w:spacing w:after="0"/>
              <w:rPr>
                <w:sz w:val="14"/>
                <w:szCs w:val="14"/>
                <w:color w:val="auto"/>
              </w:rPr>
            </w:pPr>
          </w:p>
        </w:tc>
        <w:tc>
          <w:tcPr>
            <w:tcW w:w="640" w:type="dxa"/>
            <w:vAlign w:val="bottom"/>
            <w:tcBorders>
              <w:right w:val="single" w:sz="8" w:color="0591DB"/>
            </w:tcBorders>
          </w:tcPr>
          <w:p>
            <w:pPr>
              <w:spacing w:after="0"/>
              <w:rPr>
                <w:sz w:val="14"/>
                <w:szCs w:val="14"/>
                <w:color w:val="auto"/>
              </w:rPr>
            </w:pPr>
          </w:p>
        </w:tc>
        <w:tc>
          <w:tcPr>
            <w:tcW w:w="560" w:type="dxa"/>
            <w:vAlign w:val="bottom"/>
          </w:tcPr>
          <w:p>
            <w:pPr>
              <w:jc w:val="center"/>
              <w:spacing w:after="0"/>
              <w:rPr>
                <w:sz w:val="20"/>
                <w:szCs w:val="20"/>
                <w:color w:val="auto"/>
              </w:rPr>
            </w:pPr>
            <w:r>
              <w:rPr>
                <w:rFonts w:ascii="Calibri" w:cs="Calibri" w:eastAsia="Calibri" w:hAnsi="Calibri"/>
                <w:sz w:val="12"/>
                <w:szCs w:val="12"/>
                <w:b w:val="1"/>
                <w:bCs w:val="1"/>
                <w:color w:val="0591DB"/>
                <w:w w:val="95"/>
              </w:rPr>
              <w:t> (% OF</w:t>
            </w:r>
          </w:p>
        </w:tc>
        <w:tc>
          <w:tcPr>
            <w:tcW w:w="20" w:type="dxa"/>
            <w:vAlign w:val="bottom"/>
            <w:shd w:val="clear" w:color="auto" w:fill="0591DB"/>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80" w:type="dxa"/>
            <w:vAlign w:val="bottom"/>
            <w:tcBorders>
              <w:left w:val="single" w:sz="8" w:color="0591DB"/>
            </w:tcBorders>
          </w:tcPr>
          <w:p>
            <w:pPr>
              <w:spacing w:after="0"/>
              <w:rPr>
                <w:sz w:val="13"/>
                <w:szCs w:val="13"/>
                <w:color w:val="auto"/>
              </w:rPr>
            </w:pPr>
          </w:p>
        </w:tc>
        <w:tc>
          <w:tcPr>
            <w:tcW w:w="620" w:type="dxa"/>
            <w:vAlign w:val="bottom"/>
            <w:tcBorders>
              <w:right w:val="single" w:sz="8" w:color="0591DB"/>
            </w:tcBorders>
          </w:tcPr>
          <w:p>
            <w:pPr>
              <w:spacing w:after="0"/>
              <w:rPr>
                <w:sz w:val="13"/>
                <w:szCs w:val="13"/>
                <w:color w:val="auto"/>
              </w:rPr>
            </w:pPr>
          </w:p>
        </w:tc>
        <w:tc>
          <w:tcPr>
            <w:tcW w:w="660" w:type="dxa"/>
            <w:vAlign w:val="bottom"/>
          </w:tcPr>
          <w:p>
            <w:pPr>
              <w:jc w:val="center"/>
              <w:ind w:left="79"/>
              <w:spacing w:after="0" w:line="137" w:lineRule="exact"/>
              <w:rPr>
                <w:sz w:val="20"/>
                <w:szCs w:val="20"/>
                <w:color w:val="auto"/>
              </w:rPr>
            </w:pPr>
            <w:r>
              <w:rPr>
                <w:rFonts w:ascii="Calibri" w:cs="Calibri" w:eastAsia="Calibri" w:hAnsi="Calibri"/>
                <w:sz w:val="12"/>
                <w:szCs w:val="12"/>
                <w:b w:val="1"/>
                <w:bCs w:val="1"/>
                <w:color w:val="0591DB"/>
                <w:w w:val="98"/>
              </w:rPr>
              <w:t> $345.5M </w:t>
            </w:r>
          </w:p>
        </w:tc>
        <w:tc>
          <w:tcPr>
            <w:tcW w:w="80" w:type="dxa"/>
            <w:vAlign w:val="bottom"/>
            <w:tcBorders>
              <w:right w:val="single" w:sz="8" w:color="0591DB"/>
            </w:tcBorders>
          </w:tcPr>
          <w:p>
            <w:pPr>
              <w:spacing w:after="0"/>
              <w:rPr>
                <w:sz w:val="13"/>
                <w:szCs w:val="13"/>
                <w:color w:val="auto"/>
              </w:rPr>
            </w:pPr>
          </w:p>
        </w:tc>
        <w:tc>
          <w:tcPr>
            <w:tcW w:w="56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3"/>
              </w:rPr>
              <w:t> $431.9M </w:t>
            </w:r>
          </w:p>
        </w:tc>
        <w:tc>
          <w:tcPr>
            <w:tcW w:w="7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$518.3M </w:t>
            </w:r>
          </w:p>
        </w:tc>
        <w:tc>
          <w:tcPr>
            <w:tcW w:w="72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2"/>
              </w:rPr>
              <w:t> $6.56 </w:t>
            </w:r>
          </w:p>
        </w:tc>
        <w:tc>
          <w:tcPr>
            <w:tcW w:w="520" w:type="dxa"/>
            <w:vAlign w:val="bottom"/>
            <w:tcBorders>
              <w:right w:val="single" w:sz="8" w:color="0591DB"/>
            </w:tcBorders>
          </w:tcPr>
          <w:p>
            <w:pPr>
              <w:jc w:val="center"/>
              <w:ind w:left="17"/>
              <w:spacing w:after="0" w:line="137" w:lineRule="exact"/>
              <w:rPr>
                <w:sz w:val="20"/>
                <w:szCs w:val="20"/>
                <w:color w:val="auto"/>
              </w:rPr>
            </w:pPr>
            <w:r>
              <w:rPr>
                <w:rFonts w:ascii="Calibri" w:cs="Calibri" w:eastAsia="Calibri" w:hAnsi="Calibri"/>
                <w:sz w:val="12"/>
                <w:szCs w:val="12"/>
                <w:b w:val="1"/>
                <w:bCs w:val="1"/>
                <w:color w:val="0591DB"/>
                <w:w w:val="98"/>
              </w:rPr>
              <w:t> $8.20 </w:t>
            </w:r>
          </w:p>
        </w:tc>
        <w:tc>
          <w:tcPr>
            <w:tcW w:w="7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$9.84 </w:t>
            </w:r>
          </w:p>
        </w:tc>
        <w:tc>
          <w:tcPr>
            <w:tcW w:w="72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$250,000 </w:t>
            </w:r>
          </w:p>
        </w:tc>
        <w:tc>
          <w:tcPr>
            <w:tcW w:w="6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$500,000 </w:t>
            </w:r>
          </w:p>
        </w:tc>
        <w:tc>
          <w:tcPr>
            <w:tcW w:w="68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$750,000 </w:t>
            </w:r>
          </w:p>
        </w:tc>
        <w:tc>
          <w:tcPr>
            <w:tcW w:w="86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88"/>
              </w:rPr>
              <w:t>($)</w:t>
            </w:r>
          </w:p>
        </w:tc>
        <w:tc>
          <w:tcPr>
            <w:tcW w:w="64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88"/>
              </w:rPr>
              <w:t>($)</w:t>
            </w:r>
          </w:p>
        </w:tc>
        <w:tc>
          <w:tcPr>
            <w:tcW w:w="56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0591DB"/>
                <w:w w:val="96"/>
              </w:rPr>
              <w:t> TARGET)</w:t>
            </w:r>
          </w:p>
        </w:tc>
        <w:tc>
          <w:tcPr>
            <w:tcW w:w="20" w:type="dxa"/>
            <w:vAlign w:val="bottom"/>
            <w:shd w:val="clear" w:color="auto" w:fill="0591DB"/>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80" w:type="dxa"/>
            <w:vAlign w:val="bottom"/>
            <w:tcBorders>
              <w:left w:val="single" w:sz="8" w:color="0591DB"/>
              <w:bottom w:val="single" w:sz="8" w:color="0591DB"/>
            </w:tcBorders>
          </w:tcPr>
          <w:p>
            <w:pPr>
              <w:spacing w:after="0"/>
              <w:rPr>
                <w:sz w:val="6"/>
                <w:szCs w:val="6"/>
                <w:color w:val="auto"/>
              </w:rPr>
            </w:pPr>
          </w:p>
        </w:tc>
        <w:tc>
          <w:tcPr>
            <w:tcW w:w="620" w:type="dxa"/>
            <w:vAlign w:val="bottom"/>
            <w:tcBorders>
              <w:bottom w:val="single" w:sz="8" w:color="0591DB"/>
              <w:right w:val="single" w:sz="8" w:color="0591DB"/>
            </w:tcBorders>
          </w:tcPr>
          <w:p>
            <w:pPr>
              <w:spacing w:after="0"/>
              <w:rPr>
                <w:sz w:val="6"/>
                <w:szCs w:val="6"/>
                <w:color w:val="auto"/>
              </w:rPr>
            </w:pPr>
          </w:p>
        </w:tc>
        <w:tc>
          <w:tcPr>
            <w:tcW w:w="660" w:type="dxa"/>
            <w:vAlign w:val="bottom"/>
            <w:tcBorders>
              <w:bottom w:val="single" w:sz="8" w:color="0591DB"/>
            </w:tcBorders>
          </w:tcPr>
          <w:p>
            <w:pPr>
              <w:spacing w:after="0"/>
              <w:rPr>
                <w:sz w:val="6"/>
                <w:szCs w:val="6"/>
                <w:color w:val="auto"/>
              </w:rPr>
            </w:pPr>
          </w:p>
        </w:tc>
        <w:tc>
          <w:tcPr>
            <w:tcW w:w="80" w:type="dxa"/>
            <w:vAlign w:val="bottom"/>
            <w:tcBorders>
              <w:bottom w:val="single" w:sz="8" w:color="0591DB"/>
              <w:right w:val="single" w:sz="8" w:color="0591DB"/>
            </w:tcBorders>
          </w:tcPr>
          <w:p>
            <w:pPr>
              <w:spacing w:after="0"/>
              <w:rPr>
                <w:sz w:val="6"/>
                <w:szCs w:val="6"/>
                <w:color w:val="auto"/>
              </w:rPr>
            </w:pPr>
          </w:p>
        </w:tc>
        <w:tc>
          <w:tcPr>
            <w:tcW w:w="560" w:type="dxa"/>
            <w:vAlign w:val="bottom"/>
            <w:tcBorders>
              <w:bottom w:val="single" w:sz="8" w:color="0591DB"/>
              <w:right w:val="single" w:sz="8" w:color="0591DB"/>
            </w:tcBorders>
          </w:tcPr>
          <w:p>
            <w:pPr>
              <w:spacing w:after="0"/>
              <w:rPr>
                <w:sz w:val="6"/>
                <w:szCs w:val="6"/>
                <w:color w:val="auto"/>
              </w:rPr>
            </w:pPr>
          </w:p>
        </w:tc>
        <w:tc>
          <w:tcPr>
            <w:tcW w:w="700" w:type="dxa"/>
            <w:vAlign w:val="bottom"/>
            <w:tcBorders>
              <w:bottom w:val="single" w:sz="8" w:color="0591DB"/>
              <w:right w:val="single" w:sz="8" w:color="0591DB"/>
            </w:tcBorders>
          </w:tcPr>
          <w:p>
            <w:pPr>
              <w:spacing w:after="0"/>
              <w:rPr>
                <w:sz w:val="6"/>
                <w:szCs w:val="6"/>
                <w:color w:val="auto"/>
              </w:rPr>
            </w:pPr>
          </w:p>
        </w:tc>
        <w:tc>
          <w:tcPr>
            <w:tcW w:w="720" w:type="dxa"/>
            <w:vAlign w:val="bottom"/>
            <w:tcBorders>
              <w:bottom w:val="single" w:sz="8" w:color="0591DB"/>
              <w:right w:val="single" w:sz="8" w:color="0591DB"/>
            </w:tcBorders>
          </w:tcPr>
          <w:p>
            <w:pPr>
              <w:spacing w:after="0"/>
              <w:rPr>
                <w:sz w:val="6"/>
                <w:szCs w:val="6"/>
                <w:color w:val="auto"/>
              </w:rPr>
            </w:pPr>
          </w:p>
        </w:tc>
        <w:tc>
          <w:tcPr>
            <w:tcW w:w="520" w:type="dxa"/>
            <w:vAlign w:val="bottom"/>
            <w:tcBorders>
              <w:bottom w:val="single" w:sz="8" w:color="0591DB"/>
              <w:right w:val="single" w:sz="8" w:color="0591DB"/>
            </w:tcBorders>
          </w:tcPr>
          <w:p>
            <w:pPr>
              <w:spacing w:after="0"/>
              <w:rPr>
                <w:sz w:val="6"/>
                <w:szCs w:val="6"/>
                <w:color w:val="auto"/>
              </w:rPr>
            </w:pPr>
          </w:p>
        </w:tc>
        <w:tc>
          <w:tcPr>
            <w:tcW w:w="700" w:type="dxa"/>
            <w:vAlign w:val="bottom"/>
            <w:tcBorders>
              <w:bottom w:val="single" w:sz="8" w:color="0591DB"/>
              <w:right w:val="single" w:sz="8" w:color="0591DB"/>
            </w:tcBorders>
          </w:tcPr>
          <w:p>
            <w:pPr>
              <w:spacing w:after="0"/>
              <w:rPr>
                <w:sz w:val="6"/>
                <w:szCs w:val="6"/>
                <w:color w:val="auto"/>
              </w:rPr>
            </w:pPr>
          </w:p>
        </w:tc>
        <w:tc>
          <w:tcPr>
            <w:tcW w:w="720" w:type="dxa"/>
            <w:vAlign w:val="bottom"/>
            <w:tcBorders>
              <w:bottom w:val="single" w:sz="8" w:color="0591DB"/>
              <w:right w:val="single" w:sz="8" w:color="0591DB"/>
            </w:tcBorders>
          </w:tcPr>
          <w:p>
            <w:pPr>
              <w:spacing w:after="0"/>
              <w:rPr>
                <w:sz w:val="6"/>
                <w:szCs w:val="6"/>
                <w:color w:val="auto"/>
              </w:rPr>
            </w:pPr>
          </w:p>
        </w:tc>
        <w:tc>
          <w:tcPr>
            <w:tcW w:w="600" w:type="dxa"/>
            <w:vAlign w:val="bottom"/>
            <w:tcBorders>
              <w:bottom w:val="single" w:sz="8" w:color="0591DB"/>
              <w:right w:val="single" w:sz="8" w:color="0591DB"/>
            </w:tcBorders>
          </w:tcPr>
          <w:p>
            <w:pPr>
              <w:spacing w:after="0"/>
              <w:rPr>
                <w:sz w:val="6"/>
                <w:szCs w:val="6"/>
                <w:color w:val="auto"/>
              </w:rPr>
            </w:pPr>
          </w:p>
        </w:tc>
        <w:tc>
          <w:tcPr>
            <w:tcW w:w="680" w:type="dxa"/>
            <w:vAlign w:val="bottom"/>
            <w:tcBorders>
              <w:bottom w:val="single" w:sz="8" w:color="0591DB"/>
              <w:right w:val="single" w:sz="8" w:color="0591DB"/>
            </w:tcBorders>
          </w:tcPr>
          <w:p>
            <w:pPr>
              <w:spacing w:after="0"/>
              <w:rPr>
                <w:sz w:val="6"/>
                <w:szCs w:val="6"/>
                <w:color w:val="auto"/>
              </w:rPr>
            </w:pPr>
          </w:p>
        </w:tc>
        <w:tc>
          <w:tcPr>
            <w:tcW w:w="860" w:type="dxa"/>
            <w:vAlign w:val="bottom"/>
            <w:tcBorders>
              <w:bottom w:val="single" w:sz="8" w:color="0591DB"/>
              <w:right w:val="single" w:sz="8" w:color="0591DB"/>
            </w:tcBorders>
          </w:tcPr>
          <w:p>
            <w:pPr>
              <w:spacing w:after="0"/>
              <w:rPr>
                <w:sz w:val="6"/>
                <w:szCs w:val="6"/>
                <w:color w:val="auto"/>
              </w:rPr>
            </w:pPr>
          </w:p>
        </w:tc>
        <w:tc>
          <w:tcPr>
            <w:tcW w:w="640" w:type="dxa"/>
            <w:vAlign w:val="bottom"/>
            <w:tcBorders>
              <w:bottom w:val="single" w:sz="8" w:color="0591DB"/>
              <w:right w:val="single" w:sz="8" w:color="0591DB"/>
            </w:tcBorders>
          </w:tcPr>
          <w:p>
            <w:pPr>
              <w:spacing w:after="0"/>
              <w:rPr>
                <w:sz w:val="6"/>
                <w:szCs w:val="6"/>
                <w:color w:val="auto"/>
              </w:rPr>
            </w:pPr>
          </w:p>
        </w:tc>
        <w:tc>
          <w:tcPr>
            <w:tcW w:w="56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920" w:type="dxa"/>
            <w:vAlign w:val="bottom"/>
            <w:gridSpan w:val="3"/>
          </w:tcPr>
          <w:p>
            <w:pPr>
              <w:spacing w:after="0"/>
              <w:rPr>
                <w:sz w:val="20"/>
                <w:szCs w:val="20"/>
                <w:color w:val="auto"/>
              </w:rPr>
            </w:pPr>
            <w:r>
              <w:rPr>
                <w:rFonts w:ascii="Calibri" w:cs="Calibri" w:eastAsia="Calibri" w:hAnsi="Calibri"/>
                <w:sz w:val="13"/>
                <w:szCs w:val="13"/>
                <w:color w:val="333333"/>
              </w:rPr>
              <w:t xml:space="preserve">  </w:t>
            </w:r>
            <w:r>
              <w:rPr>
                <w:rFonts w:ascii="Calibri" w:cs="Calibri" w:eastAsia="Calibri" w:hAnsi="Calibri"/>
                <w:sz w:val="16"/>
                <w:szCs w:val="16"/>
                <w:b w:val="1"/>
                <w:bCs w:val="1"/>
                <w:color w:val="0591DB"/>
              </w:rPr>
              <w:t>Steven H. Gunby</w:t>
            </w:r>
          </w:p>
        </w:tc>
        <w:tc>
          <w:tcPr>
            <w:tcW w:w="660" w:type="dxa"/>
            <w:vAlign w:val="bottom"/>
          </w:tcPr>
          <w:p>
            <w:pPr>
              <w:jc w:val="center"/>
              <w:ind w:left="59"/>
              <w:spacing w:after="0"/>
              <w:rPr>
                <w:sz w:val="20"/>
                <w:szCs w:val="20"/>
                <w:color w:val="auto"/>
              </w:rPr>
            </w:pPr>
            <w:r>
              <w:rPr>
                <w:rFonts w:ascii="Calibri" w:cs="Calibri" w:eastAsia="Calibri" w:hAnsi="Calibri"/>
                <w:sz w:val="13"/>
                <w:szCs w:val="13"/>
                <w:color w:val="333333"/>
              </w:rPr>
              <w:t>50</w:t>
            </w:r>
          </w:p>
        </w:tc>
        <w:tc>
          <w:tcPr>
            <w:tcW w:w="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Calibri" w:cs="Calibri" w:eastAsia="Calibri" w:hAnsi="Calibri"/>
                <w:sz w:val="13"/>
                <w:szCs w:val="13"/>
                <w:color w:val="333333"/>
              </w:rPr>
              <w:t>100</w:t>
            </w:r>
          </w:p>
        </w:tc>
        <w:tc>
          <w:tcPr>
            <w:tcW w:w="700" w:type="dxa"/>
            <w:vAlign w:val="bottom"/>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Pr>
          <w:p>
            <w:pPr>
              <w:jc w:val="center"/>
              <w:spacing w:after="0"/>
              <w:rPr>
                <w:sz w:val="20"/>
                <w:szCs w:val="20"/>
                <w:color w:val="auto"/>
              </w:rPr>
            </w:pPr>
            <w:r>
              <w:rPr>
                <w:rFonts w:ascii="Calibri" w:cs="Calibri" w:eastAsia="Calibri" w:hAnsi="Calibri"/>
                <w:sz w:val="13"/>
                <w:szCs w:val="13"/>
                <w:color w:val="333333"/>
              </w:rPr>
              <w:t>50</w:t>
            </w:r>
          </w:p>
        </w:tc>
        <w:tc>
          <w:tcPr>
            <w:tcW w:w="520" w:type="dxa"/>
            <w:vAlign w:val="bottom"/>
          </w:tcPr>
          <w:p>
            <w:pPr>
              <w:jc w:val="center"/>
              <w:ind w:left="17"/>
              <w:spacing w:after="0"/>
              <w:rPr>
                <w:sz w:val="20"/>
                <w:szCs w:val="20"/>
                <w:color w:val="auto"/>
              </w:rPr>
            </w:pPr>
            <w:r>
              <w:rPr>
                <w:rFonts w:ascii="Calibri" w:cs="Calibri" w:eastAsia="Calibri" w:hAnsi="Calibri"/>
                <w:sz w:val="13"/>
                <w:szCs w:val="13"/>
                <w:color w:val="333333"/>
              </w:rPr>
              <w:t>100</w:t>
            </w:r>
          </w:p>
        </w:tc>
        <w:tc>
          <w:tcPr>
            <w:tcW w:w="700" w:type="dxa"/>
            <w:vAlign w:val="bottom"/>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Pr>
          <w:p>
            <w:pPr>
              <w:jc w:val="center"/>
              <w:spacing w:after="0"/>
              <w:rPr>
                <w:sz w:val="20"/>
                <w:szCs w:val="20"/>
                <w:color w:val="auto"/>
              </w:rPr>
            </w:pPr>
            <w:r>
              <w:rPr>
                <w:rFonts w:ascii="Calibri" w:cs="Calibri" w:eastAsia="Calibri" w:hAnsi="Calibri"/>
                <w:sz w:val="13"/>
                <w:szCs w:val="13"/>
                <w:color w:val="333333"/>
              </w:rPr>
              <w:t>50</w:t>
            </w:r>
          </w:p>
        </w:tc>
        <w:tc>
          <w:tcPr>
            <w:tcW w:w="600" w:type="dxa"/>
            <w:vAlign w:val="bottom"/>
          </w:tcPr>
          <w:p>
            <w:pPr>
              <w:jc w:val="center"/>
              <w:spacing w:after="0"/>
              <w:rPr>
                <w:sz w:val="20"/>
                <w:szCs w:val="20"/>
                <w:color w:val="auto"/>
              </w:rPr>
            </w:pPr>
            <w:r>
              <w:rPr>
                <w:rFonts w:ascii="Calibri" w:cs="Calibri" w:eastAsia="Calibri" w:hAnsi="Calibri"/>
                <w:sz w:val="13"/>
                <w:szCs w:val="13"/>
                <w:color w:val="333333"/>
              </w:rPr>
              <w:t>100</w:t>
            </w:r>
          </w:p>
        </w:tc>
        <w:tc>
          <w:tcPr>
            <w:tcW w:w="680" w:type="dxa"/>
            <w:vAlign w:val="bottom"/>
          </w:tcPr>
          <w:p>
            <w:pPr>
              <w:jc w:val="center"/>
              <w:spacing w:after="0"/>
              <w:rPr>
                <w:sz w:val="20"/>
                <w:szCs w:val="20"/>
                <w:color w:val="auto"/>
              </w:rPr>
            </w:pPr>
            <w:r>
              <w:rPr>
                <w:rFonts w:ascii="Calibri" w:cs="Calibri" w:eastAsia="Calibri" w:hAnsi="Calibri"/>
                <w:sz w:val="13"/>
                <w:szCs w:val="13"/>
                <w:color w:val="333333"/>
              </w:rPr>
              <w:t>150</w:t>
            </w:r>
          </w:p>
        </w:tc>
        <w:tc>
          <w:tcPr>
            <w:tcW w:w="860" w:type="dxa"/>
            <w:vAlign w:val="bottom"/>
          </w:tcPr>
          <w:p>
            <w:pPr>
              <w:jc w:val="center"/>
              <w:spacing w:after="0"/>
              <w:rPr>
                <w:sz w:val="20"/>
                <w:szCs w:val="20"/>
                <w:color w:val="auto"/>
              </w:rPr>
            </w:pPr>
            <w:r>
              <w:rPr>
                <w:rFonts w:ascii="Calibri" w:cs="Calibri" w:eastAsia="Calibri" w:hAnsi="Calibri"/>
                <w:sz w:val="13"/>
                <w:szCs w:val="13"/>
                <w:color w:val="333333"/>
              </w:rPr>
              <w:t>2,000,000</w:t>
            </w:r>
          </w:p>
        </w:tc>
        <w:tc>
          <w:tcPr>
            <w:tcW w:w="640" w:type="dxa"/>
            <w:vAlign w:val="bottom"/>
          </w:tcPr>
          <w:p>
            <w:pPr>
              <w:jc w:val="center"/>
              <w:spacing w:after="0"/>
              <w:rPr>
                <w:sz w:val="20"/>
                <w:szCs w:val="20"/>
                <w:color w:val="auto"/>
              </w:rPr>
            </w:pPr>
            <w:r>
              <w:rPr>
                <w:rFonts w:ascii="Calibri" w:cs="Calibri" w:eastAsia="Calibri" w:hAnsi="Calibri"/>
                <w:sz w:val="13"/>
                <w:szCs w:val="13"/>
                <w:color w:val="333333"/>
              </w:rPr>
              <w:t>2,406,870</w:t>
            </w:r>
          </w:p>
        </w:tc>
        <w:tc>
          <w:tcPr>
            <w:tcW w:w="560" w:type="dxa"/>
            <w:vAlign w:val="bottom"/>
          </w:tcPr>
          <w:p>
            <w:pPr>
              <w:jc w:val="center"/>
              <w:ind w:left="19"/>
              <w:spacing w:after="0"/>
              <w:rPr>
                <w:sz w:val="20"/>
                <w:szCs w:val="20"/>
                <w:color w:val="auto"/>
              </w:rPr>
            </w:pPr>
            <w:r>
              <w:rPr>
                <w:rFonts w:ascii="Calibri" w:cs="Calibri" w:eastAsia="Calibri" w:hAnsi="Calibri"/>
                <w:sz w:val="13"/>
                <w:szCs w:val="13"/>
                <w:color w:val="333333"/>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280" w:type="dxa"/>
            <w:vAlign w:val="bottom"/>
            <w:tcBorders>
              <w:bottom w:val="single" w:sz="8" w:color="0591DB"/>
            </w:tcBorders>
          </w:tcPr>
          <w:p>
            <w:pPr>
              <w:spacing w:after="0"/>
              <w:rPr>
                <w:sz w:val="24"/>
                <w:szCs w:val="24"/>
                <w:color w:val="auto"/>
              </w:rPr>
            </w:pPr>
          </w:p>
        </w:tc>
        <w:tc>
          <w:tcPr>
            <w:tcW w:w="620" w:type="dxa"/>
            <w:vAlign w:val="bottom"/>
            <w:tcBorders>
              <w:bottom w:val="single" w:sz="8" w:color="0591DB"/>
            </w:tcBorders>
          </w:tcPr>
          <w:p>
            <w:pPr>
              <w:spacing w:after="0"/>
              <w:rPr>
                <w:sz w:val="24"/>
                <w:szCs w:val="24"/>
                <w:color w:val="auto"/>
              </w:rPr>
            </w:pPr>
          </w:p>
        </w:tc>
        <w:tc>
          <w:tcPr>
            <w:tcW w:w="2000" w:type="dxa"/>
            <w:vAlign w:val="bottom"/>
            <w:tcBorders>
              <w:bottom w:val="single" w:sz="8" w:color="0591DB"/>
            </w:tcBorders>
            <w:gridSpan w:val="4"/>
          </w:tcPr>
          <w:p>
            <w:pPr>
              <w:spacing w:after="0"/>
              <w:rPr>
                <w:sz w:val="24"/>
                <w:szCs w:val="24"/>
                <w:color w:val="auto"/>
              </w:rPr>
            </w:pPr>
          </w:p>
        </w:tc>
        <w:tc>
          <w:tcPr>
            <w:tcW w:w="1940" w:type="dxa"/>
            <w:vAlign w:val="bottom"/>
            <w:tcBorders>
              <w:bottom w:val="single" w:sz="8" w:color="0591DB"/>
            </w:tcBorders>
            <w:gridSpan w:val="3"/>
          </w:tcPr>
          <w:p>
            <w:pPr>
              <w:spacing w:after="0"/>
              <w:rPr>
                <w:sz w:val="24"/>
                <w:szCs w:val="24"/>
                <w:color w:val="auto"/>
              </w:rPr>
            </w:pPr>
          </w:p>
        </w:tc>
        <w:tc>
          <w:tcPr>
            <w:tcW w:w="2000" w:type="dxa"/>
            <w:vAlign w:val="bottom"/>
            <w:tcBorders>
              <w:bottom w:val="single" w:sz="8" w:color="0591DB"/>
            </w:tcBorders>
            <w:gridSpan w:val="3"/>
          </w:tcPr>
          <w:p>
            <w:pPr>
              <w:spacing w:after="0"/>
              <w:rPr>
                <w:sz w:val="24"/>
                <w:szCs w:val="24"/>
                <w:color w:val="auto"/>
              </w:rPr>
            </w:pPr>
          </w:p>
        </w:tc>
        <w:tc>
          <w:tcPr>
            <w:tcW w:w="860" w:type="dxa"/>
            <w:vAlign w:val="bottom"/>
            <w:tcBorders>
              <w:bottom w:val="single" w:sz="8" w:color="0591DB"/>
            </w:tcBorders>
          </w:tcPr>
          <w:p>
            <w:pPr>
              <w:spacing w:after="0"/>
              <w:rPr>
                <w:sz w:val="24"/>
                <w:szCs w:val="24"/>
                <w:color w:val="auto"/>
              </w:rPr>
            </w:pPr>
          </w:p>
        </w:tc>
        <w:tc>
          <w:tcPr>
            <w:tcW w:w="640" w:type="dxa"/>
            <w:vAlign w:val="bottom"/>
            <w:tcBorders>
              <w:bottom w:val="single" w:sz="8" w:color="0591DB"/>
            </w:tcBorders>
          </w:tcPr>
          <w:p>
            <w:pPr>
              <w:spacing w:after="0"/>
              <w:rPr>
                <w:sz w:val="24"/>
                <w:szCs w:val="24"/>
                <w:color w:val="auto"/>
              </w:rPr>
            </w:pPr>
          </w:p>
        </w:tc>
        <w:tc>
          <w:tcPr>
            <w:tcW w:w="560" w:type="dxa"/>
            <w:vAlign w:val="bottom"/>
            <w:tcBorders>
              <w:bottom w:val="single" w:sz="8" w:color="0591DB"/>
            </w:tcBorders>
          </w:tcPr>
          <w:p>
            <w:pPr>
              <w:spacing w:after="0"/>
              <w:rPr>
                <w:sz w:val="24"/>
                <w:szCs w:val="24"/>
                <w:color w:val="auto"/>
              </w:rPr>
            </w:pPr>
          </w:p>
        </w:tc>
        <w:tc>
          <w:tcPr>
            <w:tcW w:w="20" w:type="dxa"/>
            <w:vAlign w:val="bottom"/>
            <w:tcBorders>
              <w:bottom w:val="single" w:sz="8" w:color="0591DB"/>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tcBorders>
              <w:left w:val="single" w:sz="8" w:color="0591DB"/>
            </w:tcBorders>
          </w:tcPr>
          <w:p>
            <w:pPr>
              <w:spacing w:after="0"/>
              <w:rPr>
                <w:sz w:val="14"/>
                <w:szCs w:val="14"/>
                <w:color w:val="auto"/>
              </w:rPr>
            </w:pPr>
          </w:p>
        </w:tc>
        <w:tc>
          <w:tcPr>
            <w:tcW w:w="620" w:type="dxa"/>
            <w:vAlign w:val="bottom"/>
            <w:tcBorders>
              <w:right w:val="single" w:sz="8" w:color="0591DB"/>
            </w:tcBorders>
          </w:tcPr>
          <w:p>
            <w:pPr>
              <w:spacing w:after="0"/>
              <w:rPr>
                <w:sz w:val="14"/>
                <w:szCs w:val="14"/>
                <w:color w:val="auto"/>
              </w:rPr>
            </w:pPr>
          </w:p>
        </w:tc>
        <w:tc>
          <w:tcPr>
            <w:tcW w:w="2000" w:type="dxa"/>
            <w:vAlign w:val="bottom"/>
            <w:tcBorders>
              <w:right w:val="single" w:sz="8" w:color="0591DB"/>
            </w:tcBorders>
            <w:gridSpan w:val="4"/>
          </w:tcPr>
          <w:p>
            <w:pPr>
              <w:jc w:val="center"/>
              <w:ind w:left="19"/>
              <w:spacing w:after="0" w:line="166" w:lineRule="exact"/>
              <w:rPr>
                <w:sz w:val="20"/>
                <w:szCs w:val="20"/>
                <w:color w:val="auto"/>
              </w:rPr>
            </w:pPr>
            <w:r>
              <w:rPr>
                <w:rFonts w:ascii="Calibri" w:cs="Calibri" w:eastAsia="Calibri" w:hAnsi="Calibri"/>
                <w:sz w:val="12"/>
                <w:szCs w:val="12"/>
                <w:b w:val="1"/>
                <w:bCs w:val="1"/>
                <w:color w:val="0591DB"/>
                <w:w w:val="93"/>
              </w:rPr>
              <w:t xml:space="preserve">ADJUSTED EBITDA * </w:t>
            </w:r>
            <w:r>
              <w:rPr>
                <w:rFonts w:ascii="Calibri" w:cs="Calibri" w:eastAsia="Calibri" w:hAnsi="Calibri"/>
                <w:sz w:val="17"/>
                <w:szCs w:val="17"/>
                <w:b w:val="1"/>
                <w:bCs w:val="1"/>
                <w:color w:val="0591DB"/>
                <w:w w:val="93"/>
                <w:vertAlign w:val="superscript"/>
              </w:rPr>
              <w:t>(1)</w:t>
            </w:r>
          </w:p>
        </w:tc>
        <w:tc>
          <w:tcPr>
            <w:tcW w:w="1940" w:type="dxa"/>
            <w:vAlign w:val="bottom"/>
            <w:tcBorders>
              <w:right w:val="single" w:sz="8" w:color="0591DB"/>
            </w:tcBorders>
            <w:gridSpan w:val="3"/>
          </w:tcPr>
          <w:p>
            <w:pPr>
              <w:jc w:val="center"/>
              <w:spacing w:after="0" w:line="166" w:lineRule="exact"/>
              <w:rPr>
                <w:sz w:val="20"/>
                <w:szCs w:val="20"/>
                <w:color w:val="auto"/>
              </w:rPr>
            </w:pPr>
            <w:r>
              <w:rPr>
                <w:rFonts w:ascii="Calibri" w:cs="Calibri" w:eastAsia="Calibri" w:hAnsi="Calibri"/>
                <w:sz w:val="12"/>
                <w:szCs w:val="12"/>
                <w:b w:val="1"/>
                <w:bCs w:val="1"/>
                <w:color w:val="0591DB"/>
                <w:w w:val="93"/>
              </w:rPr>
              <w:t xml:space="preserve">ADJUSTED EPS </w:t>
            </w:r>
            <w:r>
              <w:rPr>
                <w:rFonts w:ascii="Calibri" w:cs="Calibri" w:eastAsia="Calibri" w:hAnsi="Calibri"/>
                <w:sz w:val="17"/>
                <w:szCs w:val="17"/>
                <w:b w:val="1"/>
                <w:bCs w:val="1"/>
                <w:color w:val="0591DB"/>
                <w:w w:val="93"/>
                <w:vertAlign w:val="superscript"/>
              </w:rPr>
              <w:t>(1)</w:t>
            </w:r>
          </w:p>
        </w:tc>
        <w:tc>
          <w:tcPr>
            <w:tcW w:w="2000" w:type="dxa"/>
            <w:vAlign w:val="bottom"/>
            <w:tcBorders>
              <w:right w:val="single" w:sz="8" w:color="0591DB"/>
            </w:tcBorders>
            <w:gridSpan w:val="3"/>
          </w:tcPr>
          <w:p>
            <w:pPr>
              <w:jc w:val="center"/>
              <w:spacing w:after="0"/>
              <w:rPr>
                <w:sz w:val="20"/>
                <w:szCs w:val="20"/>
                <w:color w:val="auto"/>
              </w:rPr>
            </w:pPr>
            <w:r>
              <w:rPr>
                <w:rFonts w:ascii="Calibri" w:cs="Calibri" w:eastAsia="Calibri" w:hAnsi="Calibri"/>
                <w:sz w:val="12"/>
                <w:szCs w:val="12"/>
                <w:b w:val="1"/>
                <w:bCs w:val="1"/>
                <w:color w:val="0591DB"/>
                <w:w w:val="95"/>
              </w:rPr>
              <w:t>INDIVIDUAL PERFORMANCE</w:t>
            </w:r>
          </w:p>
        </w:tc>
        <w:tc>
          <w:tcPr>
            <w:tcW w:w="86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2"/>
              </w:rPr>
              <w:t>TOTAL</w:t>
            </w:r>
          </w:p>
        </w:tc>
        <w:tc>
          <w:tcPr>
            <w:tcW w:w="640" w:type="dxa"/>
            <w:vAlign w:val="bottom"/>
            <w:tcBorders>
              <w:right w:val="single" w:sz="8" w:color="0591DB"/>
            </w:tcBorders>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shd w:val="clear" w:color="auto" w:fill="0591DB"/>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left w:val="single" w:sz="8" w:color="0591DB"/>
            </w:tcBorders>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2000" w:type="dxa"/>
            <w:vAlign w:val="bottom"/>
            <w:tcBorders>
              <w:right w:val="single" w:sz="8" w:color="0591DB"/>
            </w:tcBorders>
            <w:gridSpan w:val="4"/>
          </w:tcPr>
          <w:p>
            <w:pPr>
              <w:jc w:val="center"/>
              <w:ind w:left="19"/>
              <w:spacing w:after="0" w:line="134" w:lineRule="exact"/>
              <w:rPr>
                <w:sz w:val="20"/>
                <w:szCs w:val="20"/>
                <w:color w:val="auto"/>
              </w:rPr>
            </w:pPr>
            <w:r>
              <w:rPr>
                <w:rFonts w:ascii="Calibri" w:cs="Calibri" w:eastAsia="Calibri" w:hAnsi="Calibri"/>
                <w:sz w:val="12"/>
                <w:szCs w:val="12"/>
                <w:b w:val="1"/>
                <w:bCs w:val="1"/>
                <w:color w:val="0591DB"/>
                <w:w w:val="94"/>
              </w:rPr>
              <w:t>PAYOUT AS % OF TARGET</w:t>
            </w:r>
          </w:p>
        </w:tc>
        <w:tc>
          <w:tcPr>
            <w:tcW w:w="194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4"/>
              </w:rPr>
              <w:t>PAYOUT AS % OF TARGET</w:t>
            </w:r>
          </w:p>
        </w:tc>
        <w:tc>
          <w:tcPr>
            <w:tcW w:w="200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2"/>
              </w:rPr>
              <w:t>PAYOUT AS % OF TARGET</w:t>
            </w:r>
          </w:p>
        </w:tc>
        <w:tc>
          <w:tcPr>
            <w:tcW w:w="8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1"/>
              </w:rPr>
              <w:t>TARGET</w:t>
            </w:r>
          </w:p>
        </w:tc>
        <w:tc>
          <w:tcPr>
            <w:tcW w:w="64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8"/>
              </w:rPr>
              <w:t>2025</w:t>
            </w:r>
          </w:p>
        </w:tc>
        <w:tc>
          <w:tcPr>
            <w:tcW w:w="560" w:type="dxa"/>
            <w:vAlign w:val="bottom"/>
          </w:tcPr>
          <w:p>
            <w:pPr>
              <w:spacing w:after="0"/>
              <w:rPr>
                <w:sz w:val="11"/>
                <w:szCs w:val="11"/>
                <w:color w:val="auto"/>
              </w:rPr>
            </w:pP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left w:val="single" w:sz="8" w:color="0591DB"/>
            </w:tcBorders>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2000" w:type="dxa"/>
            <w:vAlign w:val="bottom"/>
            <w:tcBorders>
              <w:right w:val="single" w:sz="8" w:color="0591DB"/>
            </w:tcBorders>
            <w:gridSpan w:val="4"/>
          </w:tcPr>
          <w:p>
            <w:pPr>
              <w:jc w:val="center"/>
              <w:ind w:left="19"/>
              <w:spacing w:after="0" w:line="134" w:lineRule="exact"/>
              <w:rPr>
                <w:sz w:val="20"/>
                <w:szCs w:val="20"/>
                <w:color w:val="auto"/>
              </w:rPr>
            </w:pPr>
            <w:r>
              <w:rPr>
                <w:rFonts w:ascii="Calibri" w:cs="Calibri" w:eastAsia="Calibri" w:hAnsi="Calibri"/>
                <w:sz w:val="12"/>
                <w:szCs w:val="12"/>
                <w:b w:val="1"/>
                <w:bCs w:val="1"/>
                <w:color w:val="0591DB"/>
                <w:w w:val="95"/>
              </w:rPr>
              <w:t>(33.3% OF TOTAL AIP</w:t>
            </w:r>
          </w:p>
        </w:tc>
        <w:tc>
          <w:tcPr>
            <w:tcW w:w="194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5"/>
              </w:rPr>
              <w:t>(33.3% OF TOTAL AIP</w:t>
            </w:r>
          </w:p>
        </w:tc>
        <w:tc>
          <w:tcPr>
            <w:tcW w:w="2000" w:type="dxa"/>
            <w:vAlign w:val="bottom"/>
            <w:tcBorders>
              <w:right w:val="single" w:sz="8" w:color="0591DB"/>
            </w:tcBorders>
            <w:gridSpan w:val="3"/>
          </w:tcPr>
          <w:p>
            <w:pPr>
              <w:jc w:val="center"/>
              <w:ind w:left="19"/>
              <w:spacing w:after="0" w:line="134" w:lineRule="exact"/>
              <w:rPr>
                <w:sz w:val="20"/>
                <w:szCs w:val="20"/>
                <w:color w:val="auto"/>
              </w:rPr>
            </w:pPr>
            <w:r>
              <w:rPr>
                <w:rFonts w:ascii="Calibri" w:cs="Calibri" w:eastAsia="Calibri" w:hAnsi="Calibri"/>
                <w:sz w:val="12"/>
                <w:szCs w:val="12"/>
                <w:b w:val="1"/>
                <w:bCs w:val="1"/>
                <w:color w:val="0591DB"/>
                <w:w w:val="95"/>
              </w:rPr>
              <w:t>(33.4% OF TOTAL AIP</w:t>
            </w:r>
          </w:p>
        </w:tc>
        <w:tc>
          <w:tcPr>
            <w:tcW w:w="8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7"/>
              </w:rPr>
              <w:t>INCENTIVE</w:t>
            </w:r>
          </w:p>
        </w:tc>
        <w:tc>
          <w:tcPr>
            <w:tcW w:w="640" w:type="dxa"/>
            <w:vAlign w:val="bottom"/>
            <w:tcBorders>
              <w:right w:val="single" w:sz="8" w:color="0591DB"/>
            </w:tcBorders>
          </w:tcPr>
          <w:p>
            <w:pPr>
              <w:ind w:left="140"/>
              <w:spacing w:after="0" w:line="134" w:lineRule="exact"/>
              <w:rPr>
                <w:sz w:val="20"/>
                <w:szCs w:val="20"/>
                <w:color w:val="auto"/>
              </w:rPr>
            </w:pPr>
            <w:r>
              <w:rPr>
                <w:rFonts w:ascii="Calibri" w:cs="Calibri" w:eastAsia="Calibri" w:hAnsi="Calibri"/>
                <w:sz w:val="12"/>
                <w:szCs w:val="12"/>
                <w:b w:val="1"/>
                <w:bCs w:val="1"/>
                <w:color w:val="0591DB"/>
              </w:rPr>
              <w:t>EARNED</w:t>
            </w:r>
          </w:p>
        </w:tc>
        <w:tc>
          <w:tcPr>
            <w:tcW w:w="5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5"/>
              </w:rPr>
              <w:t>2025 AIP</w:t>
            </w: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00" w:type="dxa"/>
            <w:vAlign w:val="bottom"/>
            <w:tcBorders>
              <w:left w:val="single" w:sz="8" w:color="0591DB"/>
              <w:bottom w:val="single" w:sz="8" w:color="0591DB"/>
              <w:right w:val="single" w:sz="8" w:color="0591DB"/>
            </w:tcBorders>
            <w:gridSpan w:val="2"/>
          </w:tcPr>
          <w:p>
            <w:pPr>
              <w:ind w:left="140"/>
              <w:spacing w:after="0"/>
              <w:rPr>
                <w:sz w:val="20"/>
                <w:szCs w:val="20"/>
                <w:color w:val="auto"/>
              </w:rPr>
            </w:pPr>
            <w:r>
              <w:rPr>
                <w:rFonts w:ascii="Calibri" w:cs="Calibri" w:eastAsia="Calibri" w:hAnsi="Calibri"/>
                <w:sz w:val="12"/>
                <w:szCs w:val="12"/>
                <w:b w:val="1"/>
                <w:bCs w:val="1"/>
                <w:color w:val="0591DB"/>
              </w:rPr>
              <w:t>  OTHER NEOS</w:t>
            </w:r>
          </w:p>
        </w:tc>
        <w:tc>
          <w:tcPr>
            <w:tcW w:w="660" w:type="dxa"/>
            <w:vAlign w:val="bottom"/>
            <w:tcBorders>
              <w:bottom w:val="single" w:sz="8" w:color="0591DB"/>
            </w:tcBorders>
          </w:tcPr>
          <w:p>
            <w:pPr>
              <w:spacing w:after="0"/>
              <w:rPr>
                <w:sz w:val="19"/>
                <w:szCs w:val="19"/>
                <w:color w:val="auto"/>
              </w:rPr>
            </w:pPr>
          </w:p>
        </w:tc>
        <w:tc>
          <w:tcPr>
            <w:tcW w:w="1340" w:type="dxa"/>
            <w:vAlign w:val="bottom"/>
            <w:tcBorders>
              <w:bottom w:val="single" w:sz="8" w:color="0591DB"/>
              <w:right w:val="single" w:sz="8" w:color="0591DB"/>
            </w:tcBorders>
            <w:gridSpan w:val="3"/>
          </w:tcPr>
          <w:p>
            <w:pPr>
              <w:jc w:val="center"/>
              <w:ind w:right="537"/>
              <w:spacing w:after="0" w:line="137" w:lineRule="exact"/>
              <w:rPr>
                <w:sz w:val="20"/>
                <w:szCs w:val="20"/>
                <w:color w:val="auto"/>
              </w:rPr>
            </w:pPr>
            <w:r>
              <w:rPr>
                <w:rFonts w:ascii="Calibri" w:cs="Calibri" w:eastAsia="Calibri" w:hAnsi="Calibri"/>
                <w:sz w:val="12"/>
                <w:szCs w:val="12"/>
                <w:b w:val="1"/>
                <w:bCs w:val="1"/>
                <w:color w:val="0591DB"/>
                <w:w w:val="96"/>
              </w:rPr>
              <w:t>OPPORTUNITY)</w:t>
            </w:r>
          </w:p>
        </w:tc>
        <w:tc>
          <w:tcPr>
            <w:tcW w:w="1940" w:type="dxa"/>
            <w:vAlign w:val="bottom"/>
            <w:tcBorders>
              <w:bottom w:val="single" w:sz="8" w:color="0591DB"/>
              <w:right w:val="single" w:sz="8" w:color="0591DB"/>
            </w:tcBorders>
            <w:gridSpan w:val="3"/>
          </w:tcPr>
          <w:p>
            <w:pPr>
              <w:jc w:val="center"/>
              <w:spacing w:after="0" w:line="137" w:lineRule="exact"/>
              <w:rPr>
                <w:sz w:val="20"/>
                <w:szCs w:val="20"/>
                <w:color w:val="auto"/>
              </w:rPr>
            </w:pPr>
            <w:r>
              <w:rPr>
                <w:rFonts w:ascii="Calibri" w:cs="Calibri" w:eastAsia="Calibri" w:hAnsi="Calibri"/>
                <w:sz w:val="12"/>
                <w:szCs w:val="12"/>
                <w:b w:val="1"/>
                <w:bCs w:val="1"/>
                <w:color w:val="0591DB"/>
                <w:w w:val="93"/>
              </w:rPr>
              <w:t>OPPORTUNITY)</w:t>
            </w:r>
          </w:p>
        </w:tc>
        <w:tc>
          <w:tcPr>
            <w:tcW w:w="2000" w:type="dxa"/>
            <w:vAlign w:val="bottom"/>
            <w:tcBorders>
              <w:bottom w:val="single" w:sz="8" w:color="0591DB"/>
              <w:right w:val="single" w:sz="8" w:color="0591DB"/>
            </w:tcBorders>
            <w:gridSpan w:val="3"/>
          </w:tcPr>
          <w:p>
            <w:pPr>
              <w:jc w:val="center"/>
              <w:spacing w:after="0" w:line="137" w:lineRule="exact"/>
              <w:rPr>
                <w:sz w:val="20"/>
                <w:szCs w:val="20"/>
                <w:color w:val="auto"/>
              </w:rPr>
            </w:pPr>
            <w:r>
              <w:rPr>
                <w:rFonts w:ascii="Calibri" w:cs="Calibri" w:eastAsia="Calibri" w:hAnsi="Calibri"/>
                <w:sz w:val="12"/>
                <w:szCs w:val="12"/>
                <w:b w:val="1"/>
                <w:bCs w:val="1"/>
                <w:color w:val="0591DB"/>
                <w:w w:val="96"/>
              </w:rPr>
              <w:t>OPPORTUNITY)</w:t>
            </w:r>
          </w:p>
        </w:tc>
        <w:tc>
          <w:tcPr>
            <w:tcW w:w="860" w:type="dxa"/>
            <w:vAlign w:val="bottom"/>
            <w:tcBorders>
              <w:bottom w:val="single" w:sz="8" w:color="0591DB"/>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7"/>
              </w:rPr>
              <w:t> OPPORTUNITY </w:t>
            </w:r>
          </w:p>
        </w:tc>
        <w:tc>
          <w:tcPr>
            <w:tcW w:w="640" w:type="dxa"/>
            <w:vAlign w:val="bottom"/>
            <w:tcBorders>
              <w:bottom w:val="single" w:sz="8" w:color="0591DB"/>
              <w:right w:val="single" w:sz="8" w:color="0591DB"/>
            </w:tcBorders>
          </w:tcPr>
          <w:p>
            <w:pPr>
              <w:ind w:left="140"/>
              <w:spacing w:after="0" w:line="229" w:lineRule="exact"/>
              <w:rPr>
                <w:sz w:val="20"/>
                <w:szCs w:val="20"/>
                <w:color w:val="auto"/>
              </w:rPr>
            </w:pPr>
            <w:r>
              <w:rPr>
                <w:rFonts w:ascii="Calibri" w:cs="Calibri" w:eastAsia="Calibri" w:hAnsi="Calibri"/>
                <w:sz w:val="23"/>
                <w:szCs w:val="23"/>
                <w:b w:val="1"/>
                <w:bCs w:val="1"/>
                <w:color w:val="0591DB"/>
                <w:w w:val="99"/>
                <w:vertAlign w:val="subscript"/>
              </w:rPr>
              <w:t>AIP</w:t>
            </w:r>
            <w:r>
              <w:rPr>
                <w:rFonts w:ascii="Calibri" w:cs="Calibri" w:eastAsia="Calibri" w:hAnsi="Calibri"/>
                <w:sz w:val="9"/>
                <w:szCs w:val="9"/>
                <w:b w:val="1"/>
                <w:bCs w:val="1"/>
                <w:color w:val="0591DB"/>
                <w:w w:val="99"/>
              </w:rPr>
              <w:t xml:space="preserve"> (2) (3)</w:t>
            </w:r>
          </w:p>
        </w:tc>
        <w:tc>
          <w:tcPr>
            <w:tcW w:w="560" w:type="dxa"/>
            <w:vAlign w:val="bottom"/>
            <w:tcBorders>
              <w:bottom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0"/>
              </w:rPr>
              <w:t>PAYOUT</w:t>
            </w:r>
          </w:p>
        </w:tc>
        <w:tc>
          <w:tcPr>
            <w:tcW w:w="20" w:type="dxa"/>
            <w:vAlign w:val="bottom"/>
            <w:tcBorders>
              <w:bottom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80" w:type="dxa"/>
            <w:vAlign w:val="bottom"/>
            <w:tcBorders>
              <w:left w:val="single" w:sz="8" w:color="0591DB"/>
            </w:tcBorders>
          </w:tcPr>
          <w:p>
            <w:pPr>
              <w:spacing w:after="0"/>
              <w:rPr>
                <w:sz w:val="10"/>
                <w:szCs w:val="10"/>
                <w:color w:val="auto"/>
              </w:rPr>
            </w:pPr>
          </w:p>
        </w:tc>
        <w:tc>
          <w:tcPr>
            <w:tcW w:w="620" w:type="dxa"/>
            <w:vAlign w:val="bottom"/>
            <w:tcBorders>
              <w:right w:val="single" w:sz="8" w:color="0591DB"/>
            </w:tcBorders>
          </w:tcPr>
          <w:p>
            <w:pPr>
              <w:spacing w:after="0"/>
              <w:rPr>
                <w:sz w:val="10"/>
                <w:szCs w:val="10"/>
                <w:color w:val="auto"/>
              </w:rPr>
            </w:pPr>
          </w:p>
        </w:tc>
        <w:tc>
          <w:tcPr>
            <w:tcW w:w="740" w:type="dxa"/>
            <w:vAlign w:val="bottom"/>
            <w:tcBorders>
              <w:right w:val="single" w:sz="8" w:color="0591DB"/>
            </w:tcBorders>
            <w:gridSpan w:val="2"/>
          </w:tcPr>
          <w:p>
            <w:pPr>
              <w:ind w:left="80"/>
              <w:spacing w:after="0" w:line="126" w:lineRule="exact"/>
              <w:rPr>
                <w:sz w:val="20"/>
                <w:szCs w:val="20"/>
                <w:color w:val="auto"/>
              </w:rPr>
            </w:pPr>
            <w:r>
              <w:rPr>
                <w:rFonts w:ascii="Calibri" w:cs="Calibri" w:eastAsia="Calibri" w:hAnsi="Calibri"/>
                <w:sz w:val="12"/>
                <w:szCs w:val="12"/>
                <w:b w:val="1"/>
                <w:bCs w:val="1"/>
                <w:color w:val="0591DB"/>
                <w:w w:val="99"/>
              </w:rPr>
              <w:t> THRESHOLD</w:t>
            </w:r>
          </w:p>
        </w:tc>
        <w:tc>
          <w:tcPr>
            <w:tcW w:w="560" w:type="dxa"/>
            <w:vAlign w:val="bottom"/>
            <w:tcBorders>
              <w:right w:val="single" w:sz="8" w:color="0591DB"/>
            </w:tcBorders>
          </w:tcPr>
          <w:p>
            <w:pPr>
              <w:jc w:val="center"/>
              <w:spacing w:after="0" w:line="126" w:lineRule="exact"/>
              <w:rPr>
                <w:sz w:val="20"/>
                <w:szCs w:val="20"/>
                <w:color w:val="auto"/>
              </w:rPr>
            </w:pPr>
            <w:r>
              <w:rPr>
                <w:rFonts w:ascii="Calibri" w:cs="Calibri" w:eastAsia="Calibri" w:hAnsi="Calibri"/>
                <w:sz w:val="12"/>
                <w:szCs w:val="12"/>
                <w:b w:val="1"/>
                <w:bCs w:val="1"/>
                <w:color w:val="0591DB"/>
                <w:w w:val="95"/>
              </w:rPr>
              <w:t> TARGET</w:t>
            </w:r>
          </w:p>
        </w:tc>
        <w:tc>
          <w:tcPr>
            <w:tcW w:w="700" w:type="dxa"/>
            <w:vAlign w:val="bottom"/>
            <w:tcBorders>
              <w:right w:val="single" w:sz="8" w:color="0591DB"/>
            </w:tcBorders>
          </w:tcPr>
          <w:p>
            <w:pPr>
              <w:ind w:left="80"/>
              <w:spacing w:after="0" w:line="126" w:lineRule="exact"/>
              <w:rPr>
                <w:sz w:val="20"/>
                <w:szCs w:val="20"/>
                <w:color w:val="auto"/>
              </w:rPr>
            </w:pPr>
            <w:r>
              <w:rPr>
                <w:rFonts w:ascii="Calibri" w:cs="Calibri" w:eastAsia="Calibri" w:hAnsi="Calibri"/>
                <w:sz w:val="12"/>
                <w:szCs w:val="12"/>
                <w:b w:val="1"/>
                <w:bCs w:val="1"/>
                <w:color w:val="0591DB"/>
                <w:w w:val="98"/>
              </w:rPr>
              <w:t> MAXIMUM</w:t>
            </w:r>
          </w:p>
        </w:tc>
        <w:tc>
          <w:tcPr>
            <w:tcW w:w="720" w:type="dxa"/>
            <w:vAlign w:val="bottom"/>
            <w:tcBorders>
              <w:right w:val="single" w:sz="8" w:color="0591DB"/>
            </w:tcBorders>
          </w:tcPr>
          <w:p>
            <w:pPr>
              <w:ind w:left="80"/>
              <w:spacing w:after="0" w:line="126" w:lineRule="exact"/>
              <w:rPr>
                <w:sz w:val="20"/>
                <w:szCs w:val="20"/>
                <w:color w:val="auto"/>
              </w:rPr>
            </w:pPr>
            <w:r>
              <w:rPr>
                <w:rFonts w:ascii="Calibri" w:cs="Calibri" w:eastAsia="Calibri" w:hAnsi="Calibri"/>
                <w:sz w:val="12"/>
                <w:szCs w:val="12"/>
                <w:b w:val="1"/>
                <w:bCs w:val="1"/>
                <w:color w:val="0591DB"/>
                <w:w w:val="95"/>
              </w:rPr>
              <w:t> THRESHOLD</w:t>
            </w:r>
          </w:p>
        </w:tc>
        <w:tc>
          <w:tcPr>
            <w:tcW w:w="520" w:type="dxa"/>
            <w:vAlign w:val="bottom"/>
            <w:tcBorders>
              <w:right w:val="single" w:sz="8" w:color="0591DB"/>
            </w:tcBorders>
          </w:tcPr>
          <w:p>
            <w:pPr>
              <w:jc w:val="center"/>
              <w:spacing w:after="0" w:line="126" w:lineRule="exact"/>
              <w:rPr>
                <w:sz w:val="20"/>
                <w:szCs w:val="20"/>
                <w:color w:val="auto"/>
              </w:rPr>
            </w:pPr>
            <w:r>
              <w:rPr>
                <w:rFonts w:ascii="Calibri" w:cs="Calibri" w:eastAsia="Calibri" w:hAnsi="Calibri"/>
                <w:sz w:val="12"/>
                <w:szCs w:val="12"/>
                <w:b w:val="1"/>
                <w:bCs w:val="1"/>
                <w:color w:val="0591DB"/>
                <w:w w:val="95"/>
              </w:rPr>
              <w:t> TARGET</w:t>
            </w:r>
          </w:p>
        </w:tc>
        <w:tc>
          <w:tcPr>
            <w:tcW w:w="700" w:type="dxa"/>
            <w:vAlign w:val="bottom"/>
            <w:tcBorders>
              <w:right w:val="single" w:sz="8" w:color="0591DB"/>
            </w:tcBorders>
          </w:tcPr>
          <w:p>
            <w:pPr>
              <w:ind w:left="80"/>
              <w:spacing w:after="0" w:line="126" w:lineRule="exact"/>
              <w:rPr>
                <w:sz w:val="20"/>
                <w:szCs w:val="20"/>
                <w:color w:val="auto"/>
              </w:rPr>
            </w:pPr>
            <w:r>
              <w:rPr>
                <w:rFonts w:ascii="Calibri" w:cs="Calibri" w:eastAsia="Calibri" w:hAnsi="Calibri"/>
                <w:sz w:val="12"/>
                <w:szCs w:val="12"/>
                <w:b w:val="1"/>
                <w:bCs w:val="1"/>
                <w:color w:val="0591DB"/>
                <w:w w:val="98"/>
              </w:rPr>
              <w:t> MAXIMUM</w:t>
            </w:r>
          </w:p>
        </w:tc>
        <w:tc>
          <w:tcPr>
            <w:tcW w:w="720" w:type="dxa"/>
            <w:vAlign w:val="bottom"/>
            <w:tcBorders>
              <w:right w:val="single" w:sz="8" w:color="0591DB"/>
            </w:tcBorders>
          </w:tcPr>
          <w:p>
            <w:pPr>
              <w:ind w:left="80"/>
              <w:spacing w:after="0" w:line="126" w:lineRule="exact"/>
              <w:rPr>
                <w:sz w:val="20"/>
                <w:szCs w:val="20"/>
                <w:color w:val="auto"/>
              </w:rPr>
            </w:pPr>
            <w:r>
              <w:rPr>
                <w:rFonts w:ascii="Calibri" w:cs="Calibri" w:eastAsia="Calibri" w:hAnsi="Calibri"/>
                <w:sz w:val="12"/>
                <w:szCs w:val="12"/>
                <w:b w:val="1"/>
                <w:bCs w:val="1"/>
                <w:color w:val="0591DB"/>
                <w:w w:val="95"/>
              </w:rPr>
              <w:t> THRESHOLD</w:t>
            </w:r>
          </w:p>
        </w:tc>
        <w:tc>
          <w:tcPr>
            <w:tcW w:w="600" w:type="dxa"/>
            <w:vAlign w:val="bottom"/>
            <w:tcBorders>
              <w:right w:val="single" w:sz="8" w:color="0591DB"/>
            </w:tcBorders>
          </w:tcPr>
          <w:p>
            <w:pPr>
              <w:jc w:val="center"/>
              <w:spacing w:after="0" w:line="126" w:lineRule="exact"/>
              <w:rPr>
                <w:sz w:val="20"/>
                <w:szCs w:val="20"/>
                <w:color w:val="auto"/>
              </w:rPr>
            </w:pPr>
            <w:r>
              <w:rPr>
                <w:rFonts w:ascii="Calibri" w:cs="Calibri" w:eastAsia="Calibri" w:hAnsi="Calibri"/>
                <w:sz w:val="12"/>
                <w:szCs w:val="12"/>
                <w:b w:val="1"/>
                <w:bCs w:val="1"/>
                <w:color w:val="0591DB"/>
                <w:w w:val="90"/>
              </w:rPr>
              <w:t> TARGET</w:t>
            </w:r>
          </w:p>
        </w:tc>
        <w:tc>
          <w:tcPr>
            <w:tcW w:w="680" w:type="dxa"/>
            <w:vAlign w:val="bottom"/>
            <w:tcBorders>
              <w:right w:val="single" w:sz="8" w:color="0591DB"/>
            </w:tcBorders>
          </w:tcPr>
          <w:p>
            <w:pPr>
              <w:ind w:left="80"/>
              <w:spacing w:after="0" w:line="126" w:lineRule="exact"/>
              <w:rPr>
                <w:sz w:val="20"/>
                <w:szCs w:val="20"/>
                <w:color w:val="auto"/>
              </w:rPr>
            </w:pPr>
            <w:r>
              <w:rPr>
                <w:rFonts w:ascii="Calibri" w:cs="Calibri" w:eastAsia="Calibri" w:hAnsi="Calibri"/>
                <w:sz w:val="12"/>
                <w:szCs w:val="12"/>
                <w:b w:val="1"/>
                <w:bCs w:val="1"/>
                <w:color w:val="0591DB"/>
                <w:w w:val="95"/>
              </w:rPr>
              <w:t> MAXIMUM</w:t>
            </w:r>
          </w:p>
        </w:tc>
        <w:tc>
          <w:tcPr>
            <w:tcW w:w="860" w:type="dxa"/>
            <w:vAlign w:val="bottom"/>
            <w:tcBorders>
              <w:right w:val="single" w:sz="8" w:color="0591DB"/>
            </w:tcBorders>
          </w:tcPr>
          <w:p>
            <w:pPr>
              <w:spacing w:after="0"/>
              <w:rPr>
                <w:sz w:val="10"/>
                <w:szCs w:val="10"/>
                <w:color w:val="auto"/>
              </w:rPr>
            </w:pPr>
          </w:p>
        </w:tc>
        <w:tc>
          <w:tcPr>
            <w:tcW w:w="640" w:type="dxa"/>
            <w:vAlign w:val="bottom"/>
            <w:tcBorders>
              <w:right w:val="single" w:sz="8" w:color="0591DB"/>
            </w:tcBorders>
          </w:tcPr>
          <w:p>
            <w:pPr>
              <w:spacing w:after="0"/>
              <w:rPr>
                <w:sz w:val="10"/>
                <w:szCs w:val="10"/>
                <w:color w:val="auto"/>
              </w:rPr>
            </w:pPr>
          </w:p>
        </w:tc>
        <w:tc>
          <w:tcPr>
            <w:tcW w:w="560" w:type="dxa"/>
            <w:vAlign w:val="bottom"/>
          </w:tcPr>
          <w:p>
            <w:pPr>
              <w:jc w:val="center"/>
              <w:spacing w:after="0" w:line="126" w:lineRule="exact"/>
              <w:rPr>
                <w:sz w:val="20"/>
                <w:szCs w:val="20"/>
                <w:color w:val="auto"/>
              </w:rPr>
            </w:pPr>
            <w:r>
              <w:rPr>
                <w:rFonts w:ascii="Calibri" w:cs="Calibri" w:eastAsia="Calibri" w:hAnsi="Calibri"/>
                <w:sz w:val="12"/>
                <w:szCs w:val="12"/>
                <w:b w:val="1"/>
                <w:bCs w:val="1"/>
                <w:color w:val="0591DB"/>
                <w:w w:val="95"/>
              </w:rPr>
              <w:t> (% OF</w:t>
            </w:r>
          </w:p>
        </w:tc>
        <w:tc>
          <w:tcPr>
            <w:tcW w:w="20" w:type="dxa"/>
            <w:vAlign w:val="bottom"/>
            <w:shd w:val="clear" w:color="auto" w:fill="0591DB"/>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80" w:type="dxa"/>
            <w:vAlign w:val="bottom"/>
            <w:tcBorders>
              <w:left w:val="single" w:sz="8" w:color="0591DB"/>
            </w:tcBorders>
          </w:tcPr>
          <w:p>
            <w:pPr>
              <w:spacing w:after="0"/>
              <w:rPr>
                <w:sz w:val="13"/>
                <w:szCs w:val="13"/>
                <w:color w:val="auto"/>
              </w:rPr>
            </w:pPr>
          </w:p>
        </w:tc>
        <w:tc>
          <w:tcPr>
            <w:tcW w:w="620" w:type="dxa"/>
            <w:vAlign w:val="bottom"/>
            <w:tcBorders>
              <w:right w:val="single" w:sz="8" w:color="0591DB"/>
            </w:tcBorders>
          </w:tcPr>
          <w:p>
            <w:pPr>
              <w:spacing w:after="0"/>
              <w:rPr>
                <w:sz w:val="13"/>
                <w:szCs w:val="13"/>
                <w:color w:val="auto"/>
              </w:rPr>
            </w:pPr>
          </w:p>
        </w:tc>
        <w:tc>
          <w:tcPr>
            <w:tcW w:w="660" w:type="dxa"/>
            <w:vAlign w:val="bottom"/>
          </w:tcPr>
          <w:p>
            <w:pPr>
              <w:jc w:val="center"/>
              <w:ind w:left="79"/>
              <w:spacing w:after="0" w:line="137" w:lineRule="exact"/>
              <w:rPr>
                <w:sz w:val="20"/>
                <w:szCs w:val="20"/>
                <w:color w:val="auto"/>
              </w:rPr>
            </w:pPr>
            <w:r>
              <w:rPr>
                <w:rFonts w:ascii="Calibri" w:cs="Calibri" w:eastAsia="Calibri" w:hAnsi="Calibri"/>
                <w:sz w:val="12"/>
                <w:szCs w:val="12"/>
                <w:b w:val="1"/>
                <w:bCs w:val="1"/>
                <w:color w:val="0591DB"/>
                <w:w w:val="98"/>
              </w:rPr>
              <w:t> $345.5M </w:t>
            </w:r>
          </w:p>
        </w:tc>
        <w:tc>
          <w:tcPr>
            <w:tcW w:w="80" w:type="dxa"/>
            <w:vAlign w:val="bottom"/>
            <w:tcBorders>
              <w:right w:val="single" w:sz="8" w:color="0591DB"/>
            </w:tcBorders>
          </w:tcPr>
          <w:p>
            <w:pPr>
              <w:spacing w:after="0"/>
              <w:rPr>
                <w:sz w:val="13"/>
                <w:szCs w:val="13"/>
                <w:color w:val="auto"/>
              </w:rPr>
            </w:pPr>
          </w:p>
        </w:tc>
        <w:tc>
          <w:tcPr>
            <w:tcW w:w="56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3"/>
              </w:rPr>
              <w:t> $431.9M </w:t>
            </w:r>
          </w:p>
        </w:tc>
        <w:tc>
          <w:tcPr>
            <w:tcW w:w="7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$518.3M </w:t>
            </w:r>
          </w:p>
        </w:tc>
        <w:tc>
          <w:tcPr>
            <w:tcW w:w="72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2"/>
              </w:rPr>
              <w:t> $6.56 </w:t>
            </w:r>
          </w:p>
        </w:tc>
        <w:tc>
          <w:tcPr>
            <w:tcW w:w="520" w:type="dxa"/>
            <w:vAlign w:val="bottom"/>
            <w:tcBorders>
              <w:right w:val="single" w:sz="8" w:color="0591DB"/>
            </w:tcBorders>
          </w:tcPr>
          <w:p>
            <w:pPr>
              <w:jc w:val="center"/>
              <w:ind w:left="17"/>
              <w:spacing w:after="0" w:line="137" w:lineRule="exact"/>
              <w:rPr>
                <w:sz w:val="20"/>
                <w:szCs w:val="20"/>
                <w:color w:val="auto"/>
              </w:rPr>
            </w:pPr>
            <w:r>
              <w:rPr>
                <w:rFonts w:ascii="Calibri" w:cs="Calibri" w:eastAsia="Calibri" w:hAnsi="Calibri"/>
                <w:sz w:val="12"/>
                <w:szCs w:val="12"/>
                <w:b w:val="1"/>
                <w:bCs w:val="1"/>
                <w:color w:val="0591DB"/>
                <w:w w:val="98"/>
              </w:rPr>
              <w:t> $8.20 </w:t>
            </w:r>
          </w:p>
        </w:tc>
        <w:tc>
          <w:tcPr>
            <w:tcW w:w="7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$9.84 </w:t>
            </w:r>
          </w:p>
        </w:tc>
        <w:tc>
          <w:tcPr>
            <w:tcW w:w="72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$145,833 </w:t>
            </w:r>
          </w:p>
        </w:tc>
        <w:tc>
          <w:tcPr>
            <w:tcW w:w="6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$291,666 </w:t>
            </w:r>
          </w:p>
        </w:tc>
        <w:tc>
          <w:tcPr>
            <w:tcW w:w="68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8"/>
              </w:rPr>
              <w:t> $437,500 </w:t>
            </w:r>
          </w:p>
        </w:tc>
        <w:tc>
          <w:tcPr>
            <w:tcW w:w="86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88"/>
              </w:rPr>
              <w:t>($)</w:t>
            </w:r>
          </w:p>
        </w:tc>
        <w:tc>
          <w:tcPr>
            <w:tcW w:w="64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88"/>
              </w:rPr>
              <w:t>($)</w:t>
            </w:r>
          </w:p>
        </w:tc>
        <w:tc>
          <w:tcPr>
            <w:tcW w:w="56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0591DB"/>
                <w:w w:val="96"/>
              </w:rPr>
              <w:t> TARGET)</w:t>
            </w:r>
          </w:p>
        </w:tc>
        <w:tc>
          <w:tcPr>
            <w:tcW w:w="20" w:type="dxa"/>
            <w:vAlign w:val="bottom"/>
            <w:shd w:val="clear" w:color="auto" w:fill="0591DB"/>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80" w:type="dxa"/>
            <w:vAlign w:val="bottom"/>
            <w:tcBorders>
              <w:left w:val="single" w:sz="8" w:color="0591DB"/>
              <w:bottom w:val="single" w:sz="8" w:color="0591DB"/>
            </w:tcBorders>
          </w:tcPr>
          <w:p>
            <w:pPr>
              <w:spacing w:after="0"/>
              <w:rPr>
                <w:sz w:val="6"/>
                <w:szCs w:val="6"/>
                <w:color w:val="auto"/>
              </w:rPr>
            </w:pPr>
          </w:p>
        </w:tc>
        <w:tc>
          <w:tcPr>
            <w:tcW w:w="620" w:type="dxa"/>
            <w:vAlign w:val="bottom"/>
            <w:tcBorders>
              <w:bottom w:val="single" w:sz="8" w:color="0591DB"/>
              <w:right w:val="single" w:sz="8" w:color="0591DB"/>
            </w:tcBorders>
          </w:tcPr>
          <w:p>
            <w:pPr>
              <w:spacing w:after="0"/>
              <w:rPr>
                <w:sz w:val="6"/>
                <w:szCs w:val="6"/>
                <w:color w:val="auto"/>
              </w:rPr>
            </w:pPr>
          </w:p>
        </w:tc>
        <w:tc>
          <w:tcPr>
            <w:tcW w:w="660" w:type="dxa"/>
            <w:vAlign w:val="bottom"/>
            <w:tcBorders>
              <w:bottom w:val="single" w:sz="8" w:color="0591DB"/>
            </w:tcBorders>
          </w:tcPr>
          <w:p>
            <w:pPr>
              <w:spacing w:after="0"/>
              <w:rPr>
                <w:sz w:val="6"/>
                <w:szCs w:val="6"/>
                <w:color w:val="auto"/>
              </w:rPr>
            </w:pPr>
          </w:p>
        </w:tc>
        <w:tc>
          <w:tcPr>
            <w:tcW w:w="80" w:type="dxa"/>
            <w:vAlign w:val="bottom"/>
            <w:tcBorders>
              <w:bottom w:val="single" w:sz="8" w:color="0591DB"/>
              <w:right w:val="single" w:sz="8" w:color="0591DB"/>
            </w:tcBorders>
          </w:tcPr>
          <w:p>
            <w:pPr>
              <w:spacing w:after="0"/>
              <w:rPr>
                <w:sz w:val="6"/>
                <w:szCs w:val="6"/>
                <w:color w:val="auto"/>
              </w:rPr>
            </w:pPr>
          </w:p>
        </w:tc>
        <w:tc>
          <w:tcPr>
            <w:tcW w:w="560" w:type="dxa"/>
            <w:vAlign w:val="bottom"/>
            <w:tcBorders>
              <w:bottom w:val="single" w:sz="8" w:color="0591DB"/>
              <w:right w:val="single" w:sz="8" w:color="0591DB"/>
            </w:tcBorders>
          </w:tcPr>
          <w:p>
            <w:pPr>
              <w:spacing w:after="0"/>
              <w:rPr>
                <w:sz w:val="6"/>
                <w:szCs w:val="6"/>
                <w:color w:val="auto"/>
              </w:rPr>
            </w:pPr>
          </w:p>
        </w:tc>
        <w:tc>
          <w:tcPr>
            <w:tcW w:w="700" w:type="dxa"/>
            <w:vAlign w:val="bottom"/>
            <w:tcBorders>
              <w:bottom w:val="single" w:sz="8" w:color="0591DB"/>
              <w:right w:val="single" w:sz="8" w:color="0591DB"/>
            </w:tcBorders>
          </w:tcPr>
          <w:p>
            <w:pPr>
              <w:spacing w:after="0"/>
              <w:rPr>
                <w:sz w:val="6"/>
                <w:szCs w:val="6"/>
                <w:color w:val="auto"/>
              </w:rPr>
            </w:pPr>
          </w:p>
        </w:tc>
        <w:tc>
          <w:tcPr>
            <w:tcW w:w="720" w:type="dxa"/>
            <w:vAlign w:val="bottom"/>
            <w:tcBorders>
              <w:bottom w:val="single" w:sz="8" w:color="0591DB"/>
              <w:right w:val="single" w:sz="8" w:color="0591DB"/>
            </w:tcBorders>
          </w:tcPr>
          <w:p>
            <w:pPr>
              <w:spacing w:after="0"/>
              <w:rPr>
                <w:sz w:val="6"/>
                <w:szCs w:val="6"/>
                <w:color w:val="auto"/>
              </w:rPr>
            </w:pPr>
          </w:p>
        </w:tc>
        <w:tc>
          <w:tcPr>
            <w:tcW w:w="520" w:type="dxa"/>
            <w:vAlign w:val="bottom"/>
            <w:tcBorders>
              <w:bottom w:val="single" w:sz="8" w:color="0591DB"/>
              <w:right w:val="single" w:sz="8" w:color="0591DB"/>
            </w:tcBorders>
          </w:tcPr>
          <w:p>
            <w:pPr>
              <w:spacing w:after="0"/>
              <w:rPr>
                <w:sz w:val="6"/>
                <w:szCs w:val="6"/>
                <w:color w:val="auto"/>
              </w:rPr>
            </w:pPr>
          </w:p>
        </w:tc>
        <w:tc>
          <w:tcPr>
            <w:tcW w:w="700" w:type="dxa"/>
            <w:vAlign w:val="bottom"/>
            <w:tcBorders>
              <w:bottom w:val="single" w:sz="8" w:color="0591DB"/>
              <w:right w:val="single" w:sz="8" w:color="0591DB"/>
            </w:tcBorders>
          </w:tcPr>
          <w:p>
            <w:pPr>
              <w:spacing w:after="0"/>
              <w:rPr>
                <w:sz w:val="6"/>
                <w:szCs w:val="6"/>
                <w:color w:val="auto"/>
              </w:rPr>
            </w:pPr>
          </w:p>
        </w:tc>
        <w:tc>
          <w:tcPr>
            <w:tcW w:w="720" w:type="dxa"/>
            <w:vAlign w:val="bottom"/>
            <w:tcBorders>
              <w:bottom w:val="single" w:sz="8" w:color="0591DB"/>
              <w:right w:val="single" w:sz="8" w:color="0591DB"/>
            </w:tcBorders>
          </w:tcPr>
          <w:p>
            <w:pPr>
              <w:spacing w:after="0"/>
              <w:rPr>
                <w:sz w:val="6"/>
                <w:szCs w:val="6"/>
                <w:color w:val="auto"/>
              </w:rPr>
            </w:pPr>
          </w:p>
        </w:tc>
        <w:tc>
          <w:tcPr>
            <w:tcW w:w="600" w:type="dxa"/>
            <w:vAlign w:val="bottom"/>
            <w:tcBorders>
              <w:bottom w:val="single" w:sz="8" w:color="0591DB"/>
              <w:right w:val="single" w:sz="8" w:color="0591DB"/>
            </w:tcBorders>
          </w:tcPr>
          <w:p>
            <w:pPr>
              <w:spacing w:after="0"/>
              <w:rPr>
                <w:sz w:val="6"/>
                <w:szCs w:val="6"/>
                <w:color w:val="auto"/>
              </w:rPr>
            </w:pPr>
          </w:p>
        </w:tc>
        <w:tc>
          <w:tcPr>
            <w:tcW w:w="680" w:type="dxa"/>
            <w:vAlign w:val="bottom"/>
            <w:tcBorders>
              <w:bottom w:val="single" w:sz="8" w:color="0591DB"/>
              <w:right w:val="single" w:sz="8" w:color="0591DB"/>
            </w:tcBorders>
          </w:tcPr>
          <w:p>
            <w:pPr>
              <w:spacing w:after="0"/>
              <w:rPr>
                <w:sz w:val="6"/>
                <w:szCs w:val="6"/>
                <w:color w:val="auto"/>
              </w:rPr>
            </w:pPr>
          </w:p>
        </w:tc>
        <w:tc>
          <w:tcPr>
            <w:tcW w:w="860" w:type="dxa"/>
            <w:vAlign w:val="bottom"/>
            <w:tcBorders>
              <w:bottom w:val="single" w:sz="8" w:color="0591DB"/>
              <w:right w:val="single" w:sz="8" w:color="0591DB"/>
            </w:tcBorders>
          </w:tcPr>
          <w:p>
            <w:pPr>
              <w:spacing w:after="0"/>
              <w:rPr>
                <w:sz w:val="6"/>
                <w:szCs w:val="6"/>
                <w:color w:val="auto"/>
              </w:rPr>
            </w:pPr>
          </w:p>
        </w:tc>
        <w:tc>
          <w:tcPr>
            <w:tcW w:w="640" w:type="dxa"/>
            <w:vAlign w:val="bottom"/>
            <w:tcBorders>
              <w:bottom w:val="single" w:sz="8" w:color="0591DB"/>
              <w:right w:val="single" w:sz="8" w:color="0591DB"/>
            </w:tcBorders>
          </w:tcPr>
          <w:p>
            <w:pPr>
              <w:spacing w:after="0"/>
              <w:rPr>
                <w:sz w:val="6"/>
                <w:szCs w:val="6"/>
                <w:color w:val="auto"/>
              </w:rPr>
            </w:pPr>
          </w:p>
        </w:tc>
        <w:tc>
          <w:tcPr>
            <w:tcW w:w="56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00" w:type="dxa"/>
            <w:vAlign w:val="bottom"/>
            <w:gridSpan w:val="2"/>
          </w:tcPr>
          <w:p>
            <w:pPr>
              <w:spacing w:after="0" w:line="152" w:lineRule="exact"/>
              <w:rPr>
                <w:sz w:val="20"/>
                <w:szCs w:val="20"/>
                <w:color w:val="auto"/>
              </w:rPr>
            </w:pPr>
            <w:r>
              <w:rPr>
                <w:rFonts w:ascii="Calibri" w:cs="Calibri" w:eastAsia="Calibri" w:hAnsi="Calibri"/>
                <w:sz w:val="13"/>
                <w:szCs w:val="13"/>
                <w:b w:val="1"/>
                <w:bCs w:val="1"/>
                <w:color w:val="0591DB"/>
              </w:rPr>
              <w:t>  Paul Linton</w:t>
            </w:r>
          </w:p>
        </w:tc>
        <w:tc>
          <w:tcPr>
            <w:tcW w:w="660" w:type="dxa"/>
            <w:vAlign w:val="bottom"/>
          </w:tcPr>
          <w:p>
            <w:pPr>
              <w:jc w:val="center"/>
              <w:ind w:left="59"/>
              <w:spacing w:after="0" w:line="152" w:lineRule="exact"/>
              <w:rPr>
                <w:sz w:val="20"/>
                <w:szCs w:val="20"/>
                <w:color w:val="auto"/>
              </w:rPr>
            </w:pPr>
            <w:r>
              <w:rPr>
                <w:rFonts w:ascii="Calibri" w:cs="Calibri" w:eastAsia="Calibri" w:hAnsi="Calibri"/>
                <w:sz w:val="13"/>
                <w:szCs w:val="13"/>
                <w:color w:val="333333"/>
              </w:rPr>
              <w:t>50</w:t>
            </w:r>
          </w:p>
        </w:tc>
        <w:tc>
          <w:tcPr>
            <w:tcW w:w="80" w:type="dxa"/>
            <w:vAlign w:val="bottom"/>
          </w:tcPr>
          <w:p>
            <w:pPr>
              <w:spacing w:after="0"/>
              <w:rPr>
                <w:sz w:val="13"/>
                <w:szCs w:val="13"/>
                <w:color w:val="auto"/>
              </w:rPr>
            </w:pPr>
          </w:p>
        </w:tc>
        <w:tc>
          <w:tcPr>
            <w:tcW w:w="560" w:type="dxa"/>
            <w:vAlign w:val="bottom"/>
          </w:tcPr>
          <w:p>
            <w:pPr>
              <w:jc w:val="center"/>
              <w:spacing w:after="0" w:line="152" w:lineRule="exact"/>
              <w:rPr>
                <w:sz w:val="20"/>
                <w:szCs w:val="20"/>
                <w:color w:val="auto"/>
              </w:rPr>
            </w:pPr>
            <w:r>
              <w:rPr>
                <w:rFonts w:ascii="Calibri" w:cs="Calibri" w:eastAsia="Calibri" w:hAnsi="Calibri"/>
                <w:sz w:val="13"/>
                <w:szCs w:val="13"/>
                <w:color w:val="333333"/>
              </w:rPr>
              <w:t>100</w:t>
            </w:r>
          </w:p>
        </w:tc>
        <w:tc>
          <w:tcPr>
            <w:tcW w:w="700" w:type="dxa"/>
            <w:vAlign w:val="bottom"/>
          </w:tcPr>
          <w:p>
            <w:pPr>
              <w:jc w:val="center"/>
              <w:spacing w:after="0" w:line="152" w:lineRule="exact"/>
              <w:rPr>
                <w:sz w:val="20"/>
                <w:szCs w:val="20"/>
                <w:color w:val="auto"/>
              </w:rPr>
            </w:pPr>
            <w:r>
              <w:rPr>
                <w:rFonts w:ascii="Calibri" w:cs="Calibri" w:eastAsia="Calibri" w:hAnsi="Calibri"/>
                <w:sz w:val="13"/>
                <w:szCs w:val="13"/>
                <w:color w:val="333333"/>
              </w:rPr>
              <w:t>150</w:t>
            </w:r>
          </w:p>
        </w:tc>
        <w:tc>
          <w:tcPr>
            <w:tcW w:w="720" w:type="dxa"/>
            <w:vAlign w:val="bottom"/>
          </w:tcPr>
          <w:p>
            <w:pPr>
              <w:jc w:val="center"/>
              <w:spacing w:after="0" w:line="152" w:lineRule="exact"/>
              <w:rPr>
                <w:sz w:val="20"/>
                <w:szCs w:val="20"/>
                <w:color w:val="auto"/>
              </w:rPr>
            </w:pPr>
            <w:r>
              <w:rPr>
                <w:rFonts w:ascii="Calibri" w:cs="Calibri" w:eastAsia="Calibri" w:hAnsi="Calibri"/>
                <w:sz w:val="13"/>
                <w:szCs w:val="13"/>
                <w:color w:val="333333"/>
              </w:rPr>
              <w:t>50</w:t>
            </w:r>
          </w:p>
        </w:tc>
        <w:tc>
          <w:tcPr>
            <w:tcW w:w="520" w:type="dxa"/>
            <w:vAlign w:val="bottom"/>
          </w:tcPr>
          <w:p>
            <w:pPr>
              <w:jc w:val="center"/>
              <w:ind w:left="17"/>
              <w:spacing w:after="0" w:line="152" w:lineRule="exact"/>
              <w:rPr>
                <w:sz w:val="20"/>
                <w:szCs w:val="20"/>
                <w:color w:val="auto"/>
              </w:rPr>
            </w:pPr>
            <w:r>
              <w:rPr>
                <w:rFonts w:ascii="Calibri" w:cs="Calibri" w:eastAsia="Calibri" w:hAnsi="Calibri"/>
                <w:sz w:val="13"/>
                <w:szCs w:val="13"/>
                <w:color w:val="333333"/>
              </w:rPr>
              <w:t>100</w:t>
            </w:r>
          </w:p>
        </w:tc>
        <w:tc>
          <w:tcPr>
            <w:tcW w:w="700" w:type="dxa"/>
            <w:vAlign w:val="bottom"/>
          </w:tcPr>
          <w:p>
            <w:pPr>
              <w:jc w:val="center"/>
              <w:spacing w:after="0" w:line="152" w:lineRule="exact"/>
              <w:rPr>
                <w:sz w:val="20"/>
                <w:szCs w:val="20"/>
                <w:color w:val="auto"/>
              </w:rPr>
            </w:pPr>
            <w:r>
              <w:rPr>
                <w:rFonts w:ascii="Calibri" w:cs="Calibri" w:eastAsia="Calibri" w:hAnsi="Calibri"/>
                <w:sz w:val="13"/>
                <w:szCs w:val="13"/>
                <w:color w:val="333333"/>
              </w:rPr>
              <w:t>150</w:t>
            </w:r>
          </w:p>
        </w:tc>
        <w:tc>
          <w:tcPr>
            <w:tcW w:w="720" w:type="dxa"/>
            <w:vAlign w:val="bottom"/>
          </w:tcPr>
          <w:p>
            <w:pPr>
              <w:jc w:val="center"/>
              <w:spacing w:after="0" w:line="152" w:lineRule="exact"/>
              <w:rPr>
                <w:sz w:val="20"/>
                <w:szCs w:val="20"/>
                <w:color w:val="auto"/>
              </w:rPr>
            </w:pPr>
            <w:r>
              <w:rPr>
                <w:rFonts w:ascii="Calibri" w:cs="Calibri" w:eastAsia="Calibri" w:hAnsi="Calibri"/>
                <w:sz w:val="13"/>
                <w:szCs w:val="13"/>
                <w:color w:val="333333"/>
              </w:rPr>
              <w:t>50</w:t>
            </w:r>
          </w:p>
        </w:tc>
        <w:tc>
          <w:tcPr>
            <w:tcW w:w="600" w:type="dxa"/>
            <w:vAlign w:val="bottom"/>
          </w:tcPr>
          <w:p>
            <w:pPr>
              <w:jc w:val="center"/>
              <w:spacing w:after="0" w:line="152" w:lineRule="exact"/>
              <w:rPr>
                <w:sz w:val="20"/>
                <w:szCs w:val="20"/>
                <w:color w:val="auto"/>
              </w:rPr>
            </w:pPr>
            <w:r>
              <w:rPr>
                <w:rFonts w:ascii="Calibri" w:cs="Calibri" w:eastAsia="Calibri" w:hAnsi="Calibri"/>
                <w:sz w:val="13"/>
                <w:szCs w:val="13"/>
                <w:color w:val="333333"/>
              </w:rPr>
              <w:t>100</w:t>
            </w:r>
          </w:p>
        </w:tc>
        <w:tc>
          <w:tcPr>
            <w:tcW w:w="680" w:type="dxa"/>
            <w:vAlign w:val="bottom"/>
          </w:tcPr>
          <w:p>
            <w:pPr>
              <w:jc w:val="center"/>
              <w:spacing w:after="0" w:line="152" w:lineRule="exact"/>
              <w:rPr>
                <w:sz w:val="20"/>
                <w:szCs w:val="20"/>
                <w:color w:val="auto"/>
              </w:rPr>
            </w:pPr>
            <w:r>
              <w:rPr>
                <w:rFonts w:ascii="Calibri" w:cs="Calibri" w:eastAsia="Calibri" w:hAnsi="Calibri"/>
                <w:sz w:val="13"/>
                <w:szCs w:val="13"/>
                <w:color w:val="333333"/>
              </w:rPr>
              <w:t>150</w:t>
            </w:r>
          </w:p>
        </w:tc>
        <w:tc>
          <w:tcPr>
            <w:tcW w:w="860" w:type="dxa"/>
            <w:vAlign w:val="bottom"/>
          </w:tcPr>
          <w:p>
            <w:pPr>
              <w:jc w:val="center"/>
              <w:spacing w:after="0" w:line="152" w:lineRule="exact"/>
              <w:rPr>
                <w:sz w:val="20"/>
                <w:szCs w:val="20"/>
                <w:color w:val="auto"/>
              </w:rPr>
            </w:pPr>
            <w:r>
              <w:rPr>
                <w:rFonts w:ascii="Calibri" w:cs="Calibri" w:eastAsia="Calibri" w:hAnsi="Calibri"/>
                <w:sz w:val="13"/>
                <w:szCs w:val="13"/>
                <w:color w:val="333333"/>
              </w:rPr>
              <w:t>875,000</w:t>
            </w:r>
          </w:p>
        </w:tc>
        <w:tc>
          <w:tcPr>
            <w:tcW w:w="640" w:type="dxa"/>
            <w:vAlign w:val="bottom"/>
          </w:tcPr>
          <w:p>
            <w:pPr>
              <w:jc w:val="center"/>
              <w:spacing w:after="0" w:line="152" w:lineRule="exact"/>
              <w:rPr>
                <w:sz w:val="20"/>
                <w:szCs w:val="20"/>
                <w:color w:val="auto"/>
              </w:rPr>
            </w:pPr>
            <w:r>
              <w:rPr>
                <w:rFonts w:ascii="Calibri" w:cs="Calibri" w:eastAsia="Calibri" w:hAnsi="Calibri"/>
                <w:sz w:val="13"/>
                <w:szCs w:val="13"/>
                <w:color w:val="333333"/>
              </w:rPr>
              <w:t>1,057,533</w:t>
            </w:r>
          </w:p>
        </w:tc>
        <w:tc>
          <w:tcPr>
            <w:tcW w:w="560" w:type="dxa"/>
            <w:vAlign w:val="bottom"/>
          </w:tcPr>
          <w:p>
            <w:pPr>
              <w:jc w:val="center"/>
              <w:ind w:left="19"/>
              <w:spacing w:after="0" w:line="152" w:lineRule="exact"/>
              <w:rPr>
                <w:sz w:val="20"/>
                <w:szCs w:val="20"/>
                <w:color w:val="auto"/>
              </w:rPr>
            </w:pPr>
            <w:r>
              <w:rPr>
                <w:rFonts w:ascii="Calibri" w:cs="Calibri" w:eastAsia="Calibri" w:hAnsi="Calibri"/>
                <w:sz w:val="13"/>
                <w:szCs w:val="13"/>
                <w:color w:val="333333"/>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900" w:type="dxa"/>
            <w:vAlign w:val="bottom"/>
            <w:tcBorders>
              <w:left w:val="single" w:sz="8" w:color="EFF2EF"/>
              <w:right w:val="single" w:sz="8" w:color="EFF2EF"/>
            </w:tcBorders>
            <w:gridSpan w:val="2"/>
            <w:shd w:val="clear" w:color="auto" w:fill="EFF2EF"/>
          </w:tcPr>
          <w:p>
            <w:pPr>
              <w:spacing w:after="0"/>
              <w:rPr>
                <w:sz w:val="20"/>
                <w:szCs w:val="20"/>
                <w:color w:val="auto"/>
              </w:rPr>
            </w:pPr>
            <w:r>
              <w:rPr>
                <w:rFonts w:ascii="Calibri" w:cs="Calibri" w:eastAsia="Calibri" w:hAnsi="Calibri"/>
                <w:sz w:val="13"/>
                <w:szCs w:val="13"/>
                <w:b w:val="1"/>
                <w:bCs w:val="1"/>
                <w:color w:val="0591DB"/>
              </w:rPr>
              <w:t>  Ajay Sabherwal</w:t>
            </w:r>
          </w:p>
        </w:tc>
        <w:tc>
          <w:tcPr>
            <w:tcW w:w="660" w:type="dxa"/>
            <w:vAlign w:val="bottom"/>
            <w:shd w:val="clear" w:color="auto" w:fill="EFF2EF"/>
          </w:tcPr>
          <w:p>
            <w:pPr>
              <w:jc w:val="center"/>
              <w:ind w:left="59"/>
              <w:spacing w:after="0"/>
              <w:rPr>
                <w:sz w:val="20"/>
                <w:szCs w:val="20"/>
                <w:color w:val="auto"/>
              </w:rPr>
            </w:pPr>
            <w:r>
              <w:rPr>
                <w:rFonts w:ascii="Calibri" w:cs="Calibri" w:eastAsia="Calibri" w:hAnsi="Calibri"/>
                <w:sz w:val="13"/>
                <w:szCs w:val="13"/>
                <w:color w:val="333333"/>
              </w:rPr>
              <w:t>50</w:t>
            </w:r>
          </w:p>
        </w:tc>
        <w:tc>
          <w:tcPr>
            <w:tcW w:w="80" w:type="dxa"/>
            <w:vAlign w:val="bottom"/>
            <w:tcBorders>
              <w:right w:val="single" w:sz="8" w:color="EFF2EF"/>
            </w:tcBorders>
            <w:shd w:val="clear" w:color="auto" w:fill="EFF2EF"/>
          </w:tcPr>
          <w:p>
            <w:pPr>
              <w:spacing w:after="0"/>
              <w:rPr>
                <w:sz w:val="13"/>
                <w:szCs w:val="13"/>
                <w:color w:val="auto"/>
              </w:rPr>
            </w:pPr>
          </w:p>
        </w:tc>
        <w:tc>
          <w:tcPr>
            <w:tcW w:w="5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100</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50</w:t>
            </w:r>
          </w:p>
        </w:tc>
        <w:tc>
          <w:tcPr>
            <w:tcW w:w="520" w:type="dxa"/>
            <w:vAlign w:val="bottom"/>
            <w:tcBorders>
              <w:right w:val="single" w:sz="8" w:color="EFF2EF"/>
            </w:tcBorders>
            <w:shd w:val="clear" w:color="auto" w:fill="EFF2EF"/>
          </w:tcPr>
          <w:p>
            <w:pPr>
              <w:jc w:val="center"/>
              <w:ind w:left="17"/>
              <w:spacing w:after="0"/>
              <w:rPr>
                <w:sz w:val="20"/>
                <w:szCs w:val="20"/>
                <w:color w:val="auto"/>
              </w:rPr>
            </w:pPr>
            <w:r>
              <w:rPr>
                <w:rFonts w:ascii="Calibri" w:cs="Calibri" w:eastAsia="Calibri" w:hAnsi="Calibri"/>
                <w:sz w:val="13"/>
                <w:szCs w:val="13"/>
                <w:color w:val="333333"/>
              </w:rPr>
              <w:t>100</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50</w:t>
            </w:r>
          </w:p>
        </w:tc>
        <w:tc>
          <w:tcPr>
            <w:tcW w:w="6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100</w:t>
            </w:r>
          </w:p>
        </w:tc>
        <w:tc>
          <w:tcPr>
            <w:tcW w:w="6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150</w:t>
            </w:r>
          </w:p>
        </w:tc>
        <w:tc>
          <w:tcPr>
            <w:tcW w:w="8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875,000</w:t>
            </w:r>
          </w:p>
        </w:tc>
        <w:tc>
          <w:tcPr>
            <w:tcW w:w="6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w:t>
            </w:r>
          </w:p>
        </w:tc>
        <w:tc>
          <w:tcPr>
            <w:tcW w:w="560" w:type="dxa"/>
            <w:vAlign w:val="bottom"/>
            <w:shd w:val="clear" w:color="auto" w:fill="EFF2EF"/>
          </w:tcPr>
          <w:p>
            <w:pPr>
              <w:jc w:val="center"/>
              <w:ind w:left="19"/>
              <w:spacing w:after="0"/>
              <w:rPr>
                <w:sz w:val="20"/>
                <w:szCs w:val="20"/>
                <w:color w:val="auto"/>
              </w:rPr>
            </w:pPr>
            <w:r>
              <w:rPr>
                <w:rFonts w:ascii="Calibri" w:cs="Calibri" w:eastAsia="Calibri" w:hAnsi="Calibri"/>
                <w:sz w:val="13"/>
                <w:szCs w:val="13"/>
                <w:color w:val="333333"/>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280" w:type="dxa"/>
            <w:vAlign w:val="bottom"/>
            <w:tcBorders>
              <w:left w:val="single" w:sz="8" w:color="EFF2EF"/>
            </w:tcBorders>
            <w:shd w:val="clear" w:color="auto" w:fill="EFF2EF"/>
          </w:tcPr>
          <w:p>
            <w:pPr>
              <w:spacing w:after="0"/>
              <w:rPr>
                <w:sz w:val="7"/>
                <w:szCs w:val="7"/>
                <w:color w:val="auto"/>
              </w:rPr>
            </w:pPr>
          </w:p>
        </w:tc>
        <w:tc>
          <w:tcPr>
            <w:tcW w:w="620" w:type="dxa"/>
            <w:vAlign w:val="bottom"/>
            <w:tcBorders>
              <w:right w:val="single" w:sz="8" w:color="EFF2EF"/>
            </w:tcBorders>
            <w:shd w:val="clear" w:color="auto" w:fill="EFF2EF"/>
          </w:tcPr>
          <w:p>
            <w:pPr>
              <w:spacing w:after="0"/>
              <w:rPr>
                <w:sz w:val="7"/>
                <w:szCs w:val="7"/>
                <w:color w:val="auto"/>
              </w:rPr>
            </w:pPr>
          </w:p>
        </w:tc>
        <w:tc>
          <w:tcPr>
            <w:tcW w:w="660" w:type="dxa"/>
            <w:vAlign w:val="bottom"/>
            <w:shd w:val="clear" w:color="auto" w:fill="EFF2EF"/>
          </w:tcPr>
          <w:p>
            <w:pPr>
              <w:spacing w:after="0"/>
              <w:rPr>
                <w:sz w:val="7"/>
                <w:szCs w:val="7"/>
                <w:color w:val="auto"/>
              </w:rPr>
            </w:pPr>
          </w:p>
        </w:tc>
        <w:tc>
          <w:tcPr>
            <w:tcW w:w="80" w:type="dxa"/>
            <w:vAlign w:val="bottom"/>
            <w:tcBorders>
              <w:right w:val="single" w:sz="8" w:color="EFF2EF"/>
            </w:tcBorders>
            <w:shd w:val="clear" w:color="auto" w:fill="EFF2EF"/>
          </w:tcPr>
          <w:p>
            <w:pPr>
              <w:spacing w:after="0"/>
              <w:rPr>
                <w:sz w:val="7"/>
                <w:szCs w:val="7"/>
                <w:color w:val="auto"/>
              </w:rPr>
            </w:pPr>
          </w:p>
        </w:tc>
        <w:tc>
          <w:tcPr>
            <w:tcW w:w="560" w:type="dxa"/>
            <w:vAlign w:val="bottom"/>
            <w:tcBorders>
              <w:right w:val="single" w:sz="8" w:color="EFF2EF"/>
            </w:tcBorders>
            <w:shd w:val="clear" w:color="auto" w:fill="EFF2EF"/>
          </w:tcPr>
          <w:p>
            <w:pPr>
              <w:spacing w:after="0"/>
              <w:rPr>
                <w:sz w:val="7"/>
                <w:szCs w:val="7"/>
                <w:color w:val="auto"/>
              </w:rPr>
            </w:pPr>
          </w:p>
        </w:tc>
        <w:tc>
          <w:tcPr>
            <w:tcW w:w="700" w:type="dxa"/>
            <w:vAlign w:val="bottom"/>
            <w:tcBorders>
              <w:right w:val="single" w:sz="8" w:color="EFF2EF"/>
            </w:tcBorders>
            <w:shd w:val="clear" w:color="auto" w:fill="EFF2EF"/>
          </w:tcPr>
          <w:p>
            <w:pPr>
              <w:spacing w:after="0"/>
              <w:rPr>
                <w:sz w:val="7"/>
                <w:szCs w:val="7"/>
                <w:color w:val="auto"/>
              </w:rPr>
            </w:pPr>
          </w:p>
        </w:tc>
        <w:tc>
          <w:tcPr>
            <w:tcW w:w="720" w:type="dxa"/>
            <w:vAlign w:val="bottom"/>
            <w:tcBorders>
              <w:right w:val="single" w:sz="8" w:color="EFF2EF"/>
            </w:tcBorders>
            <w:shd w:val="clear" w:color="auto" w:fill="EFF2EF"/>
          </w:tcPr>
          <w:p>
            <w:pPr>
              <w:spacing w:after="0"/>
              <w:rPr>
                <w:sz w:val="7"/>
                <w:szCs w:val="7"/>
                <w:color w:val="auto"/>
              </w:rPr>
            </w:pPr>
          </w:p>
        </w:tc>
        <w:tc>
          <w:tcPr>
            <w:tcW w:w="520" w:type="dxa"/>
            <w:vAlign w:val="bottom"/>
            <w:tcBorders>
              <w:right w:val="single" w:sz="8" w:color="EFF2EF"/>
            </w:tcBorders>
            <w:shd w:val="clear" w:color="auto" w:fill="EFF2EF"/>
          </w:tcPr>
          <w:p>
            <w:pPr>
              <w:spacing w:after="0"/>
              <w:rPr>
                <w:sz w:val="7"/>
                <w:szCs w:val="7"/>
                <w:color w:val="auto"/>
              </w:rPr>
            </w:pPr>
          </w:p>
        </w:tc>
        <w:tc>
          <w:tcPr>
            <w:tcW w:w="700" w:type="dxa"/>
            <w:vAlign w:val="bottom"/>
            <w:tcBorders>
              <w:right w:val="single" w:sz="8" w:color="EFF2EF"/>
            </w:tcBorders>
            <w:shd w:val="clear" w:color="auto" w:fill="EFF2EF"/>
          </w:tcPr>
          <w:p>
            <w:pPr>
              <w:spacing w:after="0"/>
              <w:rPr>
                <w:sz w:val="7"/>
                <w:szCs w:val="7"/>
                <w:color w:val="auto"/>
              </w:rPr>
            </w:pPr>
          </w:p>
        </w:tc>
        <w:tc>
          <w:tcPr>
            <w:tcW w:w="720" w:type="dxa"/>
            <w:vAlign w:val="bottom"/>
            <w:tcBorders>
              <w:right w:val="single" w:sz="8" w:color="EFF2EF"/>
            </w:tcBorders>
            <w:shd w:val="clear" w:color="auto" w:fill="EFF2EF"/>
          </w:tcPr>
          <w:p>
            <w:pPr>
              <w:spacing w:after="0"/>
              <w:rPr>
                <w:sz w:val="7"/>
                <w:szCs w:val="7"/>
                <w:color w:val="auto"/>
              </w:rPr>
            </w:pPr>
          </w:p>
        </w:tc>
        <w:tc>
          <w:tcPr>
            <w:tcW w:w="600" w:type="dxa"/>
            <w:vAlign w:val="bottom"/>
            <w:tcBorders>
              <w:right w:val="single" w:sz="8" w:color="EFF2EF"/>
            </w:tcBorders>
            <w:shd w:val="clear" w:color="auto" w:fill="EFF2EF"/>
          </w:tcPr>
          <w:p>
            <w:pPr>
              <w:spacing w:after="0"/>
              <w:rPr>
                <w:sz w:val="7"/>
                <w:szCs w:val="7"/>
                <w:color w:val="auto"/>
              </w:rPr>
            </w:pPr>
          </w:p>
        </w:tc>
        <w:tc>
          <w:tcPr>
            <w:tcW w:w="680" w:type="dxa"/>
            <w:vAlign w:val="bottom"/>
            <w:tcBorders>
              <w:right w:val="single" w:sz="8" w:color="EFF2EF"/>
            </w:tcBorders>
            <w:shd w:val="clear" w:color="auto" w:fill="EFF2EF"/>
          </w:tcPr>
          <w:p>
            <w:pPr>
              <w:spacing w:after="0"/>
              <w:rPr>
                <w:sz w:val="7"/>
                <w:szCs w:val="7"/>
                <w:color w:val="auto"/>
              </w:rPr>
            </w:pPr>
          </w:p>
        </w:tc>
        <w:tc>
          <w:tcPr>
            <w:tcW w:w="860" w:type="dxa"/>
            <w:vAlign w:val="bottom"/>
            <w:tcBorders>
              <w:right w:val="single" w:sz="8" w:color="EFF2EF"/>
            </w:tcBorders>
            <w:shd w:val="clear" w:color="auto" w:fill="EFF2EF"/>
          </w:tcPr>
          <w:p>
            <w:pPr>
              <w:spacing w:after="0"/>
              <w:rPr>
                <w:sz w:val="7"/>
                <w:szCs w:val="7"/>
                <w:color w:val="auto"/>
              </w:rPr>
            </w:pPr>
          </w:p>
        </w:tc>
        <w:tc>
          <w:tcPr>
            <w:tcW w:w="640" w:type="dxa"/>
            <w:vAlign w:val="bottom"/>
            <w:tcBorders>
              <w:right w:val="single" w:sz="8" w:color="EFF2EF"/>
            </w:tcBorders>
            <w:shd w:val="clear" w:color="auto" w:fill="EFF2EF"/>
          </w:tcPr>
          <w:p>
            <w:pPr>
              <w:spacing w:after="0"/>
              <w:rPr>
                <w:sz w:val="7"/>
                <w:szCs w:val="7"/>
                <w:color w:val="auto"/>
              </w:rPr>
            </w:pPr>
          </w:p>
        </w:tc>
        <w:tc>
          <w:tcPr>
            <w:tcW w:w="560" w:type="dxa"/>
            <w:vAlign w:val="bottom"/>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900" w:type="dxa"/>
            <w:vAlign w:val="bottom"/>
            <w:gridSpan w:val="2"/>
          </w:tcPr>
          <w:p>
            <w:pPr>
              <w:spacing w:after="0"/>
              <w:rPr>
                <w:sz w:val="20"/>
                <w:szCs w:val="20"/>
                <w:color w:val="auto"/>
              </w:rPr>
            </w:pPr>
            <w:r>
              <w:rPr>
                <w:rFonts w:ascii="Calibri" w:cs="Calibri" w:eastAsia="Calibri" w:hAnsi="Calibri"/>
                <w:sz w:val="13"/>
                <w:szCs w:val="13"/>
                <w:b w:val="1"/>
                <w:bCs w:val="1"/>
                <w:color w:val="0591DB"/>
              </w:rPr>
              <w:t>  Curts P. Lu</w:t>
            </w:r>
          </w:p>
        </w:tc>
        <w:tc>
          <w:tcPr>
            <w:tcW w:w="660" w:type="dxa"/>
            <w:vAlign w:val="bottom"/>
          </w:tcPr>
          <w:p>
            <w:pPr>
              <w:jc w:val="center"/>
              <w:ind w:left="59"/>
              <w:spacing w:after="0"/>
              <w:rPr>
                <w:sz w:val="20"/>
                <w:szCs w:val="20"/>
                <w:color w:val="auto"/>
              </w:rPr>
            </w:pPr>
            <w:r>
              <w:rPr>
                <w:rFonts w:ascii="Calibri" w:cs="Calibri" w:eastAsia="Calibri" w:hAnsi="Calibri"/>
                <w:sz w:val="13"/>
                <w:szCs w:val="13"/>
                <w:color w:val="333333"/>
              </w:rPr>
              <w:t>50</w:t>
            </w: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Calibri" w:cs="Calibri" w:eastAsia="Calibri" w:hAnsi="Calibri"/>
                <w:sz w:val="13"/>
                <w:szCs w:val="13"/>
                <w:color w:val="333333"/>
              </w:rPr>
              <w:t>100</w:t>
            </w:r>
          </w:p>
        </w:tc>
        <w:tc>
          <w:tcPr>
            <w:tcW w:w="700" w:type="dxa"/>
            <w:vAlign w:val="bottom"/>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Pr>
          <w:p>
            <w:pPr>
              <w:jc w:val="center"/>
              <w:spacing w:after="0"/>
              <w:rPr>
                <w:sz w:val="20"/>
                <w:szCs w:val="20"/>
                <w:color w:val="auto"/>
              </w:rPr>
            </w:pPr>
            <w:r>
              <w:rPr>
                <w:rFonts w:ascii="Calibri" w:cs="Calibri" w:eastAsia="Calibri" w:hAnsi="Calibri"/>
                <w:sz w:val="13"/>
                <w:szCs w:val="13"/>
                <w:color w:val="333333"/>
              </w:rPr>
              <w:t>50</w:t>
            </w:r>
          </w:p>
        </w:tc>
        <w:tc>
          <w:tcPr>
            <w:tcW w:w="520" w:type="dxa"/>
            <w:vAlign w:val="bottom"/>
          </w:tcPr>
          <w:p>
            <w:pPr>
              <w:jc w:val="center"/>
              <w:ind w:left="17"/>
              <w:spacing w:after="0"/>
              <w:rPr>
                <w:sz w:val="20"/>
                <w:szCs w:val="20"/>
                <w:color w:val="auto"/>
              </w:rPr>
            </w:pPr>
            <w:r>
              <w:rPr>
                <w:rFonts w:ascii="Calibri" w:cs="Calibri" w:eastAsia="Calibri" w:hAnsi="Calibri"/>
                <w:sz w:val="13"/>
                <w:szCs w:val="13"/>
                <w:color w:val="333333"/>
              </w:rPr>
              <w:t>100</w:t>
            </w:r>
          </w:p>
        </w:tc>
        <w:tc>
          <w:tcPr>
            <w:tcW w:w="700" w:type="dxa"/>
            <w:vAlign w:val="bottom"/>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Pr>
          <w:p>
            <w:pPr>
              <w:jc w:val="center"/>
              <w:spacing w:after="0"/>
              <w:rPr>
                <w:sz w:val="20"/>
                <w:szCs w:val="20"/>
                <w:color w:val="auto"/>
              </w:rPr>
            </w:pPr>
            <w:r>
              <w:rPr>
                <w:rFonts w:ascii="Calibri" w:cs="Calibri" w:eastAsia="Calibri" w:hAnsi="Calibri"/>
                <w:sz w:val="13"/>
                <w:szCs w:val="13"/>
                <w:color w:val="333333"/>
              </w:rPr>
              <w:t>50</w:t>
            </w:r>
          </w:p>
        </w:tc>
        <w:tc>
          <w:tcPr>
            <w:tcW w:w="600" w:type="dxa"/>
            <w:vAlign w:val="bottom"/>
          </w:tcPr>
          <w:p>
            <w:pPr>
              <w:jc w:val="center"/>
              <w:spacing w:after="0"/>
              <w:rPr>
                <w:sz w:val="20"/>
                <w:szCs w:val="20"/>
                <w:color w:val="auto"/>
              </w:rPr>
            </w:pPr>
            <w:r>
              <w:rPr>
                <w:rFonts w:ascii="Calibri" w:cs="Calibri" w:eastAsia="Calibri" w:hAnsi="Calibri"/>
                <w:sz w:val="13"/>
                <w:szCs w:val="13"/>
                <w:color w:val="333333"/>
              </w:rPr>
              <w:t>100</w:t>
            </w:r>
          </w:p>
        </w:tc>
        <w:tc>
          <w:tcPr>
            <w:tcW w:w="680" w:type="dxa"/>
            <w:vAlign w:val="bottom"/>
          </w:tcPr>
          <w:p>
            <w:pPr>
              <w:jc w:val="center"/>
              <w:spacing w:after="0"/>
              <w:rPr>
                <w:sz w:val="20"/>
                <w:szCs w:val="20"/>
                <w:color w:val="auto"/>
              </w:rPr>
            </w:pPr>
            <w:r>
              <w:rPr>
                <w:rFonts w:ascii="Calibri" w:cs="Calibri" w:eastAsia="Calibri" w:hAnsi="Calibri"/>
                <w:sz w:val="13"/>
                <w:szCs w:val="13"/>
                <w:color w:val="333333"/>
              </w:rPr>
              <w:t>150</w:t>
            </w:r>
          </w:p>
        </w:tc>
        <w:tc>
          <w:tcPr>
            <w:tcW w:w="860" w:type="dxa"/>
            <w:vAlign w:val="bottom"/>
          </w:tcPr>
          <w:p>
            <w:pPr>
              <w:jc w:val="center"/>
              <w:spacing w:after="0"/>
              <w:rPr>
                <w:sz w:val="20"/>
                <w:szCs w:val="20"/>
                <w:color w:val="auto"/>
              </w:rPr>
            </w:pPr>
            <w:r>
              <w:rPr>
                <w:rFonts w:ascii="Calibri" w:cs="Calibri" w:eastAsia="Calibri" w:hAnsi="Calibri"/>
                <w:sz w:val="13"/>
                <w:szCs w:val="13"/>
                <w:color w:val="333333"/>
              </w:rPr>
              <w:t>875,000</w:t>
            </w:r>
          </w:p>
        </w:tc>
        <w:tc>
          <w:tcPr>
            <w:tcW w:w="640" w:type="dxa"/>
            <w:vAlign w:val="bottom"/>
          </w:tcPr>
          <w:p>
            <w:pPr>
              <w:jc w:val="center"/>
              <w:spacing w:after="0"/>
              <w:rPr>
                <w:sz w:val="20"/>
                <w:szCs w:val="20"/>
                <w:color w:val="auto"/>
              </w:rPr>
            </w:pPr>
            <w:r>
              <w:rPr>
                <w:rFonts w:ascii="Calibri" w:cs="Calibri" w:eastAsia="Calibri" w:hAnsi="Calibri"/>
                <w:sz w:val="13"/>
                <w:szCs w:val="13"/>
                <w:color w:val="333333"/>
              </w:rPr>
              <w:t>1,057,533</w:t>
            </w:r>
          </w:p>
        </w:tc>
        <w:tc>
          <w:tcPr>
            <w:tcW w:w="560" w:type="dxa"/>
            <w:vAlign w:val="bottom"/>
          </w:tcPr>
          <w:p>
            <w:pPr>
              <w:jc w:val="center"/>
              <w:ind w:left="19"/>
              <w:spacing w:after="0"/>
              <w:rPr>
                <w:sz w:val="20"/>
                <w:szCs w:val="20"/>
                <w:color w:val="auto"/>
              </w:rPr>
            </w:pPr>
            <w:r>
              <w:rPr>
                <w:rFonts w:ascii="Calibri" w:cs="Calibri" w:eastAsia="Calibri" w:hAnsi="Calibri"/>
                <w:sz w:val="13"/>
                <w:szCs w:val="13"/>
                <w:color w:val="333333"/>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2900" w:type="dxa"/>
            <w:vAlign w:val="bottom"/>
            <w:tcBorders>
              <w:left w:val="single" w:sz="8" w:color="EFF2EF"/>
              <w:right w:val="single" w:sz="8" w:color="EFF2EF"/>
            </w:tcBorders>
            <w:gridSpan w:val="2"/>
            <w:shd w:val="clear" w:color="auto" w:fill="EFF2EF"/>
          </w:tcPr>
          <w:p>
            <w:pPr>
              <w:spacing w:after="0" w:line="232" w:lineRule="exact"/>
              <w:rPr>
                <w:sz w:val="20"/>
                <w:szCs w:val="20"/>
                <w:color w:val="auto"/>
              </w:rPr>
            </w:pPr>
            <w:r>
              <w:rPr>
                <w:rFonts w:ascii="Calibri" w:cs="Calibri" w:eastAsia="Calibri" w:hAnsi="Calibri"/>
                <w:sz w:val="13"/>
                <w:szCs w:val="13"/>
                <w:b w:val="1"/>
                <w:bCs w:val="1"/>
                <w:color w:val="0591DB"/>
              </w:rPr>
              <w:t xml:space="preserve">  Holly Paul </w:t>
            </w:r>
            <w:r>
              <w:rPr>
                <w:rFonts w:ascii="Calibri" w:cs="Calibri" w:eastAsia="Calibri" w:hAnsi="Calibri"/>
                <w:sz w:val="20"/>
                <w:szCs w:val="20"/>
                <w:b w:val="1"/>
                <w:bCs w:val="1"/>
                <w:color w:val="0591DB"/>
                <w:vertAlign w:val="superscript"/>
              </w:rPr>
              <w:t>(4)</w:t>
            </w:r>
          </w:p>
        </w:tc>
        <w:tc>
          <w:tcPr>
            <w:tcW w:w="660" w:type="dxa"/>
            <w:vAlign w:val="bottom"/>
            <w:shd w:val="clear" w:color="auto" w:fill="EFF2EF"/>
          </w:tcPr>
          <w:p>
            <w:pPr>
              <w:jc w:val="center"/>
              <w:ind w:left="59"/>
              <w:spacing w:after="0"/>
              <w:rPr>
                <w:sz w:val="20"/>
                <w:szCs w:val="20"/>
                <w:color w:val="auto"/>
              </w:rPr>
            </w:pPr>
            <w:r>
              <w:rPr>
                <w:rFonts w:ascii="Calibri" w:cs="Calibri" w:eastAsia="Calibri" w:hAnsi="Calibri"/>
                <w:sz w:val="13"/>
                <w:szCs w:val="13"/>
                <w:color w:val="333333"/>
              </w:rPr>
              <w:t>50</w:t>
            </w:r>
          </w:p>
        </w:tc>
        <w:tc>
          <w:tcPr>
            <w:tcW w:w="80" w:type="dxa"/>
            <w:vAlign w:val="bottom"/>
            <w:tcBorders>
              <w:right w:val="single" w:sz="8" w:color="EFF2EF"/>
            </w:tcBorders>
            <w:shd w:val="clear" w:color="auto" w:fill="EFF2EF"/>
          </w:tcPr>
          <w:p>
            <w:pPr>
              <w:spacing w:after="0"/>
              <w:rPr>
                <w:sz w:val="20"/>
                <w:szCs w:val="20"/>
                <w:color w:val="auto"/>
              </w:rPr>
            </w:pPr>
          </w:p>
        </w:tc>
        <w:tc>
          <w:tcPr>
            <w:tcW w:w="5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100</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50</w:t>
            </w:r>
          </w:p>
        </w:tc>
        <w:tc>
          <w:tcPr>
            <w:tcW w:w="520" w:type="dxa"/>
            <w:vAlign w:val="bottom"/>
            <w:tcBorders>
              <w:right w:val="single" w:sz="8" w:color="EFF2EF"/>
            </w:tcBorders>
            <w:shd w:val="clear" w:color="auto" w:fill="EFF2EF"/>
          </w:tcPr>
          <w:p>
            <w:pPr>
              <w:jc w:val="center"/>
              <w:ind w:left="17"/>
              <w:spacing w:after="0"/>
              <w:rPr>
                <w:sz w:val="20"/>
                <w:szCs w:val="20"/>
                <w:color w:val="auto"/>
              </w:rPr>
            </w:pPr>
            <w:r>
              <w:rPr>
                <w:rFonts w:ascii="Calibri" w:cs="Calibri" w:eastAsia="Calibri" w:hAnsi="Calibri"/>
                <w:sz w:val="13"/>
                <w:szCs w:val="13"/>
                <w:color w:val="333333"/>
              </w:rPr>
              <w:t>100</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150</w:t>
            </w:r>
          </w:p>
        </w:tc>
        <w:tc>
          <w:tcPr>
            <w:tcW w:w="7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50</w:t>
            </w:r>
          </w:p>
        </w:tc>
        <w:tc>
          <w:tcPr>
            <w:tcW w:w="6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100</w:t>
            </w:r>
          </w:p>
        </w:tc>
        <w:tc>
          <w:tcPr>
            <w:tcW w:w="6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150</w:t>
            </w:r>
          </w:p>
        </w:tc>
        <w:tc>
          <w:tcPr>
            <w:tcW w:w="8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437,500</w:t>
            </w:r>
          </w:p>
        </w:tc>
        <w:tc>
          <w:tcPr>
            <w:tcW w:w="6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3"/>
                <w:szCs w:val="13"/>
                <w:color w:val="333333"/>
              </w:rPr>
              <w:t>528,767</w:t>
            </w:r>
          </w:p>
        </w:tc>
        <w:tc>
          <w:tcPr>
            <w:tcW w:w="560" w:type="dxa"/>
            <w:vAlign w:val="bottom"/>
            <w:shd w:val="clear" w:color="auto" w:fill="EFF2EF"/>
          </w:tcPr>
          <w:p>
            <w:pPr>
              <w:jc w:val="center"/>
              <w:ind w:left="19"/>
              <w:spacing w:after="0"/>
              <w:rPr>
                <w:sz w:val="20"/>
                <w:szCs w:val="20"/>
                <w:color w:val="auto"/>
              </w:rPr>
            </w:pPr>
            <w:r>
              <w:rPr>
                <w:rFonts w:ascii="Calibri" w:cs="Calibri" w:eastAsia="Calibri" w:hAnsi="Calibri"/>
                <w:sz w:val="13"/>
                <w:szCs w:val="13"/>
                <w:color w:val="333333"/>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bottom w:val="single" w:sz="8" w:color="333333"/>
            </w:tcBorders>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0" w:hanging="433"/>
        <w:spacing w:after="0"/>
        <w:tabs>
          <w:tab w:leader="none" w:pos="600" w:val="left"/>
        </w:tabs>
        <w:numPr>
          <w:ilvl w:val="0"/>
          <w:numId w:val="93"/>
        </w:numPr>
        <w:rPr>
          <w:rFonts w:ascii="Calibri" w:cs="Calibri" w:eastAsia="Calibri" w:hAnsi="Calibri"/>
          <w:sz w:val="16"/>
          <w:szCs w:val="16"/>
          <w:color w:val="333333"/>
        </w:rPr>
      </w:pPr>
      <w:r>
        <w:rPr>
          <w:rFonts w:ascii="Calibri" w:cs="Calibri" w:eastAsia="Calibri" w:hAnsi="Calibri"/>
          <w:sz w:val="16"/>
          <w:szCs w:val="16"/>
          <w:color w:val="333333"/>
        </w:rPr>
        <w:t>For purposes of the above tables, “M” = millions.</w:t>
      </w:r>
    </w:p>
    <w:p>
      <w:pPr>
        <w:spacing w:after="0" w:line="129" w:lineRule="exact"/>
        <w:rPr>
          <w:sz w:val="20"/>
          <w:szCs w:val="20"/>
          <w:color w:val="auto"/>
        </w:rPr>
      </w:pPr>
    </w:p>
    <w:p>
      <w:pPr>
        <w:ind w:left="600" w:right="40" w:hanging="433"/>
        <w:spacing w:after="0" w:line="216" w:lineRule="auto"/>
        <w:tabs>
          <w:tab w:leader="none" w:pos="600" w:val="left"/>
        </w:tabs>
        <w:numPr>
          <w:ilvl w:val="0"/>
          <w:numId w:val="94"/>
        </w:numPr>
        <w:rPr>
          <w:rFonts w:ascii="Calibri" w:cs="Calibri" w:eastAsia="Calibri" w:hAnsi="Calibri"/>
          <w:sz w:val="24"/>
          <w:szCs w:val="24"/>
          <w:color w:val="333333"/>
          <w:vertAlign w:val="superscript"/>
        </w:rPr>
      </w:pPr>
      <w:r>
        <w:rPr>
          <w:rFonts w:ascii="Calibri" w:cs="Calibri" w:eastAsia="Calibri" w:hAnsi="Calibri"/>
          <w:sz w:val="16"/>
          <w:szCs w:val="16"/>
          <w:color w:val="333333"/>
        </w:rPr>
        <w:t xml:space="preserve">See </w:t>
      </w:r>
      <w:r>
        <w:rPr>
          <w:rFonts w:ascii="Calibri" w:cs="Calibri" w:eastAsia="Calibri" w:hAnsi="Calibri"/>
          <w:sz w:val="16"/>
          <w:szCs w:val="16"/>
          <w:u w:val="single" w:color="auto"/>
          <w:color w:val="0591DB"/>
        </w:rPr>
        <w:t>Appendix A</w:t>
      </w:r>
      <w:r>
        <w:rPr>
          <w:rFonts w:ascii="Calibri" w:cs="Calibri" w:eastAsia="Calibri" w:hAnsi="Calibri"/>
          <w:sz w:val="16"/>
          <w:szCs w:val="16"/>
          <w:color w:val="333333"/>
        </w:rPr>
        <w:t xml:space="preserve"> for the defnitons of Adjusted EBITDA, Adjusted EPS and other non-GAAP fnancial measures used for fnancial reportng purposes referred to in this CD&amp;A and the reconciliatons of non-GAAP fnancial measures to the most directly comparable GAAP fnancial measures, as well as the reasons management believes these non-GAAP fnancial measures provide useful informaton to investors. The Compensaton Commitee did not exercise its discreton to further adjust the Adjusted EBITDA and Adjusted EPS fnancial performance metrics for fnancial reportng purposes defned in </w:t>
      </w:r>
      <w:r>
        <w:rPr>
          <w:rFonts w:ascii="Calibri" w:cs="Calibri" w:eastAsia="Calibri" w:hAnsi="Calibri"/>
          <w:sz w:val="16"/>
          <w:szCs w:val="16"/>
          <w:u w:val="single" w:color="auto"/>
          <w:color w:val="0591DB"/>
        </w:rPr>
        <w:t>Appendix A</w:t>
      </w:r>
      <w:r>
        <w:rPr>
          <w:rFonts w:ascii="Calibri" w:cs="Calibri" w:eastAsia="Calibri" w:hAnsi="Calibri"/>
          <w:sz w:val="16"/>
          <w:szCs w:val="16"/>
          <w:color w:val="333333"/>
        </w:rPr>
        <w:t xml:space="preserve"> to determine 2025 AIP.</w:t>
      </w:r>
    </w:p>
    <w:p>
      <w:pPr>
        <w:spacing w:after="0" w:line="131" w:lineRule="exact"/>
        <w:rPr>
          <w:rFonts w:ascii="Calibri" w:cs="Calibri" w:eastAsia="Calibri" w:hAnsi="Calibri"/>
          <w:sz w:val="24"/>
          <w:szCs w:val="24"/>
          <w:color w:val="333333"/>
          <w:vertAlign w:val="superscript"/>
        </w:rPr>
      </w:pPr>
    </w:p>
    <w:p>
      <w:pPr>
        <w:ind w:left="600" w:right="80" w:hanging="433"/>
        <w:spacing w:after="0" w:line="193" w:lineRule="auto"/>
        <w:tabs>
          <w:tab w:leader="none" w:pos="600" w:val="left"/>
        </w:tabs>
        <w:numPr>
          <w:ilvl w:val="0"/>
          <w:numId w:val="94"/>
        </w:numPr>
        <w:rPr>
          <w:rFonts w:ascii="Calibri" w:cs="Calibri" w:eastAsia="Calibri" w:hAnsi="Calibri"/>
          <w:sz w:val="24"/>
          <w:szCs w:val="24"/>
          <w:color w:val="333333"/>
          <w:vertAlign w:val="superscript"/>
        </w:rPr>
      </w:pPr>
      <w:r>
        <w:rPr>
          <w:rFonts w:ascii="Calibri" w:cs="Calibri" w:eastAsia="Calibri" w:hAnsi="Calibri"/>
          <w:sz w:val="16"/>
          <w:szCs w:val="16"/>
          <w:color w:val="333333"/>
        </w:rPr>
        <w:t>The Compensaton Commitee approved actual Adjusted EBITDA and Adjusted EPS for the year ended December 31, 2025 of $463.6 million, or 107.3% of target, and $8.83, or 107.7% of target, respectvely, for the CEO and other partcipatng NEOs.</w:t>
      </w:r>
    </w:p>
    <w:p>
      <w:pPr>
        <w:spacing w:after="0" w:line="128" w:lineRule="exact"/>
        <w:rPr>
          <w:rFonts w:ascii="Calibri" w:cs="Calibri" w:eastAsia="Calibri" w:hAnsi="Calibri"/>
          <w:sz w:val="24"/>
          <w:szCs w:val="24"/>
          <w:color w:val="333333"/>
          <w:vertAlign w:val="superscript"/>
        </w:rPr>
      </w:pPr>
    </w:p>
    <w:p>
      <w:pPr>
        <w:ind w:left="600" w:right="60" w:hanging="433"/>
        <w:spacing w:after="0" w:line="193" w:lineRule="auto"/>
        <w:tabs>
          <w:tab w:leader="none" w:pos="600" w:val="left"/>
        </w:tabs>
        <w:numPr>
          <w:ilvl w:val="0"/>
          <w:numId w:val="94"/>
        </w:numPr>
        <w:rPr>
          <w:rFonts w:ascii="Calibri" w:cs="Calibri" w:eastAsia="Calibri" w:hAnsi="Calibri"/>
          <w:sz w:val="24"/>
          <w:szCs w:val="24"/>
          <w:color w:val="333333"/>
          <w:vertAlign w:val="superscript"/>
        </w:rPr>
      </w:pPr>
      <w:r>
        <w:rPr>
          <w:rFonts w:ascii="Calibri" w:cs="Calibri" w:eastAsia="Calibri" w:hAnsi="Calibri"/>
          <w:sz w:val="16"/>
          <w:szCs w:val="16"/>
          <w:color w:val="333333"/>
        </w:rPr>
        <w:t>Mr. Gunby’s 2025 AIP was paid 75% in cash and 25% in the form of an RSA granted on March 11, 2026, which will vest on March 11, 2027, the frst anniversary of the date of grant. The other partcipatng NEOs’ 2025 AIP was paid 100% in cash.</w:t>
      </w:r>
    </w:p>
    <w:p>
      <w:pPr>
        <w:spacing w:after="0" w:line="128" w:lineRule="exact"/>
        <w:rPr>
          <w:rFonts w:ascii="Calibri" w:cs="Calibri" w:eastAsia="Calibri" w:hAnsi="Calibri"/>
          <w:sz w:val="24"/>
          <w:szCs w:val="24"/>
          <w:color w:val="333333"/>
          <w:vertAlign w:val="superscript"/>
        </w:rPr>
      </w:pPr>
    </w:p>
    <w:p>
      <w:pPr>
        <w:ind w:left="600" w:right="440" w:hanging="433"/>
        <w:spacing w:after="0" w:line="193" w:lineRule="auto"/>
        <w:tabs>
          <w:tab w:leader="none" w:pos="600" w:val="left"/>
        </w:tabs>
        <w:numPr>
          <w:ilvl w:val="0"/>
          <w:numId w:val="94"/>
        </w:numPr>
        <w:rPr>
          <w:rFonts w:ascii="Calibri" w:cs="Calibri" w:eastAsia="Calibri" w:hAnsi="Calibri"/>
          <w:sz w:val="24"/>
          <w:szCs w:val="24"/>
          <w:color w:val="333333"/>
          <w:vertAlign w:val="superscript"/>
        </w:rPr>
      </w:pPr>
      <w:r>
        <w:rPr>
          <w:rFonts w:ascii="Calibri" w:cs="Calibri" w:eastAsia="Calibri" w:hAnsi="Calibri"/>
          <w:sz w:val="16"/>
          <w:szCs w:val="16"/>
          <w:color w:val="333333"/>
        </w:rPr>
        <w:t>Beginning January 1, 2025, Ms. Paul reduced her schedule from 80% tme to 50% tme. As a result, all of her compensaton was pro-rated at the same 50%, including her base salary, AIP payout (as a result of the opportunity being based on pro-rated base salary) and total LTIP opportunity.</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Annual Long-Term Incentve Pay</w:t>
      </w:r>
    </w:p>
    <w:p>
      <w:pPr>
        <w:spacing w:after="0" w:line="212"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The annual LTIP opportunity is intended to incentvize increasing shareholder returns over a mult-year measurement period, aligning partcipatng NEOs’ interests with those of our shareholders. Additonally, the LTIP acts as a retenton tool, by providing the executves with equity ownership that vests or is earned over multple years. For 2025, the Compensaton Commitee increased the LTIP opportunites for our CEO from 6.0x Base Salary to 7.0x. This change was made to beter align this pay element with that of our peers.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LTIP Awards for Year Ended December 31, 2025</w:t>
      </w:r>
    </w:p>
    <w:p>
      <w:pPr>
        <w:spacing w:after="0" w:line="212" w:lineRule="exact"/>
        <w:rPr>
          <w:sz w:val="20"/>
          <w:szCs w:val="20"/>
          <w:color w:val="auto"/>
        </w:rPr>
      </w:pPr>
    </w:p>
    <w:p>
      <w:pPr>
        <w:ind w:left="160" w:right="240"/>
        <w:spacing w:after="0" w:line="232" w:lineRule="auto"/>
        <w:rPr>
          <w:sz w:val="20"/>
          <w:szCs w:val="20"/>
          <w:color w:val="auto"/>
        </w:rPr>
      </w:pPr>
      <w:r>
        <w:rPr>
          <w:rFonts w:ascii="Calibri" w:cs="Calibri" w:eastAsia="Calibri" w:hAnsi="Calibri"/>
          <w:sz w:val="17"/>
          <w:szCs w:val="17"/>
          <w:color w:val="333333"/>
        </w:rPr>
        <w:t>LTIP grants for the year ended December 31, 2025 (“2025 LTIP”) were awarded in the form of Performance RSUs to our CEO and partcipatng NEOs, and tme-based RSUs (to the CEO) and tme-based RSAs (to the other partcipatng NEOs). Mr. Keatng does not partcipate in the LTIP program but instead received awards consistent with our programs in efect for</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76</w:t>
      </w:r>
    </w:p>
    <w:p>
      <w:pPr>
        <w:sectPr>
          <w:pgSz w:w="11900" w:h="16838" w:orient="portrait"/>
          <w:cols w:equalWidth="0" w:num="1">
            <w:col w:w="11100"/>
          </w:cols>
          <w:pgMar w:left="320" w:top="478"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120"/>
        <w:spacing w:after="0"/>
        <w:rPr>
          <w:sz w:val="20"/>
          <w:szCs w:val="20"/>
          <w:color w:val="auto"/>
        </w:rPr>
      </w:pPr>
      <w:r>
        <w:rPr>
          <w:rFonts w:ascii="Calibri" w:cs="Calibri" w:eastAsia="Calibri" w:hAnsi="Calibri"/>
          <w:sz w:val="17"/>
          <w:szCs w:val="17"/>
          <w:color w:val="333333"/>
        </w:rPr>
        <w:t>senior leaders of our core operatons teams as further described below. Our CEO and other partcipatng NEOs may earn 2025 LTIP based on Relatve TSR performance for the three-year performance measurement period beginning January 1, 2025 and ending December 31, 2027. In the case of our CEO, Performance RSUs represented 66.67% and tme-based RSUs represented 33.33% of the total 2025 LTIP opportunity. In the case of our other partcipatng NEOs, Performance RSUs represented 60% and tme-based RSAs represented 40% of the total 2025 LTIP. For 2025 LTIP, our CEO’s, on the one hand, and each other partcipatng NEO’s, on the other hand, total target opportunity was seven tmes (7.0x) base salary and 1.25 tmes base salary, respectvely. Payouts to our partcipatng NEOs under the 2025 LTIP Performance RSUs when our Relatve TSR is negatve are capped at 100% of target. Linear interpolaton will be applied to determine the Performance RSUs earned as 2025 LTIP for performance between payout levels. The date of grant of the awards of the tme-based RSUs (to our CEO) and tme-based RSAs (to other partcipatng NEOs) and Performance RSUs to all partcipatng NEOs as 2025 LTIP was March 5, 2025.</w:t>
      </w:r>
    </w:p>
    <w:p>
      <w:pPr>
        <w:spacing w:after="0" w:line="39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20" w:type="dxa"/>
            <w:vAlign w:val="bottom"/>
            <w:tcBorders>
              <w:top w:val="single" w:sz="8" w:color="0591DB"/>
              <w:left w:val="single" w:sz="8" w:color="0591DB"/>
              <w:right w:val="single" w:sz="8" w:color="0591DB"/>
            </w:tcBorders>
          </w:tcPr>
          <w:p>
            <w:pPr>
              <w:spacing w:after="0"/>
              <w:rPr>
                <w:sz w:val="19"/>
                <w:szCs w:val="19"/>
                <w:color w:val="auto"/>
              </w:rPr>
            </w:pPr>
          </w:p>
        </w:tc>
        <w:tc>
          <w:tcPr>
            <w:tcW w:w="360" w:type="dxa"/>
            <w:vAlign w:val="bottom"/>
            <w:tcBorders>
              <w:top w:val="single" w:sz="8" w:color="0591DB"/>
            </w:tcBorders>
          </w:tcPr>
          <w:p>
            <w:pPr>
              <w:spacing w:after="0"/>
              <w:rPr>
                <w:sz w:val="19"/>
                <w:szCs w:val="19"/>
                <w:color w:val="auto"/>
              </w:rPr>
            </w:pPr>
          </w:p>
        </w:tc>
        <w:tc>
          <w:tcPr>
            <w:tcW w:w="3140" w:type="dxa"/>
            <w:vAlign w:val="bottom"/>
            <w:tcBorders>
              <w:top w:val="single" w:sz="8" w:color="0591DB"/>
              <w:right w:val="single" w:sz="8" w:color="0591DB"/>
            </w:tcBorders>
            <w:gridSpan w:val="4"/>
          </w:tcPr>
          <w:p>
            <w:pPr>
              <w:jc w:val="center"/>
              <w:ind w:right="320"/>
              <w:spacing w:after="0" w:line="229" w:lineRule="exact"/>
              <w:rPr>
                <w:sz w:val="20"/>
                <w:szCs w:val="20"/>
                <w:color w:val="auto"/>
              </w:rPr>
            </w:pPr>
            <w:r>
              <w:rPr>
                <w:rFonts w:ascii="Calibri" w:cs="Calibri" w:eastAsia="Calibri" w:hAnsi="Calibri"/>
                <w:sz w:val="20"/>
                <w:szCs w:val="20"/>
                <w:b w:val="1"/>
                <w:bCs w:val="1"/>
                <w:color w:val="0591DB"/>
                <w:w w:val="99"/>
              </w:rPr>
              <w:t> RELATIVE TSR PERFORMANCE</w:t>
            </w:r>
          </w:p>
        </w:tc>
        <w:tc>
          <w:tcPr>
            <w:tcW w:w="320" w:type="dxa"/>
            <w:vAlign w:val="bottom"/>
            <w:tcBorders>
              <w:top w:val="single" w:sz="8" w:color="0591DB"/>
            </w:tcBorders>
          </w:tcPr>
          <w:p>
            <w:pPr>
              <w:spacing w:after="0"/>
              <w:rPr>
                <w:sz w:val="19"/>
                <w:szCs w:val="19"/>
                <w:color w:val="auto"/>
              </w:rPr>
            </w:pPr>
          </w:p>
        </w:tc>
        <w:tc>
          <w:tcPr>
            <w:tcW w:w="3160" w:type="dxa"/>
            <w:vAlign w:val="bottom"/>
            <w:tcBorders>
              <w:top w:val="single" w:sz="8" w:color="0591DB"/>
            </w:tcBorders>
            <w:gridSpan w:val="2"/>
          </w:tcPr>
          <w:p>
            <w:pPr>
              <w:ind w:left="180"/>
              <w:spacing w:after="0" w:line="229" w:lineRule="exact"/>
              <w:rPr>
                <w:sz w:val="20"/>
                <w:szCs w:val="20"/>
                <w:color w:val="auto"/>
              </w:rPr>
            </w:pPr>
            <w:r>
              <w:rPr>
                <w:rFonts w:ascii="Calibri" w:cs="Calibri" w:eastAsia="Calibri" w:hAnsi="Calibri"/>
                <w:sz w:val="20"/>
                <w:szCs w:val="20"/>
                <w:b w:val="1"/>
                <w:bCs w:val="1"/>
                <w:color w:val="0591DB"/>
              </w:rPr>
              <w:t> RELATIVE TSR PERFORMANCE</w:t>
            </w: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920" w:type="dxa"/>
            <w:vAlign w:val="bottom"/>
            <w:tcBorders>
              <w:left w:val="single" w:sz="8" w:color="0591DB"/>
              <w:right w:val="single" w:sz="8" w:color="0591DB"/>
            </w:tcBorders>
          </w:tcPr>
          <w:p>
            <w:pPr>
              <w:ind w:left="140"/>
              <w:spacing w:after="0"/>
              <w:rPr>
                <w:sz w:val="20"/>
                <w:szCs w:val="20"/>
                <w:color w:val="auto"/>
              </w:rPr>
            </w:pPr>
            <w:r>
              <w:rPr>
                <w:rFonts w:ascii="Calibri" w:cs="Calibri" w:eastAsia="Calibri" w:hAnsi="Calibri"/>
                <w:sz w:val="20"/>
                <w:szCs w:val="20"/>
                <w:b w:val="1"/>
                <w:bCs w:val="1"/>
                <w:color w:val="0591DB"/>
              </w:rPr>
              <w:t>  % OF TARGET SHARES GRANTED </w:t>
            </w:r>
          </w:p>
        </w:tc>
        <w:tc>
          <w:tcPr>
            <w:tcW w:w="360" w:type="dxa"/>
            <w:vAlign w:val="bottom"/>
          </w:tcPr>
          <w:p>
            <w:pPr>
              <w:spacing w:after="0"/>
              <w:rPr>
                <w:sz w:val="21"/>
                <w:szCs w:val="21"/>
                <w:color w:val="auto"/>
              </w:rPr>
            </w:pPr>
          </w:p>
        </w:tc>
        <w:tc>
          <w:tcPr>
            <w:tcW w:w="1940" w:type="dxa"/>
            <w:vAlign w:val="bottom"/>
            <w:gridSpan w:val="2"/>
          </w:tcPr>
          <w:p>
            <w:pPr>
              <w:jc w:val="center"/>
              <w:ind w:left="827"/>
              <w:spacing w:after="0" w:line="233" w:lineRule="exact"/>
              <w:rPr>
                <w:sz w:val="20"/>
                <w:szCs w:val="20"/>
                <w:color w:val="auto"/>
              </w:rPr>
            </w:pPr>
            <w:r>
              <w:rPr>
                <w:rFonts w:ascii="Calibri" w:cs="Calibri" w:eastAsia="Calibri" w:hAnsi="Calibri"/>
                <w:sz w:val="20"/>
                <w:szCs w:val="20"/>
                <w:b w:val="1"/>
                <w:bCs w:val="1"/>
                <w:color w:val="0591DB"/>
                <w:w w:val="99"/>
              </w:rPr>
              <w:t>PERCENTILE</w:t>
            </w:r>
          </w:p>
        </w:tc>
        <w:tc>
          <w:tcPr>
            <w:tcW w:w="1080" w:type="dxa"/>
            <w:vAlign w:val="bottom"/>
          </w:tcPr>
          <w:p>
            <w:pPr>
              <w:spacing w:after="0"/>
              <w:rPr>
                <w:sz w:val="21"/>
                <w:szCs w:val="21"/>
                <w:color w:val="auto"/>
              </w:rPr>
            </w:pPr>
          </w:p>
        </w:tc>
        <w:tc>
          <w:tcPr>
            <w:tcW w:w="120" w:type="dxa"/>
            <w:vAlign w:val="bottom"/>
            <w:tcBorders>
              <w:right w:val="single" w:sz="8" w:color="0591DB"/>
            </w:tcBorders>
          </w:tcPr>
          <w:p>
            <w:pPr>
              <w:spacing w:after="0"/>
              <w:rPr>
                <w:sz w:val="21"/>
                <w:szCs w:val="21"/>
                <w:color w:val="auto"/>
              </w:rPr>
            </w:pPr>
          </w:p>
        </w:tc>
        <w:tc>
          <w:tcPr>
            <w:tcW w:w="320" w:type="dxa"/>
            <w:vAlign w:val="bottom"/>
          </w:tcPr>
          <w:p>
            <w:pPr>
              <w:spacing w:after="0"/>
              <w:rPr>
                <w:sz w:val="21"/>
                <w:szCs w:val="21"/>
                <w:color w:val="auto"/>
              </w:rPr>
            </w:pPr>
          </w:p>
        </w:tc>
        <w:tc>
          <w:tcPr>
            <w:tcW w:w="3160" w:type="dxa"/>
            <w:vAlign w:val="bottom"/>
            <w:gridSpan w:val="2"/>
          </w:tcPr>
          <w:p>
            <w:pPr>
              <w:jc w:val="center"/>
              <w:ind w:right="168"/>
              <w:spacing w:after="0" w:line="233" w:lineRule="exact"/>
              <w:rPr>
                <w:sz w:val="20"/>
                <w:szCs w:val="20"/>
                <w:color w:val="auto"/>
              </w:rPr>
            </w:pPr>
            <w:r>
              <w:rPr>
                <w:rFonts w:ascii="Calibri" w:cs="Calibri" w:eastAsia="Calibri" w:hAnsi="Calibri"/>
                <w:sz w:val="20"/>
                <w:szCs w:val="20"/>
                <w:b w:val="1"/>
                <w:bCs w:val="1"/>
                <w:color w:val="0591DB"/>
                <w:w w:val="99"/>
              </w:rPr>
              <w:t>PERCENTILE</w:t>
            </w:r>
          </w:p>
        </w:tc>
        <w:tc>
          <w:tcPr>
            <w:tcW w:w="20" w:type="dxa"/>
            <w:vAlign w:val="bottom"/>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920" w:type="dxa"/>
            <w:vAlign w:val="bottom"/>
            <w:tcBorders>
              <w:left w:val="single" w:sz="8" w:color="0591DB"/>
              <w:bottom w:val="single" w:sz="8" w:color="0591DB"/>
              <w:right w:val="single" w:sz="8" w:color="0591DB"/>
            </w:tcBorders>
          </w:tcPr>
          <w:p>
            <w:pPr>
              <w:spacing w:after="0"/>
              <w:rPr>
                <w:sz w:val="8"/>
                <w:szCs w:val="8"/>
                <w:color w:val="auto"/>
              </w:rPr>
            </w:pPr>
          </w:p>
        </w:tc>
        <w:tc>
          <w:tcPr>
            <w:tcW w:w="360" w:type="dxa"/>
            <w:vAlign w:val="bottom"/>
            <w:tcBorders>
              <w:bottom w:val="single" w:sz="8" w:color="0591DB"/>
            </w:tcBorders>
          </w:tcPr>
          <w:p>
            <w:pPr>
              <w:spacing w:after="0"/>
              <w:rPr>
                <w:sz w:val="8"/>
                <w:szCs w:val="8"/>
                <w:color w:val="auto"/>
              </w:rPr>
            </w:pPr>
          </w:p>
        </w:tc>
        <w:tc>
          <w:tcPr>
            <w:tcW w:w="1580" w:type="dxa"/>
            <w:vAlign w:val="bottom"/>
            <w:tcBorders>
              <w:bottom w:val="single" w:sz="8" w:color="0591DB"/>
            </w:tcBorders>
          </w:tcPr>
          <w:p>
            <w:pPr>
              <w:spacing w:after="0"/>
              <w:rPr>
                <w:sz w:val="8"/>
                <w:szCs w:val="8"/>
                <w:color w:val="auto"/>
              </w:rPr>
            </w:pPr>
          </w:p>
        </w:tc>
        <w:tc>
          <w:tcPr>
            <w:tcW w:w="360" w:type="dxa"/>
            <w:vAlign w:val="bottom"/>
            <w:tcBorders>
              <w:bottom w:val="single" w:sz="8" w:color="0591DB"/>
            </w:tcBorders>
          </w:tcPr>
          <w:p>
            <w:pPr>
              <w:spacing w:after="0"/>
              <w:rPr>
                <w:sz w:val="8"/>
                <w:szCs w:val="8"/>
                <w:color w:val="auto"/>
              </w:rPr>
            </w:pPr>
          </w:p>
        </w:tc>
        <w:tc>
          <w:tcPr>
            <w:tcW w:w="1080" w:type="dxa"/>
            <w:vAlign w:val="bottom"/>
            <w:tcBorders>
              <w:bottom w:val="single" w:sz="8" w:color="0591DB"/>
            </w:tcBorders>
          </w:tcPr>
          <w:p>
            <w:pPr>
              <w:spacing w:after="0"/>
              <w:rPr>
                <w:sz w:val="8"/>
                <w:szCs w:val="8"/>
                <w:color w:val="auto"/>
              </w:rPr>
            </w:pPr>
          </w:p>
        </w:tc>
        <w:tc>
          <w:tcPr>
            <w:tcW w:w="120" w:type="dxa"/>
            <w:vAlign w:val="bottom"/>
            <w:tcBorders>
              <w:bottom w:val="single" w:sz="8" w:color="0591DB"/>
              <w:right w:val="single" w:sz="8" w:color="0591DB"/>
            </w:tcBorders>
          </w:tcPr>
          <w:p>
            <w:pPr>
              <w:spacing w:after="0"/>
              <w:rPr>
                <w:sz w:val="8"/>
                <w:szCs w:val="8"/>
                <w:color w:val="auto"/>
              </w:rPr>
            </w:pPr>
          </w:p>
        </w:tc>
        <w:tc>
          <w:tcPr>
            <w:tcW w:w="320" w:type="dxa"/>
            <w:vAlign w:val="bottom"/>
            <w:tcBorders>
              <w:bottom w:val="single" w:sz="8" w:color="0591DB"/>
            </w:tcBorders>
          </w:tcPr>
          <w:p>
            <w:pPr>
              <w:spacing w:after="0"/>
              <w:rPr>
                <w:sz w:val="8"/>
                <w:szCs w:val="8"/>
                <w:color w:val="auto"/>
              </w:rPr>
            </w:pPr>
          </w:p>
        </w:tc>
        <w:tc>
          <w:tcPr>
            <w:tcW w:w="1100" w:type="dxa"/>
            <w:vAlign w:val="bottom"/>
            <w:tcBorders>
              <w:bottom w:val="single" w:sz="8" w:color="0591DB"/>
            </w:tcBorders>
          </w:tcPr>
          <w:p>
            <w:pPr>
              <w:spacing w:after="0"/>
              <w:rPr>
                <w:sz w:val="8"/>
                <w:szCs w:val="8"/>
                <w:color w:val="auto"/>
              </w:rPr>
            </w:pPr>
          </w:p>
        </w:tc>
        <w:tc>
          <w:tcPr>
            <w:tcW w:w="206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left w:val="single" w:sz="8" w:color="0591DB"/>
              <w:right w:val="single" w:sz="8" w:color="0591DB"/>
            </w:tcBorders>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2"/>
          </w:tcPr>
          <w:p>
            <w:pPr>
              <w:jc w:val="center"/>
              <w:ind w:left="827"/>
              <w:spacing w:after="0" w:line="226" w:lineRule="exact"/>
              <w:rPr>
                <w:sz w:val="20"/>
                <w:szCs w:val="20"/>
                <w:color w:val="auto"/>
              </w:rPr>
            </w:pPr>
            <w:r>
              <w:rPr>
                <w:rFonts w:ascii="Calibri" w:cs="Calibri" w:eastAsia="Calibri" w:hAnsi="Calibri"/>
                <w:sz w:val="20"/>
                <w:szCs w:val="20"/>
                <w:b w:val="1"/>
                <w:bCs w:val="1"/>
                <w:color w:val="0591DB"/>
              </w:rPr>
              <w:t>CEO</w:t>
            </w:r>
          </w:p>
        </w:tc>
        <w:tc>
          <w:tcPr>
            <w:tcW w:w="1080" w:type="dxa"/>
            <w:vAlign w:val="bottom"/>
          </w:tcPr>
          <w:p>
            <w:pPr>
              <w:spacing w:after="0"/>
              <w:rPr>
                <w:sz w:val="19"/>
                <w:szCs w:val="19"/>
                <w:color w:val="auto"/>
              </w:rPr>
            </w:pPr>
          </w:p>
        </w:tc>
        <w:tc>
          <w:tcPr>
            <w:tcW w:w="120" w:type="dxa"/>
            <w:vAlign w:val="bottom"/>
            <w:tcBorders>
              <w:right w:val="single" w:sz="8" w:color="0591DB"/>
            </w:tcBorders>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2"/>
          </w:tcPr>
          <w:p>
            <w:pPr>
              <w:jc w:val="center"/>
              <w:ind w:right="148"/>
              <w:spacing w:after="0" w:line="226" w:lineRule="exact"/>
              <w:rPr>
                <w:sz w:val="20"/>
                <w:szCs w:val="20"/>
                <w:color w:val="auto"/>
              </w:rPr>
            </w:pPr>
            <w:r>
              <w:rPr>
                <w:rFonts w:ascii="Calibri" w:cs="Calibri" w:eastAsia="Calibri" w:hAnsi="Calibri"/>
                <w:sz w:val="20"/>
                <w:szCs w:val="20"/>
                <w:b w:val="1"/>
                <w:bCs w:val="1"/>
                <w:color w:val="0591DB"/>
                <w:w w:val="98"/>
              </w:rPr>
              <w:t>Other NEOs</w:t>
            </w:r>
          </w:p>
        </w:tc>
        <w:tc>
          <w:tcPr>
            <w:tcW w:w="20" w:type="dxa"/>
            <w:vAlign w:val="bottom"/>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20" w:type="dxa"/>
            <w:vAlign w:val="bottom"/>
            <w:tcBorders>
              <w:left w:val="single" w:sz="8" w:color="0591DB"/>
              <w:bottom w:val="single" w:sz="8" w:color="0591DB"/>
              <w:right w:val="single" w:sz="8" w:color="0591DB"/>
            </w:tcBorders>
          </w:tcPr>
          <w:p>
            <w:pPr>
              <w:spacing w:after="0"/>
              <w:rPr>
                <w:sz w:val="6"/>
                <w:szCs w:val="6"/>
                <w:color w:val="auto"/>
              </w:rPr>
            </w:pPr>
          </w:p>
        </w:tc>
        <w:tc>
          <w:tcPr>
            <w:tcW w:w="360" w:type="dxa"/>
            <w:vAlign w:val="bottom"/>
            <w:tcBorders>
              <w:bottom w:val="single" w:sz="8" w:color="0591DB"/>
            </w:tcBorders>
          </w:tcPr>
          <w:p>
            <w:pPr>
              <w:spacing w:after="0"/>
              <w:rPr>
                <w:sz w:val="6"/>
                <w:szCs w:val="6"/>
                <w:color w:val="auto"/>
              </w:rPr>
            </w:pPr>
          </w:p>
        </w:tc>
        <w:tc>
          <w:tcPr>
            <w:tcW w:w="1580" w:type="dxa"/>
            <w:vAlign w:val="bottom"/>
            <w:tcBorders>
              <w:bottom w:val="single" w:sz="8" w:color="0591DB"/>
            </w:tcBorders>
          </w:tcPr>
          <w:p>
            <w:pPr>
              <w:spacing w:after="0"/>
              <w:rPr>
                <w:sz w:val="6"/>
                <w:szCs w:val="6"/>
                <w:color w:val="auto"/>
              </w:rPr>
            </w:pPr>
          </w:p>
        </w:tc>
        <w:tc>
          <w:tcPr>
            <w:tcW w:w="360" w:type="dxa"/>
            <w:vAlign w:val="bottom"/>
            <w:tcBorders>
              <w:bottom w:val="single" w:sz="8" w:color="0591DB"/>
            </w:tcBorders>
          </w:tcPr>
          <w:p>
            <w:pPr>
              <w:spacing w:after="0"/>
              <w:rPr>
                <w:sz w:val="6"/>
                <w:szCs w:val="6"/>
                <w:color w:val="auto"/>
              </w:rPr>
            </w:pPr>
          </w:p>
        </w:tc>
        <w:tc>
          <w:tcPr>
            <w:tcW w:w="1080" w:type="dxa"/>
            <w:vAlign w:val="bottom"/>
            <w:tcBorders>
              <w:bottom w:val="single" w:sz="8" w:color="0591DB"/>
            </w:tcBorders>
          </w:tcPr>
          <w:p>
            <w:pPr>
              <w:spacing w:after="0"/>
              <w:rPr>
                <w:sz w:val="6"/>
                <w:szCs w:val="6"/>
                <w:color w:val="auto"/>
              </w:rPr>
            </w:pPr>
          </w:p>
        </w:tc>
        <w:tc>
          <w:tcPr>
            <w:tcW w:w="120" w:type="dxa"/>
            <w:vAlign w:val="bottom"/>
            <w:tcBorders>
              <w:bottom w:val="single" w:sz="8" w:color="0591DB"/>
              <w:right w:val="single" w:sz="8" w:color="0591DB"/>
            </w:tcBorders>
          </w:tcPr>
          <w:p>
            <w:pPr>
              <w:spacing w:after="0"/>
              <w:rPr>
                <w:sz w:val="6"/>
                <w:szCs w:val="6"/>
                <w:color w:val="auto"/>
              </w:rPr>
            </w:pPr>
          </w:p>
        </w:tc>
        <w:tc>
          <w:tcPr>
            <w:tcW w:w="320" w:type="dxa"/>
            <w:vAlign w:val="bottom"/>
            <w:tcBorders>
              <w:bottom w:val="single" w:sz="8" w:color="0591DB"/>
            </w:tcBorders>
          </w:tcPr>
          <w:p>
            <w:pPr>
              <w:spacing w:after="0"/>
              <w:rPr>
                <w:sz w:val="6"/>
                <w:szCs w:val="6"/>
                <w:color w:val="auto"/>
              </w:rPr>
            </w:pPr>
          </w:p>
        </w:tc>
        <w:tc>
          <w:tcPr>
            <w:tcW w:w="1100" w:type="dxa"/>
            <w:vAlign w:val="bottom"/>
            <w:tcBorders>
              <w:bottom w:val="single" w:sz="8" w:color="0591DB"/>
            </w:tcBorders>
          </w:tcPr>
          <w:p>
            <w:pPr>
              <w:spacing w:after="0"/>
              <w:rPr>
                <w:sz w:val="6"/>
                <w:szCs w:val="6"/>
                <w:color w:val="auto"/>
              </w:rPr>
            </w:pPr>
          </w:p>
        </w:tc>
        <w:tc>
          <w:tcPr>
            <w:tcW w:w="206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tcPr>
          <w:p>
            <w:pPr>
              <w:spacing w:after="0" w:line="197" w:lineRule="exact"/>
              <w:rPr>
                <w:sz w:val="20"/>
                <w:szCs w:val="20"/>
                <w:color w:val="auto"/>
              </w:rPr>
            </w:pPr>
            <w:r>
              <w:rPr>
                <w:rFonts w:ascii="Calibri" w:cs="Calibri" w:eastAsia="Calibri" w:hAnsi="Calibri"/>
                <w:sz w:val="17"/>
                <w:szCs w:val="17"/>
                <w:color w:val="333333"/>
              </w:rPr>
              <w:t>  Threshold – 50%</w:t>
            </w:r>
          </w:p>
        </w:tc>
        <w:tc>
          <w:tcPr>
            <w:tcW w:w="360" w:type="dxa"/>
            <w:vAlign w:val="bottom"/>
          </w:tcPr>
          <w:p>
            <w:pPr>
              <w:spacing w:after="0"/>
              <w:rPr>
                <w:sz w:val="17"/>
                <w:szCs w:val="17"/>
                <w:color w:val="auto"/>
              </w:rPr>
            </w:pPr>
          </w:p>
        </w:tc>
        <w:tc>
          <w:tcPr>
            <w:tcW w:w="1940" w:type="dxa"/>
            <w:vAlign w:val="bottom"/>
            <w:gridSpan w:val="2"/>
          </w:tcPr>
          <w:p>
            <w:pPr>
              <w:jc w:val="center"/>
              <w:ind w:left="827"/>
              <w:spacing w:after="0" w:line="197" w:lineRule="exact"/>
              <w:rPr>
                <w:sz w:val="20"/>
                <w:szCs w:val="20"/>
                <w:color w:val="auto"/>
              </w:rPr>
            </w:pPr>
            <w:r>
              <w:rPr>
                <w:rFonts w:ascii="Calibri" w:cs="Calibri" w:eastAsia="Calibri" w:hAnsi="Calibri"/>
                <w:sz w:val="17"/>
                <w:szCs w:val="17"/>
                <w:color w:val="333333"/>
              </w:rPr>
              <w:t>25</w:t>
            </w:r>
            <w:r>
              <w:rPr>
                <w:rFonts w:ascii="Calibri" w:cs="Calibri" w:eastAsia="Calibri" w:hAnsi="Calibri"/>
                <w:sz w:val="12"/>
                <w:szCs w:val="12"/>
                <w:color w:val="333333"/>
              </w:rPr>
              <w:t>th</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tcPr>
          <w:p>
            <w:pPr>
              <w:jc w:val="center"/>
              <w:ind w:right="1208"/>
              <w:spacing w:after="0" w:line="197" w:lineRule="exact"/>
              <w:rPr>
                <w:sz w:val="20"/>
                <w:szCs w:val="20"/>
                <w:color w:val="auto"/>
              </w:rPr>
            </w:pPr>
            <w:r>
              <w:rPr>
                <w:rFonts w:ascii="Calibri" w:cs="Calibri" w:eastAsia="Calibri" w:hAnsi="Calibri"/>
                <w:sz w:val="17"/>
                <w:szCs w:val="17"/>
                <w:color w:val="333333"/>
              </w:rPr>
              <w:t>25</w:t>
            </w:r>
            <w:r>
              <w:rPr>
                <w:rFonts w:ascii="Calibri" w:cs="Calibri" w:eastAsia="Calibri" w:hAnsi="Calibri"/>
                <w:sz w:val="12"/>
                <w:szCs w:val="12"/>
                <w:color w:val="333333"/>
              </w:rPr>
              <w:t>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Target – 100%</w:t>
            </w:r>
          </w:p>
        </w:tc>
        <w:tc>
          <w:tcPr>
            <w:tcW w:w="360" w:type="dxa"/>
            <w:vAlign w:val="bottom"/>
            <w:tcBorders>
              <w:right w:val="single" w:sz="8" w:color="EFF2EF"/>
            </w:tcBorders>
            <w:shd w:val="clear" w:color="auto" w:fill="EFF2EF"/>
          </w:tcPr>
          <w:p>
            <w:pPr>
              <w:spacing w:after="0"/>
              <w:rPr>
                <w:sz w:val="17"/>
                <w:szCs w:val="17"/>
                <w:color w:val="auto"/>
              </w:rPr>
            </w:pPr>
          </w:p>
        </w:tc>
        <w:tc>
          <w:tcPr>
            <w:tcW w:w="1940" w:type="dxa"/>
            <w:vAlign w:val="bottom"/>
            <w:gridSpan w:val="2"/>
            <w:shd w:val="clear" w:color="auto" w:fill="EFF2EF"/>
          </w:tcPr>
          <w:p>
            <w:pPr>
              <w:jc w:val="center"/>
              <w:ind w:left="827"/>
              <w:spacing w:after="0" w:line="203" w:lineRule="exact"/>
              <w:rPr>
                <w:sz w:val="20"/>
                <w:szCs w:val="20"/>
                <w:color w:val="auto"/>
              </w:rPr>
            </w:pPr>
            <w:r>
              <w:rPr>
                <w:rFonts w:ascii="Calibri" w:cs="Calibri" w:eastAsia="Calibri" w:hAnsi="Calibri"/>
                <w:sz w:val="17"/>
                <w:szCs w:val="17"/>
                <w:color w:val="333333"/>
              </w:rPr>
              <w:t>55</w:t>
            </w:r>
            <w:r>
              <w:rPr>
                <w:rFonts w:ascii="Calibri" w:cs="Calibri" w:eastAsia="Calibri" w:hAnsi="Calibri"/>
                <w:sz w:val="12"/>
                <w:szCs w:val="12"/>
                <w:color w:val="333333"/>
              </w:rPr>
              <w:t>th</w:t>
            </w:r>
          </w:p>
        </w:tc>
        <w:tc>
          <w:tcPr>
            <w:tcW w:w="1080" w:type="dxa"/>
            <w:vAlign w:val="bottom"/>
            <w:tcBorders>
              <w:right w:val="single" w:sz="8" w:color="EFF2EF"/>
            </w:tcBorders>
            <w:shd w:val="clear" w:color="auto" w:fill="EFF2EF"/>
          </w:tcPr>
          <w:p>
            <w:pPr>
              <w:spacing w:after="0"/>
              <w:rPr>
                <w:sz w:val="17"/>
                <w:szCs w:val="17"/>
                <w:color w:val="auto"/>
              </w:rPr>
            </w:pPr>
          </w:p>
        </w:tc>
        <w:tc>
          <w:tcPr>
            <w:tcW w:w="120" w:type="dxa"/>
            <w:vAlign w:val="bottom"/>
            <w:tcBorders>
              <w:right w:val="single" w:sz="8" w:color="EFF2EF"/>
            </w:tcBorders>
            <w:shd w:val="clear" w:color="auto" w:fill="EFF2EF"/>
          </w:tcPr>
          <w:p>
            <w:pPr>
              <w:spacing w:after="0"/>
              <w:rPr>
                <w:sz w:val="17"/>
                <w:szCs w:val="17"/>
                <w:color w:val="auto"/>
              </w:rPr>
            </w:pPr>
          </w:p>
        </w:tc>
        <w:tc>
          <w:tcPr>
            <w:tcW w:w="320" w:type="dxa"/>
            <w:vAlign w:val="bottom"/>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2060" w:type="dxa"/>
            <w:vAlign w:val="bottom"/>
            <w:shd w:val="clear" w:color="auto" w:fill="EFF2EF"/>
          </w:tcPr>
          <w:p>
            <w:pPr>
              <w:jc w:val="center"/>
              <w:ind w:right="1208"/>
              <w:spacing w:after="0" w:line="203" w:lineRule="exact"/>
              <w:rPr>
                <w:sz w:val="20"/>
                <w:szCs w:val="20"/>
                <w:color w:val="auto"/>
              </w:rPr>
            </w:pPr>
            <w:r>
              <w:rPr>
                <w:rFonts w:ascii="Calibri" w:cs="Calibri" w:eastAsia="Calibri" w:hAnsi="Calibri"/>
                <w:sz w:val="17"/>
                <w:szCs w:val="17"/>
                <w:color w:val="333333"/>
              </w:rPr>
              <w:t>50</w:t>
            </w:r>
            <w:r>
              <w:rPr>
                <w:rFonts w:ascii="Calibri" w:cs="Calibri" w:eastAsia="Calibri" w:hAnsi="Calibri"/>
                <w:sz w:val="12"/>
                <w:szCs w:val="12"/>
                <w:color w:val="333333"/>
              </w:rPr>
              <w:t>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3920" w:type="dxa"/>
            <w:vAlign w:val="bottom"/>
            <w:tcBorders>
              <w:left w:val="single" w:sz="8" w:color="EFF2EF"/>
              <w:right w:val="single" w:sz="8" w:color="EFF2EF"/>
            </w:tcBorders>
            <w:shd w:val="clear" w:color="auto" w:fill="EFF2EF"/>
          </w:tcPr>
          <w:p>
            <w:pPr>
              <w:spacing w:after="0"/>
              <w:rPr>
                <w:sz w:val="5"/>
                <w:szCs w:val="5"/>
                <w:color w:val="auto"/>
              </w:rPr>
            </w:pPr>
          </w:p>
        </w:tc>
        <w:tc>
          <w:tcPr>
            <w:tcW w:w="360" w:type="dxa"/>
            <w:vAlign w:val="bottom"/>
            <w:tcBorders>
              <w:right w:val="single" w:sz="8" w:color="EFF2EF"/>
            </w:tcBorders>
            <w:shd w:val="clear" w:color="auto" w:fill="EFF2EF"/>
          </w:tcPr>
          <w:p>
            <w:pPr>
              <w:spacing w:after="0"/>
              <w:rPr>
                <w:sz w:val="5"/>
                <w:szCs w:val="5"/>
                <w:color w:val="auto"/>
              </w:rPr>
            </w:pPr>
          </w:p>
        </w:tc>
        <w:tc>
          <w:tcPr>
            <w:tcW w:w="1580" w:type="dxa"/>
            <w:vAlign w:val="bottom"/>
            <w:tcBorders>
              <w:right w:val="single" w:sz="8" w:color="EFF2EF"/>
            </w:tcBorders>
            <w:shd w:val="clear" w:color="auto" w:fill="EFF2EF"/>
          </w:tcPr>
          <w:p>
            <w:pPr>
              <w:spacing w:after="0"/>
              <w:rPr>
                <w:sz w:val="5"/>
                <w:szCs w:val="5"/>
                <w:color w:val="auto"/>
              </w:rPr>
            </w:pPr>
          </w:p>
        </w:tc>
        <w:tc>
          <w:tcPr>
            <w:tcW w:w="360" w:type="dxa"/>
            <w:vAlign w:val="bottom"/>
            <w:shd w:val="clear" w:color="auto" w:fill="EFF2EF"/>
          </w:tcPr>
          <w:p>
            <w:pPr>
              <w:spacing w:after="0"/>
              <w:rPr>
                <w:sz w:val="5"/>
                <w:szCs w:val="5"/>
                <w:color w:val="auto"/>
              </w:rPr>
            </w:pPr>
          </w:p>
        </w:tc>
        <w:tc>
          <w:tcPr>
            <w:tcW w:w="1080" w:type="dxa"/>
            <w:vAlign w:val="bottom"/>
            <w:tcBorders>
              <w:right w:val="single" w:sz="8" w:color="EFF2EF"/>
            </w:tcBorders>
            <w:shd w:val="clear" w:color="auto" w:fill="EFF2EF"/>
          </w:tcPr>
          <w:p>
            <w:pPr>
              <w:spacing w:after="0"/>
              <w:rPr>
                <w:sz w:val="5"/>
                <w:szCs w:val="5"/>
                <w:color w:val="auto"/>
              </w:rPr>
            </w:pPr>
          </w:p>
        </w:tc>
        <w:tc>
          <w:tcPr>
            <w:tcW w:w="120" w:type="dxa"/>
            <w:vAlign w:val="bottom"/>
            <w:tcBorders>
              <w:right w:val="single" w:sz="8" w:color="EFF2EF"/>
            </w:tcBorders>
            <w:shd w:val="clear" w:color="auto" w:fill="EFF2EF"/>
          </w:tcPr>
          <w:p>
            <w:pPr>
              <w:spacing w:after="0"/>
              <w:rPr>
                <w:sz w:val="5"/>
                <w:szCs w:val="5"/>
                <w:color w:val="auto"/>
              </w:rPr>
            </w:pPr>
          </w:p>
        </w:tc>
        <w:tc>
          <w:tcPr>
            <w:tcW w:w="320" w:type="dxa"/>
            <w:vAlign w:val="bottom"/>
            <w:shd w:val="clear" w:color="auto" w:fill="EFF2EF"/>
          </w:tcPr>
          <w:p>
            <w:pPr>
              <w:spacing w:after="0"/>
              <w:rPr>
                <w:sz w:val="5"/>
                <w:szCs w:val="5"/>
                <w:color w:val="auto"/>
              </w:rPr>
            </w:pPr>
          </w:p>
        </w:tc>
        <w:tc>
          <w:tcPr>
            <w:tcW w:w="1100" w:type="dxa"/>
            <w:vAlign w:val="bottom"/>
            <w:tcBorders>
              <w:right w:val="single" w:sz="8" w:color="EFF2EF"/>
            </w:tcBorders>
            <w:shd w:val="clear" w:color="auto" w:fill="EFF2EF"/>
          </w:tcPr>
          <w:p>
            <w:pPr>
              <w:spacing w:after="0"/>
              <w:rPr>
                <w:sz w:val="5"/>
                <w:szCs w:val="5"/>
                <w:color w:val="auto"/>
              </w:rPr>
            </w:pPr>
          </w:p>
        </w:tc>
        <w:tc>
          <w:tcPr>
            <w:tcW w:w="206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0" w:type="dxa"/>
            <w:vAlign w:val="bottom"/>
            <w:vMerge w:val="continue"/>
          </w:tcPr>
          <w:p>
            <w:pPr>
              <w:spacing w:after="0"/>
              <w:rPr>
                <w:sz w:val="24"/>
                <w:szCs w:val="24"/>
                <w:color w:val="auto"/>
              </w:rPr>
            </w:pPr>
          </w:p>
        </w:tc>
        <w:tc>
          <w:tcPr>
            <w:tcW w:w="3920" w:type="dxa"/>
            <w:vAlign w:val="bottom"/>
          </w:tcPr>
          <w:p>
            <w:pPr>
              <w:spacing w:after="0" w:line="203" w:lineRule="exact"/>
              <w:rPr>
                <w:sz w:val="20"/>
                <w:szCs w:val="20"/>
                <w:color w:val="auto"/>
              </w:rPr>
            </w:pPr>
            <w:r>
              <w:rPr>
                <w:rFonts w:ascii="Calibri" w:cs="Calibri" w:eastAsia="Calibri" w:hAnsi="Calibri"/>
                <w:sz w:val="17"/>
                <w:szCs w:val="17"/>
                <w:color w:val="333333"/>
              </w:rPr>
              <w:t>  Maximum – 150%</w:t>
            </w:r>
          </w:p>
        </w:tc>
        <w:tc>
          <w:tcPr>
            <w:tcW w:w="360" w:type="dxa"/>
            <w:vAlign w:val="bottom"/>
          </w:tcPr>
          <w:p>
            <w:pPr>
              <w:spacing w:after="0"/>
              <w:rPr>
                <w:sz w:val="24"/>
                <w:szCs w:val="24"/>
                <w:color w:val="auto"/>
              </w:rPr>
            </w:pPr>
          </w:p>
        </w:tc>
        <w:tc>
          <w:tcPr>
            <w:tcW w:w="1940" w:type="dxa"/>
            <w:vAlign w:val="bottom"/>
            <w:gridSpan w:val="2"/>
          </w:tcPr>
          <w:p>
            <w:pPr>
              <w:jc w:val="center"/>
              <w:ind w:left="827"/>
              <w:spacing w:after="0" w:line="393" w:lineRule="exact"/>
              <w:rPr>
                <w:sz w:val="20"/>
                <w:szCs w:val="20"/>
                <w:color w:val="auto"/>
              </w:rPr>
            </w:pPr>
            <w:r>
              <w:rPr>
                <w:rFonts w:ascii="Calibri" w:cs="Calibri" w:eastAsia="Calibri" w:hAnsi="Calibri"/>
                <w:sz w:val="33"/>
                <w:szCs w:val="33"/>
                <w:color w:val="333333"/>
                <w:w w:val="89"/>
                <w:vertAlign w:val="subscript"/>
              </w:rPr>
              <w:t>80</w:t>
            </w:r>
            <w:r>
              <w:rPr>
                <w:rFonts w:ascii="Calibri" w:cs="Calibri" w:eastAsia="Calibri" w:hAnsi="Calibri"/>
                <w:sz w:val="13"/>
                <w:szCs w:val="13"/>
                <w:color w:val="333333"/>
                <w:w w:val="89"/>
              </w:rPr>
              <w:t>th</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tcPr>
          <w:p>
            <w:pPr>
              <w:jc w:val="center"/>
              <w:ind w:right="1208"/>
              <w:spacing w:after="0" w:line="393" w:lineRule="exact"/>
              <w:rPr>
                <w:sz w:val="20"/>
                <w:szCs w:val="20"/>
                <w:color w:val="auto"/>
              </w:rPr>
            </w:pPr>
            <w:r>
              <w:rPr>
                <w:rFonts w:ascii="Calibri" w:cs="Calibri" w:eastAsia="Calibri" w:hAnsi="Calibri"/>
                <w:sz w:val="33"/>
                <w:szCs w:val="33"/>
                <w:color w:val="333333"/>
                <w:w w:val="83"/>
                <w:vertAlign w:val="subscript"/>
              </w:rPr>
              <w:t>75</w:t>
            </w:r>
            <w:r>
              <w:rPr>
                <w:rFonts w:ascii="Calibri" w:cs="Calibri" w:eastAsia="Calibri" w:hAnsi="Calibri"/>
                <w:sz w:val="13"/>
                <w:szCs w:val="13"/>
                <w:color w:val="333333"/>
                <w:w w:val="83"/>
              </w:rPr>
              <w:t>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40" w:type="dxa"/>
            <w:vAlign w:val="bottom"/>
            <w:gridSpan w:val="5"/>
          </w:tcPr>
          <w:p>
            <w:pPr>
              <w:spacing w:after="0"/>
              <w:rPr>
                <w:sz w:val="20"/>
                <w:szCs w:val="20"/>
                <w:color w:val="auto"/>
              </w:rPr>
            </w:pPr>
            <w:r>
              <w:rPr>
                <w:rFonts w:ascii="Calibri" w:cs="Calibri" w:eastAsia="Calibri" w:hAnsi="Calibri"/>
                <w:sz w:val="17"/>
                <w:szCs w:val="17"/>
                <w:color w:val="333333"/>
              </w:rPr>
              <w:t>The CEO and other partcipatng NEOs were awarded the following 2025 LTIP:</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20" w:type="dxa"/>
            <w:vAlign w:val="bottom"/>
            <w:tcBorders>
              <w:bottom w:val="single" w:sz="8" w:color="0591DB"/>
            </w:tcBorders>
          </w:tcPr>
          <w:p>
            <w:pPr>
              <w:spacing w:after="0"/>
              <w:rPr>
                <w:sz w:val="23"/>
                <w:szCs w:val="23"/>
                <w:color w:val="auto"/>
              </w:rPr>
            </w:pPr>
          </w:p>
        </w:tc>
        <w:tc>
          <w:tcPr>
            <w:tcW w:w="360" w:type="dxa"/>
            <w:vAlign w:val="bottom"/>
            <w:tcBorders>
              <w:bottom w:val="single" w:sz="8" w:color="0591DB"/>
            </w:tcBorders>
          </w:tcPr>
          <w:p>
            <w:pPr>
              <w:spacing w:after="0"/>
              <w:rPr>
                <w:sz w:val="23"/>
                <w:szCs w:val="23"/>
                <w:color w:val="auto"/>
              </w:rPr>
            </w:pPr>
          </w:p>
        </w:tc>
        <w:tc>
          <w:tcPr>
            <w:tcW w:w="1580" w:type="dxa"/>
            <w:vAlign w:val="bottom"/>
            <w:tcBorders>
              <w:bottom w:val="single" w:sz="8" w:color="0591DB"/>
            </w:tcBorders>
          </w:tcPr>
          <w:p>
            <w:pPr>
              <w:spacing w:after="0"/>
              <w:rPr>
                <w:sz w:val="23"/>
                <w:szCs w:val="23"/>
                <w:color w:val="auto"/>
              </w:rPr>
            </w:pPr>
          </w:p>
        </w:tc>
        <w:tc>
          <w:tcPr>
            <w:tcW w:w="360" w:type="dxa"/>
            <w:vAlign w:val="bottom"/>
            <w:tcBorders>
              <w:bottom w:val="single" w:sz="8" w:color="0591DB"/>
            </w:tcBorders>
          </w:tcPr>
          <w:p>
            <w:pPr>
              <w:spacing w:after="0"/>
              <w:rPr>
                <w:sz w:val="23"/>
                <w:szCs w:val="23"/>
                <w:color w:val="auto"/>
              </w:rPr>
            </w:pPr>
          </w:p>
        </w:tc>
        <w:tc>
          <w:tcPr>
            <w:tcW w:w="1080" w:type="dxa"/>
            <w:vAlign w:val="bottom"/>
            <w:tcBorders>
              <w:bottom w:val="single" w:sz="8" w:color="0591DB"/>
            </w:tcBorders>
          </w:tcPr>
          <w:p>
            <w:pPr>
              <w:spacing w:after="0"/>
              <w:rPr>
                <w:sz w:val="23"/>
                <w:szCs w:val="23"/>
                <w:color w:val="auto"/>
              </w:rPr>
            </w:pPr>
          </w:p>
        </w:tc>
        <w:tc>
          <w:tcPr>
            <w:tcW w:w="120" w:type="dxa"/>
            <w:vAlign w:val="bottom"/>
            <w:tcBorders>
              <w:bottom w:val="single" w:sz="8" w:color="0591DB"/>
            </w:tcBorders>
          </w:tcPr>
          <w:p>
            <w:pPr>
              <w:spacing w:after="0"/>
              <w:rPr>
                <w:sz w:val="23"/>
                <w:szCs w:val="23"/>
                <w:color w:val="auto"/>
              </w:rPr>
            </w:pPr>
          </w:p>
        </w:tc>
        <w:tc>
          <w:tcPr>
            <w:tcW w:w="320" w:type="dxa"/>
            <w:vAlign w:val="bottom"/>
            <w:tcBorders>
              <w:bottom w:val="single" w:sz="8" w:color="0591DB"/>
            </w:tcBorders>
          </w:tcPr>
          <w:p>
            <w:pPr>
              <w:spacing w:after="0"/>
              <w:rPr>
                <w:sz w:val="23"/>
                <w:szCs w:val="23"/>
                <w:color w:val="auto"/>
              </w:rPr>
            </w:pPr>
          </w:p>
        </w:tc>
        <w:tc>
          <w:tcPr>
            <w:tcW w:w="1100" w:type="dxa"/>
            <w:vAlign w:val="bottom"/>
            <w:tcBorders>
              <w:bottom w:val="single" w:sz="8" w:color="0591DB"/>
            </w:tcBorders>
          </w:tcPr>
          <w:p>
            <w:pPr>
              <w:spacing w:after="0"/>
              <w:rPr>
                <w:sz w:val="23"/>
                <w:szCs w:val="23"/>
                <w:color w:val="auto"/>
              </w:rPr>
            </w:pPr>
          </w:p>
        </w:tc>
        <w:tc>
          <w:tcPr>
            <w:tcW w:w="2060" w:type="dxa"/>
            <w:vAlign w:val="bottom"/>
            <w:tcBorders>
              <w:bottom w:val="single" w:sz="8" w:color="0591DB"/>
            </w:tcBorders>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tcBorders>
              <w:left w:val="single" w:sz="8" w:color="0591DB"/>
            </w:tcBorders>
          </w:tcPr>
          <w:p>
            <w:pPr>
              <w:spacing w:after="0"/>
              <w:rPr>
                <w:sz w:val="17"/>
                <w:szCs w:val="17"/>
                <w:color w:val="auto"/>
              </w:rPr>
            </w:pPr>
          </w:p>
        </w:tc>
        <w:tc>
          <w:tcPr>
            <w:tcW w:w="360" w:type="dxa"/>
            <w:vAlign w:val="bottom"/>
            <w:tcBorders>
              <w:right w:val="single" w:sz="8" w:color="0591DB"/>
            </w:tcBorders>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right w:val="single" w:sz="8" w:color="0591DB"/>
            </w:tcBorders>
          </w:tcPr>
          <w:p>
            <w:pPr>
              <w:spacing w:after="0"/>
              <w:rPr>
                <w:sz w:val="17"/>
                <w:szCs w:val="17"/>
                <w:color w:val="auto"/>
              </w:rPr>
            </w:pPr>
          </w:p>
        </w:tc>
        <w:tc>
          <w:tcPr>
            <w:tcW w:w="2060" w:type="dxa"/>
            <w:vAlign w:val="bottom"/>
          </w:tcPr>
          <w:p>
            <w:pPr>
              <w:jc w:val="center"/>
              <w:spacing w:after="0" w:line="201" w:lineRule="exact"/>
              <w:rPr>
                <w:sz w:val="20"/>
                <w:szCs w:val="20"/>
                <w:color w:val="auto"/>
              </w:rPr>
            </w:pPr>
            <w:r>
              <w:rPr>
                <w:rFonts w:ascii="Calibri" w:cs="Calibri" w:eastAsia="Calibri" w:hAnsi="Calibri"/>
                <w:sz w:val="21"/>
                <w:szCs w:val="21"/>
                <w:b w:val="1"/>
                <w:bCs w:val="1"/>
                <w:color w:val="0591DB"/>
                <w:w w:val="94"/>
              </w:rPr>
              <w:t>2025 TIME-BASED</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Borders>
              <w:left w:val="single" w:sz="8" w:color="0591DB"/>
            </w:tcBorders>
          </w:tcPr>
          <w:p>
            <w:pPr>
              <w:spacing w:after="0"/>
              <w:rPr>
                <w:sz w:val="20"/>
                <w:szCs w:val="20"/>
                <w:color w:val="auto"/>
              </w:rPr>
            </w:pPr>
          </w:p>
        </w:tc>
        <w:tc>
          <w:tcPr>
            <w:tcW w:w="360" w:type="dxa"/>
            <w:vAlign w:val="bottom"/>
            <w:tcBorders>
              <w:right w:val="single" w:sz="8" w:color="0591DB"/>
            </w:tcBorders>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0591DB"/>
            </w:tcBorders>
          </w:tcPr>
          <w:p>
            <w:pPr>
              <w:spacing w:after="0"/>
              <w:rPr>
                <w:sz w:val="20"/>
                <w:szCs w:val="20"/>
                <w:color w:val="auto"/>
              </w:rPr>
            </w:pPr>
          </w:p>
        </w:tc>
        <w:tc>
          <w:tcPr>
            <w:tcW w:w="2060" w:type="dxa"/>
            <w:vAlign w:val="bottom"/>
          </w:tcPr>
          <w:p>
            <w:pPr>
              <w:jc w:val="center"/>
              <w:spacing w:after="0" w:line="241" w:lineRule="exact"/>
              <w:rPr>
                <w:sz w:val="20"/>
                <w:szCs w:val="20"/>
                <w:color w:val="auto"/>
              </w:rPr>
            </w:pPr>
            <w:r>
              <w:rPr>
                <w:rFonts w:ascii="Calibri" w:cs="Calibri" w:eastAsia="Calibri" w:hAnsi="Calibri"/>
                <w:sz w:val="21"/>
                <w:szCs w:val="21"/>
                <w:b w:val="1"/>
                <w:bCs w:val="1"/>
                <w:color w:val="0591DB"/>
                <w:w w:val="94"/>
              </w:rPr>
              <w:t>RSUs (CEO)/TIME-</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Borders>
              <w:left w:val="single" w:sz="8" w:color="0591DB"/>
            </w:tcBorders>
          </w:tcPr>
          <w:p>
            <w:pPr>
              <w:spacing w:after="0"/>
              <w:rPr>
                <w:sz w:val="20"/>
                <w:szCs w:val="20"/>
                <w:color w:val="auto"/>
              </w:rPr>
            </w:pPr>
          </w:p>
        </w:tc>
        <w:tc>
          <w:tcPr>
            <w:tcW w:w="360" w:type="dxa"/>
            <w:vAlign w:val="bottom"/>
            <w:tcBorders>
              <w:right w:val="single" w:sz="8" w:color="0591DB"/>
            </w:tcBorders>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0591DB"/>
            </w:tcBorders>
          </w:tcPr>
          <w:p>
            <w:pPr>
              <w:spacing w:after="0"/>
              <w:rPr>
                <w:sz w:val="20"/>
                <w:szCs w:val="20"/>
                <w:color w:val="auto"/>
              </w:rPr>
            </w:pPr>
          </w:p>
        </w:tc>
        <w:tc>
          <w:tcPr>
            <w:tcW w:w="2060" w:type="dxa"/>
            <w:vAlign w:val="bottom"/>
          </w:tcPr>
          <w:p>
            <w:pPr>
              <w:jc w:val="center"/>
              <w:spacing w:after="0" w:line="241" w:lineRule="exact"/>
              <w:rPr>
                <w:sz w:val="20"/>
                <w:szCs w:val="20"/>
                <w:color w:val="auto"/>
              </w:rPr>
            </w:pPr>
            <w:r>
              <w:rPr>
                <w:rFonts w:ascii="Calibri" w:cs="Calibri" w:eastAsia="Calibri" w:hAnsi="Calibri"/>
                <w:sz w:val="21"/>
                <w:szCs w:val="21"/>
                <w:b w:val="1"/>
                <w:bCs w:val="1"/>
                <w:color w:val="0591DB"/>
                <w:w w:val="94"/>
              </w:rPr>
              <w:t>BASED RSAs</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tcBorders>
              <w:left w:val="single" w:sz="8" w:color="0591DB"/>
            </w:tcBorders>
          </w:tcPr>
          <w:p>
            <w:pPr>
              <w:ind w:left="140"/>
              <w:spacing w:after="0" w:line="244" w:lineRule="exact"/>
              <w:rPr>
                <w:sz w:val="20"/>
                <w:szCs w:val="20"/>
                <w:color w:val="auto"/>
              </w:rPr>
            </w:pPr>
            <w:r>
              <w:rPr>
                <w:rFonts w:ascii="Calibri" w:cs="Calibri" w:eastAsia="Calibri" w:hAnsi="Calibri"/>
                <w:sz w:val="21"/>
                <w:szCs w:val="21"/>
                <w:b w:val="1"/>
                <w:bCs w:val="1"/>
                <w:color w:val="0591DB"/>
              </w:rPr>
              <w:t>  NAME</w:t>
            </w:r>
          </w:p>
        </w:tc>
        <w:tc>
          <w:tcPr>
            <w:tcW w:w="360" w:type="dxa"/>
            <w:vAlign w:val="bottom"/>
            <w:tcBorders>
              <w:right w:val="single" w:sz="8" w:color="0591DB"/>
            </w:tcBorders>
          </w:tcPr>
          <w:p>
            <w:pPr>
              <w:spacing w:after="0"/>
              <w:rPr>
                <w:sz w:val="21"/>
                <w:szCs w:val="21"/>
                <w:color w:val="auto"/>
              </w:rPr>
            </w:pPr>
          </w:p>
        </w:tc>
        <w:tc>
          <w:tcPr>
            <w:tcW w:w="3460" w:type="dxa"/>
            <w:vAlign w:val="bottom"/>
            <w:gridSpan w:val="5"/>
          </w:tcPr>
          <w:p>
            <w:pPr>
              <w:ind w:left="1040"/>
              <w:spacing w:after="0" w:line="244" w:lineRule="exact"/>
              <w:rPr>
                <w:sz w:val="20"/>
                <w:szCs w:val="20"/>
                <w:color w:val="auto"/>
              </w:rPr>
            </w:pPr>
            <w:r>
              <w:rPr>
                <w:rFonts w:ascii="Calibri" w:cs="Calibri" w:eastAsia="Calibri" w:hAnsi="Calibri"/>
                <w:sz w:val="21"/>
                <w:szCs w:val="21"/>
                <w:b w:val="1"/>
                <w:bCs w:val="1"/>
                <w:color w:val="0591DB"/>
                <w:w w:val="94"/>
              </w:rPr>
              <w:t xml:space="preserve">2025 PERFORMANCE RSUs </w:t>
            </w:r>
            <w:r>
              <w:rPr>
                <w:rFonts w:ascii="Calibri" w:cs="Calibri" w:eastAsia="Calibri" w:hAnsi="Calibri"/>
                <w:sz w:val="15"/>
                <w:szCs w:val="15"/>
                <w:b w:val="1"/>
                <w:bCs w:val="1"/>
                <w:color w:val="0591DB"/>
                <w:w w:val="94"/>
              </w:rPr>
              <w:t>(1)</w:t>
            </w:r>
          </w:p>
        </w:tc>
        <w:tc>
          <w:tcPr>
            <w:tcW w:w="1100" w:type="dxa"/>
            <w:vAlign w:val="bottom"/>
            <w:tcBorders>
              <w:right w:val="single" w:sz="8" w:color="0591DB"/>
            </w:tcBorders>
          </w:tcPr>
          <w:p>
            <w:pPr>
              <w:spacing w:after="0"/>
              <w:rPr>
                <w:sz w:val="21"/>
                <w:szCs w:val="21"/>
                <w:color w:val="auto"/>
              </w:rPr>
            </w:pPr>
          </w:p>
        </w:tc>
        <w:tc>
          <w:tcPr>
            <w:tcW w:w="2060" w:type="dxa"/>
            <w:vAlign w:val="bottom"/>
          </w:tcPr>
          <w:p>
            <w:pPr>
              <w:jc w:val="center"/>
              <w:spacing w:after="0" w:line="244" w:lineRule="exact"/>
              <w:rPr>
                <w:sz w:val="20"/>
                <w:szCs w:val="20"/>
                <w:color w:val="auto"/>
              </w:rPr>
            </w:pPr>
            <w:r>
              <w:rPr>
                <w:rFonts w:ascii="Calibri" w:cs="Calibri" w:eastAsia="Calibri" w:hAnsi="Calibri"/>
                <w:sz w:val="21"/>
                <w:szCs w:val="21"/>
                <w:b w:val="1"/>
                <w:bCs w:val="1"/>
                <w:color w:val="0591DB"/>
                <w:w w:val="94"/>
              </w:rPr>
              <w:t>(OTHER NEOs)</w:t>
            </w:r>
          </w:p>
        </w:tc>
        <w:tc>
          <w:tcPr>
            <w:tcW w:w="20" w:type="dxa"/>
            <w:vAlign w:val="bottom"/>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20" w:type="dxa"/>
            <w:vAlign w:val="bottom"/>
            <w:tcBorders>
              <w:left w:val="single" w:sz="8" w:color="0591DB"/>
              <w:bottom w:val="single" w:sz="8" w:color="0591DB"/>
            </w:tcBorders>
          </w:tcPr>
          <w:p>
            <w:pPr>
              <w:spacing w:after="0"/>
              <w:rPr>
                <w:sz w:val="8"/>
                <w:szCs w:val="8"/>
                <w:color w:val="auto"/>
              </w:rPr>
            </w:pPr>
          </w:p>
        </w:tc>
        <w:tc>
          <w:tcPr>
            <w:tcW w:w="360" w:type="dxa"/>
            <w:vAlign w:val="bottom"/>
            <w:tcBorders>
              <w:bottom w:val="single" w:sz="8" w:color="0591DB"/>
              <w:right w:val="single" w:sz="8" w:color="0591DB"/>
            </w:tcBorders>
          </w:tcPr>
          <w:p>
            <w:pPr>
              <w:spacing w:after="0"/>
              <w:rPr>
                <w:sz w:val="8"/>
                <w:szCs w:val="8"/>
                <w:color w:val="auto"/>
              </w:rPr>
            </w:pPr>
          </w:p>
        </w:tc>
        <w:tc>
          <w:tcPr>
            <w:tcW w:w="1580" w:type="dxa"/>
            <w:vAlign w:val="bottom"/>
            <w:tcBorders>
              <w:bottom w:val="single" w:sz="8" w:color="0591DB"/>
            </w:tcBorders>
          </w:tcPr>
          <w:p>
            <w:pPr>
              <w:spacing w:after="0"/>
              <w:rPr>
                <w:sz w:val="8"/>
                <w:szCs w:val="8"/>
                <w:color w:val="auto"/>
              </w:rPr>
            </w:pPr>
          </w:p>
        </w:tc>
        <w:tc>
          <w:tcPr>
            <w:tcW w:w="360" w:type="dxa"/>
            <w:vAlign w:val="bottom"/>
            <w:tcBorders>
              <w:bottom w:val="single" w:sz="8" w:color="0591DB"/>
            </w:tcBorders>
          </w:tcPr>
          <w:p>
            <w:pPr>
              <w:spacing w:after="0"/>
              <w:rPr>
                <w:sz w:val="8"/>
                <w:szCs w:val="8"/>
                <w:color w:val="auto"/>
              </w:rPr>
            </w:pPr>
          </w:p>
        </w:tc>
        <w:tc>
          <w:tcPr>
            <w:tcW w:w="1080" w:type="dxa"/>
            <w:vAlign w:val="bottom"/>
            <w:tcBorders>
              <w:bottom w:val="single" w:sz="8" w:color="0591DB"/>
            </w:tcBorders>
          </w:tcPr>
          <w:p>
            <w:pPr>
              <w:spacing w:after="0"/>
              <w:rPr>
                <w:sz w:val="8"/>
                <w:szCs w:val="8"/>
                <w:color w:val="auto"/>
              </w:rPr>
            </w:pPr>
          </w:p>
        </w:tc>
        <w:tc>
          <w:tcPr>
            <w:tcW w:w="120" w:type="dxa"/>
            <w:vAlign w:val="bottom"/>
            <w:tcBorders>
              <w:bottom w:val="single" w:sz="8" w:color="0591DB"/>
            </w:tcBorders>
          </w:tcPr>
          <w:p>
            <w:pPr>
              <w:spacing w:after="0"/>
              <w:rPr>
                <w:sz w:val="8"/>
                <w:szCs w:val="8"/>
                <w:color w:val="auto"/>
              </w:rPr>
            </w:pPr>
          </w:p>
        </w:tc>
        <w:tc>
          <w:tcPr>
            <w:tcW w:w="1420" w:type="dxa"/>
            <w:vAlign w:val="bottom"/>
            <w:tcBorders>
              <w:bottom w:val="single" w:sz="8" w:color="0591DB"/>
              <w:right w:val="single" w:sz="8" w:color="0591DB"/>
            </w:tcBorders>
            <w:gridSpan w:val="2"/>
          </w:tcPr>
          <w:p>
            <w:pPr>
              <w:spacing w:after="0"/>
              <w:rPr>
                <w:sz w:val="8"/>
                <w:szCs w:val="8"/>
                <w:color w:val="auto"/>
              </w:rPr>
            </w:pPr>
          </w:p>
        </w:tc>
        <w:tc>
          <w:tcPr>
            <w:tcW w:w="206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tcBorders>
              <w:left w:val="single" w:sz="8" w:color="0591DB"/>
            </w:tcBorders>
          </w:tcPr>
          <w:p>
            <w:pPr>
              <w:spacing w:after="0"/>
              <w:rPr>
                <w:sz w:val="17"/>
                <w:szCs w:val="17"/>
                <w:color w:val="auto"/>
              </w:rPr>
            </w:pPr>
          </w:p>
        </w:tc>
        <w:tc>
          <w:tcPr>
            <w:tcW w:w="360" w:type="dxa"/>
            <w:vAlign w:val="bottom"/>
            <w:tcBorders>
              <w:right w:val="single" w:sz="8" w:color="0591DB"/>
            </w:tcBorders>
          </w:tcPr>
          <w:p>
            <w:pPr>
              <w:spacing w:after="0"/>
              <w:rPr>
                <w:sz w:val="17"/>
                <w:szCs w:val="17"/>
                <w:color w:val="auto"/>
              </w:rPr>
            </w:pPr>
          </w:p>
        </w:tc>
        <w:tc>
          <w:tcPr>
            <w:tcW w:w="1580" w:type="dxa"/>
            <w:vAlign w:val="bottom"/>
            <w:tcBorders>
              <w:right w:val="single" w:sz="8" w:color="0591DB"/>
            </w:tcBorders>
          </w:tcPr>
          <w:p>
            <w:pPr>
              <w:jc w:val="center"/>
              <w:spacing w:after="0" w:line="201" w:lineRule="exact"/>
              <w:rPr>
                <w:sz w:val="20"/>
                <w:szCs w:val="20"/>
                <w:color w:val="auto"/>
              </w:rPr>
            </w:pPr>
            <w:r>
              <w:rPr>
                <w:rFonts w:ascii="Calibri" w:cs="Calibri" w:eastAsia="Calibri" w:hAnsi="Calibri"/>
                <w:sz w:val="21"/>
                <w:szCs w:val="21"/>
                <w:b w:val="1"/>
                <w:bCs w:val="1"/>
                <w:color w:val="0591DB"/>
                <w:w w:val="96"/>
              </w:rPr>
              <w:t>THRESHOLD</w:t>
            </w:r>
          </w:p>
        </w:tc>
        <w:tc>
          <w:tcPr>
            <w:tcW w:w="360" w:type="dxa"/>
            <w:vAlign w:val="bottom"/>
          </w:tcPr>
          <w:p>
            <w:pPr>
              <w:spacing w:after="0"/>
              <w:rPr>
                <w:sz w:val="17"/>
                <w:szCs w:val="17"/>
                <w:color w:val="auto"/>
              </w:rPr>
            </w:pPr>
          </w:p>
        </w:tc>
        <w:tc>
          <w:tcPr>
            <w:tcW w:w="1080" w:type="dxa"/>
            <w:vAlign w:val="bottom"/>
            <w:tcBorders>
              <w:right w:val="single" w:sz="8" w:color="0591DB"/>
            </w:tcBorders>
          </w:tcPr>
          <w:p>
            <w:pPr>
              <w:jc w:val="center"/>
              <w:ind w:right="297"/>
              <w:spacing w:after="0" w:line="201" w:lineRule="exact"/>
              <w:rPr>
                <w:sz w:val="20"/>
                <w:szCs w:val="20"/>
                <w:color w:val="auto"/>
              </w:rPr>
            </w:pPr>
            <w:r>
              <w:rPr>
                <w:rFonts w:ascii="Calibri" w:cs="Calibri" w:eastAsia="Calibri" w:hAnsi="Calibri"/>
                <w:sz w:val="21"/>
                <w:szCs w:val="21"/>
                <w:b w:val="1"/>
                <w:bCs w:val="1"/>
                <w:color w:val="0591DB"/>
                <w:w w:val="92"/>
              </w:rPr>
              <w:t>TARGET</w:t>
            </w:r>
          </w:p>
        </w:tc>
        <w:tc>
          <w:tcPr>
            <w:tcW w:w="120" w:type="dxa"/>
            <w:vAlign w:val="bottom"/>
          </w:tcPr>
          <w:p>
            <w:pPr>
              <w:spacing w:after="0"/>
              <w:rPr>
                <w:sz w:val="17"/>
                <w:szCs w:val="17"/>
                <w:color w:val="auto"/>
              </w:rPr>
            </w:pPr>
          </w:p>
        </w:tc>
        <w:tc>
          <w:tcPr>
            <w:tcW w:w="1420" w:type="dxa"/>
            <w:vAlign w:val="bottom"/>
            <w:tcBorders>
              <w:right w:val="single" w:sz="8" w:color="0591DB"/>
            </w:tcBorders>
            <w:gridSpan w:val="2"/>
          </w:tcPr>
          <w:p>
            <w:pPr>
              <w:jc w:val="center"/>
              <w:ind w:right="61"/>
              <w:spacing w:after="0" w:line="201" w:lineRule="exact"/>
              <w:rPr>
                <w:sz w:val="20"/>
                <w:szCs w:val="20"/>
                <w:color w:val="auto"/>
              </w:rPr>
            </w:pPr>
            <w:r>
              <w:rPr>
                <w:rFonts w:ascii="Calibri" w:cs="Calibri" w:eastAsia="Calibri" w:hAnsi="Calibri"/>
                <w:sz w:val="21"/>
                <w:szCs w:val="21"/>
                <w:b w:val="1"/>
                <w:bCs w:val="1"/>
                <w:color w:val="0591DB"/>
                <w:w w:val="95"/>
              </w:rPr>
              <w:t>MAXIMUM</w:t>
            </w:r>
          </w:p>
        </w:tc>
        <w:tc>
          <w:tcPr>
            <w:tcW w:w="2060" w:type="dxa"/>
            <w:vAlign w:val="bottom"/>
          </w:tcPr>
          <w:p>
            <w:pPr>
              <w:spacing w:after="0"/>
              <w:rPr>
                <w:sz w:val="17"/>
                <w:szCs w:val="17"/>
                <w:color w:val="auto"/>
              </w:rPr>
            </w:pP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tcBorders>
              <w:left w:val="single" w:sz="8" w:color="0591DB"/>
            </w:tcBorders>
          </w:tcPr>
          <w:p>
            <w:pPr>
              <w:spacing w:after="0"/>
              <w:rPr>
                <w:sz w:val="21"/>
                <w:szCs w:val="21"/>
                <w:color w:val="auto"/>
              </w:rPr>
            </w:pPr>
          </w:p>
        </w:tc>
        <w:tc>
          <w:tcPr>
            <w:tcW w:w="360" w:type="dxa"/>
            <w:vAlign w:val="bottom"/>
            <w:tcBorders>
              <w:right w:val="single" w:sz="8" w:color="0591DB"/>
            </w:tcBorders>
          </w:tcPr>
          <w:p>
            <w:pPr>
              <w:spacing w:after="0"/>
              <w:rPr>
                <w:sz w:val="21"/>
                <w:szCs w:val="21"/>
                <w:color w:val="auto"/>
              </w:rPr>
            </w:pPr>
          </w:p>
        </w:tc>
        <w:tc>
          <w:tcPr>
            <w:tcW w:w="1580" w:type="dxa"/>
            <w:vAlign w:val="bottom"/>
            <w:tcBorders>
              <w:right w:val="single" w:sz="8" w:color="0591DB"/>
            </w:tcBorders>
          </w:tcPr>
          <w:p>
            <w:pPr>
              <w:jc w:val="right"/>
              <w:ind w:right="487"/>
              <w:spacing w:after="0" w:line="244" w:lineRule="exact"/>
              <w:rPr>
                <w:sz w:val="20"/>
                <w:szCs w:val="20"/>
                <w:color w:val="auto"/>
              </w:rPr>
            </w:pPr>
            <w:r>
              <w:rPr>
                <w:rFonts w:ascii="Calibri" w:cs="Calibri" w:eastAsia="Calibri" w:hAnsi="Calibri"/>
                <w:sz w:val="21"/>
                <w:szCs w:val="21"/>
                <w:b w:val="1"/>
                <w:bCs w:val="1"/>
                <w:color w:val="0591DB"/>
              </w:rPr>
              <w:t>(50%)</w:t>
            </w:r>
          </w:p>
        </w:tc>
        <w:tc>
          <w:tcPr>
            <w:tcW w:w="360" w:type="dxa"/>
            <w:vAlign w:val="bottom"/>
          </w:tcPr>
          <w:p>
            <w:pPr>
              <w:spacing w:after="0"/>
              <w:rPr>
                <w:sz w:val="21"/>
                <w:szCs w:val="21"/>
                <w:color w:val="auto"/>
              </w:rPr>
            </w:pPr>
          </w:p>
        </w:tc>
        <w:tc>
          <w:tcPr>
            <w:tcW w:w="1080" w:type="dxa"/>
            <w:vAlign w:val="bottom"/>
            <w:tcBorders>
              <w:right w:val="single" w:sz="8" w:color="0591DB"/>
            </w:tcBorders>
          </w:tcPr>
          <w:p>
            <w:pPr>
              <w:jc w:val="right"/>
              <w:ind w:right="337"/>
              <w:spacing w:after="0" w:line="244" w:lineRule="exact"/>
              <w:rPr>
                <w:sz w:val="20"/>
                <w:szCs w:val="20"/>
                <w:color w:val="auto"/>
              </w:rPr>
            </w:pPr>
            <w:r>
              <w:rPr>
                <w:rFonts w:ascii="Calibri" w:cs="Calibri" w:eastAsia="Calibri" w:hAnsi="Calibri"/>
                <w:sz w:val="21"/>
                <w:szCs w:val="21"/>
                <w:b w:val="1"/>
                <w:bCs w:val="1"/>
                <w:color w:val="0591DB"/>
              </w:rPr>
              <w:t>(100%)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Borders>
              <w:right w:val="single" w:sz="8" w:color="0591DB"/>
            </w:tcBorders>
          </w:tcPr>
          <w:p>
            <w:pPr>
              <w:jc w:val="right"/>
              <w:ind w:right="401"/>
              <w:spacing w:after="0" w:line="244" w:lineRule="exact"/>
              <w:rPr>
                <w:sz w:val="20"/>
                <w:szCs w:val="20"/>
                <w:color w:val="auto"/>
              </w:rPr>
            </w:pPr>
            <w:r>
              <w:rPr>
                <w:rFonts w:ascii="Calibri" w:cs="Calibri" w:eastAsia="Calibri" w:hAnsi="Calibri"/>
                <w:sz w:val="21"/>
                <w:szCs w:val="21"/>
                <w:b w:val="1"/>
                <w:bCs w:val="1"/>
                <w:color w:val="0591DB"/>
                <w:w w:val="96"/>
              </w:rPr>
              <w:t>(150%)</w:t>
            </w:r>
          </w:p>
        </w:tc>
        <w:tc>
          <w:tcPr>
            <w:tcW w:w="2060" w:type="dxa"/>
            <w:vAlign w:val="bottom"/>
          </w:tcPr>
          <w:p>
            <w:pPr>
              <w:spacing w:after="0"/>
              <w:rPr>
                <w:sz w:val="21"/>
                <w:szCs w:val="21"/>
                <w:color w:val="auto"/>
              </w:rPr>
            </w:pPr>
          </w:p>
        </w:tc>
        <w:tc>
          <w:tcPr>
            <w:tcW w:w="20" w:type="dxa"/>
            <w:vAlign w:val="bottom"/>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20" w:type="dxa"/>
            <w:vAlign w:val="bottom"/>
            <w:tcBorders>
              <w:left w:val="single" w:sz="8" w:color="0591DB"/>
              <w:bottom w:val="single" w:sz="8" w:color="0591DB"/>
            </w:tcBorders>
          </w:tcPr>
          <w:p>
            <w:pPr>
              <w:spacing w:after="0"/>
              <w:rPr>
                <w:sz w:val="9"/>
                <w:szCs w:val="9"/>
                <w:color w:val="auto"/>
              </w:rPr>
            </w:pPr>
          </w:p>
        </w:tc>
        <w:tc>
          <w:tcPr>
            <w:tcW w:w="360" w:type="dxa"/>
            <w:vAlign w:val="bottom"/>
            <w:tcBorders>
              <w:bottom w:val="single" w:sz="8" w:color="0591DB"/>
              <w:right w:val="single" w:sz="8" w:color="0591DB"/>
            </w:tcBorders>
          </w:tcPr>
          <w:p>
            <w:pPr>
              <w:spacing w:after="0"/>
              <w:rPr>
                <w:sz w:val="9"/>
                <w:szCs w:val="9"/>
                <w:color w:val="auto"/>
              </w:rPr>
            </w:pPr>
          </w:p>
        </w:tc>
        <w:tc>
          <w:tcPr>
            <w:tcW w:w="1580" w:type="dxa"/>
            <w:vAlign w:val="bottom"/>
            <w:tcBorders>
              <w:bottom w:val="single" w:sz="8" w:color="0591DB"/>
              <w:right w:val="single" w:sz="8" w:color="0591DB"/>
            </w:tcBorders>
          </w:tcPr>
          <w:p>
            <w:pPr>
              <w:spacing w:after="0"/>
              <w:rPr>
                <w:sz w:val="9"/>
                <w:szCs w:val="9"/>
                <w:color w:val="auto"/>
              </w:rPr>
            </w:pPr>
          </w:p>
        </w:tc>
        <w:tc>
          <w:tcPr>
            <w:tcW w:w="360" w:type="dxa"/>
            <w:vAlign w:val="bottom"/>
            <w:tcBorders>
              <w:bottom w:val="single" w:sz="8" w:color="0591DB"/>
            </w:tcBorders>
          </w:tcPr>
          <w:p>
            <w:pPr>
              <w:spacing w:after="0"/>
              <w:rPr>
                <w:sz w:val="9"/>
                <w:szCs w:val="9"/>
                <w:color w:val="auto"/>
              </w:rPr>
            </w:pPr>
          </w:p>
        </w:tc>
        <w:tc>
          <w:tcPr>
            <w:tcW w:w="1080" w:type="dxa"/>
            <w:vAlign w:val="bottom"/>
            <w:tcBorders>
              <w:bottom w:val="single" w:sz="8" w:color="0591DB"/>
              <w:right w:val="single" w:sz="8" w:color="0591DB"/>
            </w:tcBorders>
          </w:tcPr>
          <w:p>
            <w:pPr>
              <w:spacing w:after="0"/>
              <w:rPr>
                <w:sz w:val="9"/>
                <w:szCs w:val="9"/>
                <w:color w:val="auto"/>
              </w:rPr>
            </w:pPr>
          </w:p>
        </w:tc>
        <w:tc>
          <w:tcPr>
            <w:tcW w:w="120" w:type="dxa"/>
            <w:vAlign w:val="bottom"/>
            <w:tcBorders>
              <w:bottom w:val="single" w:sz="8" w:color="0591DB"/>
            </w:tcBorders>
          </w:tcPr>
          <w:p>
            <w:pPr>
              <w:spacing w:after="0"/>
              <w:rPr>
                <w:sz w:val="9"/>
                <w:szCs w:val="9"/>
                <w:color w:val="auto"/>
              </w:rPr>
            </w:pPr>
          </w:p>
        </w:tc>
        <w:tc>
          <w:tcPr>
            <w:tcW w:w="320" w:type="dxa"/>
            <w:vAlign w:val="bottom"/>
            <w:tcBorders>
              <w:bottom w:val="single" w:sz="8" w:color="0591DB"/>
            </w:tcBorders>
          </w:tcPr>
          <w:p>
            <w:pPr>
              <w:spacing w:after="0"/>
              <w:rPr>
                <w:sz w:val="9"/>
                <w:szCs w:val="9"/>
                <w:color w:val="auto"/>
              </w:rPr>
            </w:pPr>
          </w:p>
        </w:tc>
        <w:tc>
          <w:tcPr>
            <w:tcW w:w="1100" w:type="dxa"/>
            <w:vAlign w:val="bottom"/>
            <w:tcBorders>
              <w:bottom w:val="single" w:sz="8" w:color="0591DB"/>
              <w:right w:val="single" w:sz="8" w:color="0591DB"/>
            </w:tcBorders>
          </w:tcPr>
          <w:p>
            <w:pPr>
              <w:spacing w:after="0"/>
              <w:rPr>
                <w:sz w:val="9"/>
                <w:szCs w:val="9"/>
                <w:color w:val="auto"/>
              </w:rPr>
            </w:pPr>
          </w:p>
        </w:tc>
        <w:tc>
          <w:tcPr>
            <w:tcW w:w="2060" w:type="dxa"/>
            <w:vAlign w:val="bottom"/>
            <w:tcBorders>
              <w:bottom w:val="single" w:sz="8" w:color="0591DB"/>
            </w:tcBorders>
          </w:tcPr>
          <w:p>
            <w:pPr>
              <w:spacing w:after="0"/>
              <w:rPr>
                <w:sz w:val="9"/>
                <w:szCs w:val="9"/>
                <w:color w:val="auto"/>
              </w:rPr>
            </w:pPr>
          </w:p>
        </w:tc>
        <w:tc>
          <w:tcPr>
            <w:tcW w:w="20" w:type="dxa"/>
            <w:vAlign w:val="bottom"/>
            <w:tcBorders>
              <w:bottom w:val="single" w:sz="8" w:color="0591DB"/>
            </w:tcBorders>
            <w:shd w:val="clear" w:color="auto" w:fill="0591DB"/>
          </w:tcPr>
          <w:p>
            <w:pPr>
              <w:spacing w:after="0"/>
              <w:rPr>
                <w:sz w:val="9"/>
                <w:szCs w:val="9"/>
                <w:color w:val="auto"/>
              </w:rPr>
            </w:pPr>
          </w:p>
        </w:tc>
        <w:tc>
          <w:tcPr>
            <w:tcW w:w="0" w:type="dxa"/>
            <w:vAlign w:val="bottom"/>
          </w:tcPr>
          <w:p>
            <w:pPr>
              <w:spacing w:after="0"/>
              <w:rPr>
                <w:sz w:val="1"/>
                <w:szCs w:val="1"/>
                <w:color w:val="auto"/>
              </w:rPr>
            </w:pPr>
          </w:p>
        </w:tc>
      </w:tr>
    </w:tbl>
    <w:p>
      <w:pPr>
        <w:ind w:left="260" w:hanging="93"/>
        <w:spacing w:after="0" w:line="203" w:lineRule="auto"/>
        <w:tabs>
          <w:tab w:leader="none" w:pos="260" w:val="left"/>
        </w:tabs>
        <w:numPr>
          <w:ilvl w:val="0"/>
          <w:numId w:val="95"/>
        </w:numPr>
        <w:rPr>
          <w:rFonts w:ascii="Calibri" w:cs="Calibri" w:eastAsia="Calibri" w:hAnsi="Calibri"/>
          <w:sz w:val="17"/>
          <w:szCs w:val="17"/>
          <w:b w:val="1"/>
          <w:bCs w:val="1"/>
          <w:color w:val="333333"/>
        </w:rPr>
      </w:pPr>
      <w:r>
        <w:rPr>
          <w:rFonts w:ascii="Calibri" w:cs="Calibri" w:eastAsia="Calibri" w:hAnsi="Calibri"/>
          <w:sz w:val="17"/>
          <w:szCs w:val="17"/>
          <w:b w:val="1"/>
          <w:bCs w:val="1"/>
          <w:color w:val="0591DB"/>
        </w:rPr>
        <w:t>Steven H. Gunby</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Calibri" w:cs="Calibri" w:eastAsia="Calibri" w:hAnsi="Calibri"/>
                <w:sz w:val="17"/>
                <w:szCs w:val="17"/>
                <w:i w:val="1"/>
                <w:iCs w:val="1"/>
                <w:color w:val="333333"/>
              </w:rPr>
              <w:t>Number of LTIP Awards</w:t>
            </w:r>
          </w:p>
        </w:tc>
        <w:tc>
          <w:tcPr>
            <w:tcW w:w="1560" w:type="dxa"/>
            <w:vAlign w:val="bottom"/>
          </w:tcPr>
          <w:p>
            <w:pPr>
              <w:jc w:val="center"/>
              <w:spacing w:after="0"/>
              <w:rPr>
                <w:sz w:val="20"/>
                <w:szCs w:val="20"/>
                <w:color w:val="auto"/>
              </w:rPr>
            </w:pPr>
            <w:r>
              <w:rPr>
                <w:rFonts w:ascii="Calibri" w:cs="Calibri" w:eastAsia="Calibri" w:hAnsi="Calibri"/>
                <w:sz w:val="17"/>
                <w:szCs w:val="17"/>
                <w:color w:val="333333"/>
              </w:rPr>
              <w:t>14,902</w:t>
            </w:r>
          </w:p>
        </w:tc>
        <w:tc>
          <w:tcPr>
            <w:tcW w:w="1500" w:type="dxa"/>
            <w:vAlign w:val="bottom"/>
          </w:tcPr>
          <w:p>
            <w:pPr>
              <w:jc w:val="center"/>
              <w:spacing w:after="0"/>
              <w:rPr>
                <w:sz w:val="20"/>
                <w:szCs w:val="20"/>
                <w:color w:val="auto"/>
              </w:rPr>
            </w:pPr>
            <w:r>
              <w:rPr>
                <w:rFonts w:ascii="Calibri" w:cs="Calibri" w:eastAsia="Calibri" w:hAnsi="Calibri"/>
                <w:sz w:val="17"/>
                <w:szCs w:val="17"/>
                <w:color w:val="333333"/>
              </w:rPr>
              <w:t>29,805</w:t>
            </w:r>
          </w:p>
        </w:tc>
        <w:tc>
          <w:tcPr>
            <w:tcW w:w="1660" w:type="dxa"/>
            <w:vAlign w:val="bottom"/>
          </w:tcPr>
          <w:p>
            <w:pPr>
              <w:jc w:val="center"/>
              <w:ind w:right="95"/>
              <w:spacing w:after="0"/>
              <w:rPr>
                <w:sz w:val="20"/>
                <w:szCs w:val="20"/>
                <w:color w:val="auto"/>
              </w:rPr>
            </w:pPr>
            <w:r>
              <w:rPr>
                <w:rFonts w:ascii="Calibri" w:cs="Calibri" w:eastAsia="Calibri" w:hAnsi="Calibri"/>
                <w:sz w:val="17"/>
                <w:szCs w:val="17"/>
                <w:color w:val="333333"/>
              </w:rPr>
              <w:t>44,707</w:t>
            </w:r>
          </w:p>
        </w:tc>
        <w:tc>
          <w:tcPr>
            <w:tcW w:w="1920" w:type="dxa"/>
            <w:vAlign w:val="bottom"/>
          </w:tcPr>
          <w:p>
            <w:pPr>
              <w:jc w:val="center"/>
              <w:ind w:right="15"/>
              <w:spacing w:after="0"/>
              <w:rPr>
                <w:sz w:val="20"/>
                <w:szCs w:val="20"/>
                <w:color w:val="auto"/>
              </w:rPr>
            </w:pPr>
            <w:r>
              <w:rPr>
                <w:rFonts w:ascii="Calibri" w:cs="Calibri" w:eastAsia="Calibri" w:hAnsi="Calibri"/>
                <w:sz w:val="17"/>
                <w:szCs w:val="17"/>
                <w:color w:val="333333"/>
              </w:rPr>
              <w:t>13,740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60" w:type="dxa"/>
            <w:vAlign w:val="bottom"/>
          </w:tcPr>
          <w:p>
            <w:pPr>
              <w:ind w:left="320"/>
              <w:spacing w:after="0"/>
              <w:rPr>
                <w:sz w:val="20"/>
                <w:szCs w:val="20"/>
                <w:color w:val="auto"/>
              </w:rPr>
            </w:pPr>
            <w:r>
              <w:rPr>
                <w:rFonts w:ascii="Calibri" w:cs="Calibri" w:eastAsia="Calibri" w:hAnsi="Calibri"/>
                <w:sz w:val="17"/>
                <w:szCs w:val="17"/>
                <w:i w:val="1"/>
                <w:iCs w:val="1"/>
                <w:color w:val="333333"/>
              </w:rPr>
              <w:t>Grant Date Fair Value</w:t>
            </w:r>
          </w:p>
        </w:tc>
        <w:tc>
          <w:tcPr>
            <w:tcW w:w="1560" w:type="dxa"/>
            <w:vAlign w:val="bottom"/>
          </w:tcPr>
          <w:p>
            <w:pPr>
              <w:jc w:val="center"/>
              <w:spacing w:after="0"/>
              <w:rPr>
                <w:sz w:val="20"/>
                <w:szCs w:val="20"/>
                <w:color w:val="auto"/>
              </w:rPr>
            </w:pPr>
            <w:r>
              <w:rPr>
                <w:rFonts w:ascii="Calibri" w:cs="Calibri" w:eastAsia="Calibri" w:hAnsi="Calibri"/>
                <w:sz w:val="17"/>
                <w:szCs w:val="17"/>
                <w:color w:val="333333"/>
              </w:rPr>
              <w:t>$2,333,333</w:t>
            </w:r>
          </w:p>
        </w:tc>
        <w:tc>
          <w:tcPr>
            <w:tcW w:w="1500" w:type="dxa"/>
            <w:vAlign w:val="bottom"/>
          </w:tcPr>
          <w:p>
            <w:pPr>
              <w:jc w:val="center"/>
              <w:spacing w:after="0"/>
              <w:rPr>
                <w:sz w:val="20"/>
                <w:szCs w:val="20"/>
                <w:color w:val="auto"/>
              </w:rPr>
            </w:pPr>
            <w:r>
              <w:rPr>
                <w:rFonts w:ascii="Calibri" w:cs="Calibri" w:eastAsia="Calibri" w:hAnsi="Calibri"/>
                <w:sz w:val="17"/>
                <w:szCs w:val="17"/>
                <w:color w:val="333333"/>
              </w:rPr>
              <w:t>$4,666,667</w:t>
            </w:r>
          </w:p>
        </w:tc>
        <w:tc>
          <w:tcPr>
            <w:tcW w:w="1660" w:type="dxa"/>
            <w:vAlign w:val="bottom"/>
          </w:tcPr>
          <w:p>
            <w:pPr>
              <w:jc w:val="center"/>
              <w:ind w:right="95"/>
              <w:spacing w:after="0"/>
              <w:rPr>
                <w:sz w:val="20"/>
                <w:szCs w:val="20"/>
                <w:color w:val="auto"/>
              </w:rPr>
            </w:pPr>
            <w:r>
              <w:rPr>
                <w:rFonts w:ascii="Calibri" w:cs="Calibri" w:eastAsia="Calibri" w:hAnsi="Calibri"/>
                <w:sz w:val="17"/>
                <w:szCs w:val="17"/>
                <w:color w:val="333333"/>
              </w:rPr>
              <w:t>$7,000,000</w:t>
            </w:r>
          </w:p>
        </w:tc>
        <w:tc>
          <w:tcPr>
            <w:tcW w:w="1920" w:type="dxa"/>
            <w:vAlign w:val="bottom"/>
          </w:tcPr>
          <w:p>
            <w:pPr>
              <w:jc w:val="center"/>
              <w:ind w:right="15"/>
              <w:spacing w:after="0"/>
              <w:rPr>
                <w:sz w:val="20"/>
                <w:szCs w:val="20"/>
                <w:color w:val="auto"/>
              </w:rPr>
            </w:pPr>
            <w:r>
              <w:rPr>
                <w:rFonts w:ascii="Calibri" w:cs="Calibri" w:eastAsia="Calibri" w:hAnsi="Calibri"/>
                <w:sz w:val="17"/>
                <w:szCs w:val="17"/>
                <w:color w:val="333333"/>
              </w:rPr>
              <w:t>$2,333,333</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 xml:space="preserve">  </w:t>
            </w:r>
            <w:r>
              <w:rPr>
                <w:rFonts w:ascii="Calibri" w:cs="Calibri" w:eastAsia="Calibri" w:hAnsi="Calibri"/>
                <w:sz w:val="17"/>
                <w:szCs w:val="17"/>
                <w:b w:val="1"/>
                <w:bCs w:val="1"/>
                <w:color w:val="0591DB"/>
              </w:rPr>
              <w:t>Paul Linton</w:t>
            </w:r>
          </w:p>
        </w:tc>
        <w:tc>
          <w:tcPr>
            <w:tcW w:w="1560" w:type="dxa"/>
            <w:vAlign w:val="bottom"/>
            <w:shd w:val="clear" w:color="auto" w:fill="EFF2EF"/>
          </w:tcPr>
          <w:p>
            <w:pPr>
              <w:spacing w:after="0"/>
              <w:rPr>
                <w:sz w:val="17"/>
                <w:szCs w:val="17"/>
                <w:color w:val="auto"/>
              </w:rPr>
            </w:pPr>
          </w:p>
        </w:tc>
        <w:tc>
          <w:tcPr>
            <w:tcW w:w="1500" w:type="dxa"/>
            <w:vAlign w:val="bottom"/>
            <w:shd w:val="clear" w:color="auto" w:fill="EFF2EF"/>
          </w:tcPr>
          <w:p>
            <w:pPr>
              <w:spacing w:after="0"/>
              <w:rPr>
                <w:sz w:val="17"/>
                <w:szCs w:val="17"/>
                <w:color w:val="auto"/>
              </w:rPr>
            </w:pPr>
          </w:p>
        </w:tc>
        <w:tc>
          <w:tcPr>
            <w:tcW w:w="1660" w:type="dxa"/>
            <w:vAlign w:val="bottom"/>
            <w:shd w:val="clear" w:color="auto" w:fill="EFF2EF"/>
          </w:tcPr>
          <w:p>
            <w:pPr>
              <w:spacing w:after="0"/>
              <w:rPr>
                <w:sz w:val="17"/>
                <w:szCs w:val="17"/>
                <w:color w:val="auto"/>
              </w:rPr>
            </w:pPr>
          </w:p>
        </w:tc>
        <w:tc>
          <w:tcPr>
            <w:tcW w:w="1920" w:type="dxa"/>
            <w:vAlign w:val="bottom"/>
            <w:shd w:val="clear" w:color="auto" w:fill="EFF2E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60" w:type="dxa"/>
            <w:vAlign w:val="bottom"/>
            <w:shd w:val="clear" w:color="auto" w:fill="EFF2EF"/>
          </w:tcPr>
          <w:p>
            <w:pPr>
              <w:ind w:left="320"/>
              <w:spacing w:after="0"/>
              <w:rPr>
                <w:sz w:val="20"/>
                <w:szCs w:val="20"/>
                <w:color w:val="auto"/>
              </w:rPr>
            </w:pPr>
            <w:r>
              <w:rPr>
                <w:rFonts w:ascii="Calibri" w:cs="Calibri" w:eastAsia="Calibri" w:hAnsi="Calibri"/>
                <w:sz w:val="17"/>
                <w:szCs w:val="17"/>
                <w:i w:val="1"/>
                <w:iCs w:val="1"/>
                <w:color w:val="333333"/>
              </w:rPr>
              <w:t>Number of LTIP Awards</w:t>
            </w:r>
          </w:p>
        </w:tc>
        <w:tc>
          <w:tcPr>
            <w:tcW w:w="156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w w:val="97"/>
              </w:rPr>
              <w:t>1,633</w:t>
            </w:r>
          </w:p>
        </w:tc>
        <w:tc>
          <w:tcPr>
            <w:tcW w:w="150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rPr>
              <w:t>3,267</w:t>
            </w:r>
          </w:p>
        </w:tc>
        <w:tc>
          <w:tcPr>
            <w:tcW w:w="1660" w:type="dxa"/>
            <w:vAlign w:val="bottom"/>
            <w:shd w:val="clear" w:color="auto" w:fill="EFF2EF"/>
          </w:tcPr>
          <w:p>
            <w:pPr>
              <w:jc w:val="center"/>
              <w:ind w:right="95"/>
              <w:spacing w:after="0"/>
              <w:rPr>
                <w:sz w:val="20"/>
                <w:szCs w:val="20"/>
                <w:color w:val="auto"/>
              </w:rPr>
            </w:pPr>
            <w:r>
              <w:rPr>
                <w:rFonts w:ascii="Calibri" w:cs="Calibri" w:eastAsia="Calibri" w:hAnsi="Calibri"/>
                <w:sz w:val="17"/>
                <w:szCs w:val="17"/>
                <w:color w:val="333333"/>
              </w:rPr>
              <w:t>4,900</w:t>
            </w:r>
          </w:p>
        </w:tc>
        <w:tc>
          <w:tcPr>
            <w:tcW w:w="1920" w:type="dxa"/>
            <w:vAlign w:val="bottom"/>
            <w:shd w:val="clear" w:color="auto" w:fill="EFF2EF"/>
          </w:tcPr>
          <w:p>
            <w:pPr>
              <w:jc w:val="center"/>
              <w:ind w:right="15"/>
              <w:spacing w:after="0"/>
              <w:rPr>
                <w:sz w:val="20"/>
                <w:szCs w:val="20"/>
                <w:color w:val="auto"/>
              </w:rPr>
            </w:pPr>
            <w:r>
              <w:rPr>
                <w:rFonts w:ascii="Calibri" w:cs="Calibri" w:eastAsia="Calibri" w:hAnsi="Calibri"/>
                <w:sz w:val="17"/>
                <w:szCs w:val="17"/>
                <w:color w:val="333333"/>
                <w:w w:val="97"/>
              </w:rPr>
              <w:t>2,061</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60" w:type="dxa"/>
            <w:vAlign w:val="bottom"/>
            <w:shd w:val="clear" w:color="auto" w:fill="EFF2EF"/>
          </w:tcPr>
          <w:p>
            <w:pPr>
              <w:ind w:left="320"/>
              <w:spacing w:after="0"/>
              <w:rPr>
                <w:sz w:val="20"/>
                <w:szCs w:val="20"/>
                <w:color w:val="auto"/>
              </w:rPr>
            </w:pPr>
            <w:r>
              <w:rPr>
                <w:rFonts w:ascii="Calibri" w:cs="Calibri" w:eastAsia="Calibri" w:hAnsi="Calibri"/>
                <w:sz w:val="17"/>
                <w:szCs w:val="17"/>
                <w:i w:val="1"/>
                <w:iCs w:val="1"/>
                <w:color w:val="333333"/>
              </w:rPr>
              <w:t>Grant Date Fair Value</w:t>
            </w:r>
          </w:p>
        </w:tc>
        <w:tc>
          <w:tcPr>
            <w:tcW w:w="156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rPr>
              <w:t>$262,500</w:t>
            </w:r>
          </w:p>
        </w:tc>
        <w:tc>
          <w:tcPr>
            <w:tcW w:w="150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w w:val="99"/>
              </w:rPr>
              <w:t>$525,000</w:t>
            </w:r>
          </w:p>
        </w:tc>
        <w:tc>
          <w:tcPr>
            <w:tcW w:w="1660" w:type="dxa"/>
            <w:vAlign w:val="bottom"/>
            <w:shd w:val="clear" w:color="auto" w:fill="EFF2EF"/>
          </w:tcPr>
          <w:p>
            <w:pPr>
              <w:jc w:val="center"/>
              <w:ind w:right="75"/>
              <w:spacing w:after="0"/>
              <w:rPr>
                <w:sz w:val="20"/>
                <w:szCs w:val="20"/>
                <w:color w:val="auto"/>
              </w:rPr>
            </w:pPr>
            <w:r>
              <w:rPr>
                <w:rFonts w:ascii="Calibri" w:cs="Calibri" w:eastAsia="Calibri" w:hAnsi="Calibri"/>
                <w:sz w:val="17"/>
                <w:szCs w:val="17"/>
                <w:color w:val="333333"/>
              </w:rPr>
              <w:t>$787,500</w:t>
            </w:r>
          </w:p>
        </w:tc>
        <w:tc>
          <w:tcPr>
            <w:tcW w:w="1920" w:type="dxa"/>
            <w:vAlign w:val="bottom"/>
            <w:shd w:val="clear" w:color="auto" w:fill="EFF2EF"/>
          </w:tcPr>
          <w:p>
            <w:pPr>
              <w:jc w:val="center"/>
              <w:ind w:right="15"/>
              <w:spacing w:after="0"/>
              <w:rPr>
                <w:sz w:val="20"/>
                <w:szCs w:val="20"/>
                <w:color w:val="auto"/>
              </w:rPr>
            </w:pPr>
            <w:r>
              <w:rPr>
                <w:rFonts w:ascii="Calibri" w:cs="Calibri" w:eastAsia="Calibri" w:hAnsi="Calibri"/>
                <w:sz w:val="17"/>
                <w:szCs w:val="17"/>
                <w:color w:val="333333"/>
              </w:rPr>
              <w:t>$350,000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260" w:type="dxa"/>
            <w:vAlign w:val="bottom"/>
            <w:shd w:val="clear" w:color="auto" w:fill="EFF2EF"/>
          </w:tcPr>
          <w:p>
            <w:pPr>
              <w:spacing w:after="0"/>
              <w:rPr>
                <w:sz w:val="7"/>
                <w:szCs w:val="7"/>
                <w:color w:val="auto"/>
              </w:rPr>
            </w:pPr>
          </w:p>
        </w:tc>
        <w:tc>
          <w:tcPr>
            <w:tcW w:w="1560" w:type="dxa"/>
            <w:vAlign w:val="bottom"/>
            <w:shd w:val="clear" w:color="auto" w:fill="EFF2EF"/>
          </w:tcPr>
          <w:p>
            <w:pPr>
              <w:spacing w:after="0"/>
              <w:rPr>
                <w:sz w:val="7"/>
                <w:szCs w:val="7"/>
                <w:color w:val="auto"/>
              </w:rPr>
            </w:pPr>
          </w:p>
        </w:tc>
        <w:tc>
          <w:tcPr>
            <w:tcW w:w="1500" w:type="dxa"/>
            <w:vAlign w:val="bottom"/>
            <w:shd w:val="clear" w:color="auto" w:fill="EFF2EF"/>
          </w:tcPr>
          <w:p>
            <w:pPr>
              <w:spacing w:after="0"/>
              <w:rPr>
                <w:sz w:val="7"/>
                <w:szCs w:val="7"/>
                <w:color w:val="auto"/>
              </w:rPr>
            </w:pPr>
          </w:p>
        </w:tc>
        <w:tc>
          <w:tcPr>
            <w:tcW w:w="1660" w:type="dxa"/>
            <w:vAlign w:val="bottom"/>
            <w:shd w:val="clear" w:color="auto" w:fill="EFF2EF"/>
          </w:tcPr>
          <w:p>
            <w:pPr>
              <w:spacing w:after="0"/>
              <w:rPr>
                <w:sz w:val="7"/>
                <w:szCs w:val="7"/>
                <w:color w:val="auto"/>
              </w:rPr>
            </w:pPr>
          </w:p>
        </w:tc>
        <w:tc>
          <w:tcPr>
            <w:tcW w:w="1920" w:type="dxa"/>
            <w:vAlign w:val="bottom"/>
            <w:shd w:val="clear" w:color="auto" w:fill="EFF2E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tcPr>
          <w:p>
            <w:pPr>
              <w:spacing w:after="0" w:line="203" w:lineRule="exact"/>
              <w:rPr>
                <w:sz w:val="20"/>
                <w:szCs w:val="20"/>
                <w:color w:val="auto"/>
              </w:rPr>
            </w:pPr>
            <w:r>
              <w:rPr>
                <w:rFonts w:ascii="Calibri" w:cs="Calibri" w:eastAsia="Calibri" w:hAnsi="Calibri"/>
                <w:sz w:val="17"/>
                <w:szCs w:val="17"/>
                <w:b w:val="1"/>
                <w:bCs w:val="1"/>
                <w:color w:val="333333"/>
              </w:rPr>
              <w:t xml:space="preserve">  </w:t>
            </w:r>
            <w:r>
              <w:rPr>
                <w:rFonts w:ascii="Calibri" w:cs="Calibri" w:eastAsia="Calibri" w:hAnsi="Calibri"/>
                <w:sz w:val="17"/>
                <w:szCs w:val="17"/>
                <w:b w:val="1"/>
                <w:bCs w:val="1"/>
                <w:color w:val="0591DB"/>
              </w:rPr>
              <w:t>Ajay Sabherwal</w:t>
            </w: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60" w:type="dxa"/>
            <w:vAlign w:val="bottom"/>
          </w:tcPr>
          <w:p>
            <w:pPr>
              <w:ind w:left="320"/>
              <w:spacing w:after="0"/>
              <w:rPr>
                <w:sz w:val="20"/>
                <w:szCs w:val="20"/>
                <w:color w:val="auto"/>
              </w:rPr>
            </w:pPr>
            <w:r>
              <w:rPr>
                <w:rFonts w:ascii="Calibri" w:cs="Calibri" w:eastAsia="Calibri" w:hAnsi="Calibri"/>
                <w:sz w:val="17"/>
                <w:szCs w:val="17"/>
                <w:i w:val="1"/>
                <w:iCs w:val="1"/>
                <w:color w:val="333333"/>
              </w:rPr>
              <w:t>Number of LTIP Awards</w:t>
            </w:r>
          </w:p>
        </w:tc>
        <w:tc>
          <w:tcPr>
            <w:tcW w:w="1560" w:type="dxa"/>
            <w:vAlign w:val="bottom"/>
          </w:tcPr>
          <w:p>
            <w:pPr>
              <w:jc w:val="center"/>
              <w:spacing w:after="0"/>
              <w:rPr>
                <w:sz w:val="20"/>
                <w:szCs w:val="20"/>
                <w:color w:val="auto"/>
              </w:rPr>
            </w:pPr>
            <w:r>
              <w:rPr>
                <w:rFonts w:ascii="Calibri" w:cs="Calibri" w:eastAsia="Calibri" w:hAnsi="Calibri"/>
                <w:sz w:val="17"/>
                <w:szCs w:val="17"/>
                <w:color w:val="333333"/>
                <w:w w:val="97"/>
              </w:rPr>
              <w:t>1,633</w:t>
            </w:r>
          </w:p>
        </w:tc>
        <w:tc>
          <w:tcPr>
            <w:tcW w:w="1500" w:type="dxa"/>
            <w:vAlign w:val="bottom"/>
          </w:tcPr>
          <w:p>
            <w:pPr>
              <w:jc w:val="center"/>
              <w:spacing w:after="0"/>
              <w:rPr>
                <w:sz w:val="20"/>
                <w:szCs w:val="20"/>
                <w:color w:val="auto"/>
              </w:rPr>
            </w:pPr>
            <w:r>
              <w:rPr>
                <w:rFonts w:ascii="Calibri" w:cs="Calibri" w:eastAsia="Calibri" w:hAnsi="Calibri"/>
                <w:sz w:val="17"/>
                <w:szCs w:val="17"/>
                <w:color w:val="333333"/>
              </w:rPr>
              <w:t>3,267</w:t>
            </w:r>
          </w:p>
        </w:tc>
        <w:tc>
          <w:tcPr>
            <w:tcW w:w="1660" w:type="dxa"/>
            <w:vAlign w:val="bottom"/>
          </w:tcPr>
          <w:p>
            <w:pPr>
              <w:jc w:val="center"/>
              <w:ind w:right="95"/>
              <w:spacing w:after="0"/>
              <w:rPr>
                <w:sz w:val="20"/>
                <w:szCs w:val="20"/>
                <w:color w:val="auto"/>
              </w:rPr>
            </w:pPr>
            <w:r>
              <w:rPr>
                <w:rFonts w:ascii="Calibri" w:cs="Calibri" w:eastAsia="Calibri" w:hAnsi="Calibri"/>
                <w:sz w:val="17"/>
                <w:szCs w:val="17"/>
                <w:color w:val="333333"/>
              </w:rPr>
              <w:t>4,900</w:t>
            </w:r>
          </w:p>
        </w:tc>
        <w:tc>
          <w:tcPr>
            <w:tcW w:w="1920" w:type="dxa"/>
            <w:vAlign w:val="bottom"/>
          </w:tcPr>
          <w:p>
            <w:pPr>
              <w:jc w:val="center"/>
              <w:ind w:right="15"/>
              <w:spacing w:after="0"/>
              <w:rPr>
                <w:sz w:val="20"/>
                <w:szCs w:val="20"/>
                <w:color w:val="auto"/>
              </w:rPr>
            </w:pPr>
            <w:r>
              <w:rPr>
                <w:rFonts w:ascii="Calibri" w:cs="Calibri" w:eastAsia="Calibri" w:hAnsi="Calibri"/>
                <w:sz w:val="17"/>
                <w:szCs w:val="17"/>
                <w:color w:val="333333"/>
                <w:w w:val="97"/>
              </w:rPr>
              <w:t>2,061</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60" w:type="dxa"/>
            <w:vAlign w:val="bottom"/>
          </w:tcPr>
          <w:p>
            <w:pPr>
              <w:ind w:left="320"/>
              <w:spacing w:after="0"/>
              <w:rPr>
                <w:sz w:val="20"/>
                <w:szCs w:val="20"/>
                <w:color w:val="auto"/>
              </w:rPr>
            </w:pPr>
            <w:r>
              <w:rPr>
                <w:rFonts w:ascii="Calibri" w:cs="Calibri" w:eastAsia="Calibri" w:hAnsi="Calibri"/>
                <w:sz w:val="17"/>
                <w:szCs w:val="17"/>
                <w:i w:val="1"/>
                <w:iCs w:val="1"/>
                <w:color w:val="333333"/>
              </w:rPr>
              <w:t>Grant Date Fair Value</w:t>
            </w:r>
          </w:p>
        </w:tc>
        <w:tc>
          <w:tcPr>
            <w:tcW w:w="1560" w:type="dxa"/>
            <w:vAlign w:val="bottom"/>
          </w:tcPr>
          <w:p>
            <w:pPr>
              <w:jc w:val="center"/>
              <w:spacing w:after="0"/>
              <w:rPr>
                <w:sz w:val="20"/>
                <w:szCs w:val="20"/>
                <w:color w:val="auto"/>
              </w:rPr>
            </w:pPr>
            <w:r>
              <w:rPr>
                <w:rFonts w:ascii="Calibri" w:cs="Calibri" w:eastAsia="Calibri" w:hAnsi="Calibri"/>
                <w:sz w:val="17"/>
                <w:szCs w:val="17"/>
                <w:color w:val="333333"/>
              </w:rPr>
              <w:t>$262,500</w:t>
            </w:r>
          </w:p>
        </w:tc>
        <w:tc>
          <w:tcPr>
            <w:tcW w:w="1500" w:type="dxa"/>
            <w:vAlign w:val="bottom"/>
          </w:tcPr>
          <w:p>
            <w:pPr>
              <w:jc w:val="center"/>
              <w:spacing w:after="0"/>
              <w:rPr>
                <w:sz w:val="20"/>
                <w:szCs w:val="20"/>
                <w:color w:val="auto"/>
              </w:rPr>
            </w:pPr>
            <w:r>
              <w:rPr>
                <w:rFonts w:ascii="Calibri" w:cs="Calibri" w:eastAsia="Calibri" w:hAnsi="Calibri"/>
                <w:sz w:val="17"/>
                <w:szCs w:val="17"/>
                <w:color w:val="333333"/>
                <w:w w:val="99"/>
              </w:rPr>
              <w:t>$525,000</w:t>
            </w:r>
          </w:p>
        </w:tc>
        <w:tc>
          <w:tcPr>
            <w:tcW w:w="1660" w:type="dxa"/>
            <w:vAlign w:val="bottom"/>
          </w:tcPr>
          <w:p>
            <w:pPr>
              <w:jc w:val="center"/>
              <w:ind w:right="75"/>
              <w:spacing w:after="0"/>
              <w:rPr>
                <w:sz w:val="20"/>
                <w:szCs w:val="20"/>
                <w:color w:val="auto"/>
              </w:rPr>
            </w:pPr>
            <w:r>
              <w:rPr>
                <w:rFonts w:ascii="Calibri" w:cs="Calibri" w:eastAsia="Calibri" w:hAnsi="Calibri"/>
                <w:sz w:val="17"/>
                <w:szCs w:val="17"/>
                <w:color w:val="333333"/>
              </w:rPr>
              <w:t>$787,500</w:t>
            </w:r>
          </w:p>
        </w:tc>
        <w:tc>
          <w:tcPr>
            <w:tcW w:w="1920" w:type="dxa"/>
            <w:vAlign w:val="bottom"/>
          </w:tcPr>
          <w:p>
            <w:pPr>
              <w:jc w:val="center"/>
              <w:ind w:right="15"/>
              <w:spacing w:after="0"/>
              <w:rPr>
                <w:sz w:val="20"/>
                <w:szCs w:val="20"/>
                <w:color w:val="auto"/>
              </w:rPr>
            </w:pPr>
            <w:r>
              <w:rPr>
                <w:rFonts w:ascii="Calibri" w:cs="Calibri" w:eastAsia="Calibri" w:hAnsi="Calibri"/>
                <w:sz w:val="17"/>
                <w:szCs w:val="17"/>
                <w:color w:val="333333"/>
              </w:rPr>
              <w:t>$350,000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 xml:space="preserve">  </w:t>
            </w:r>
            <w:r>
              <w:rPr>
                <w:rFonts w:ascii="Calibri" w:cs="Calibri" w:eastAsia="Calibri" w:hAnsi="Calibri"/>
                <w:sz w:val="17"/>
                <w:szCs w:val="17"/>
                <w:b w:val="1"/>
                <w:bCs w:val="1"/>
                <w:color w:val="0591DB"/>
              </w:rPr>
              <w:t>Curts P. Lu</w:t>
            </w:r>
          </w:p>
        </w:tc>
        <w:tc>
          <w:tcPr>
            <w:tcW w:w="1560" w:type="dxa"/>
            <w:vAlign w:val="bottom"/>
            <w:shd w:val="clear" w:color="auto" w:fill="EFF2EF"/>
          </w:tcPr>
          <w:p>
            <w:pPr>
              <w:spacing w:after="0"/>
              <w:rPr>
                <w:sz w:val="17"/>
                <w:szCs w:val="17"/>
                <w:color w:val="auto"/>
              </w:rPr>
            </w:pPr>
          </w:p>
        </w:tc>
        <w:tc>
          <w:tcPr>
            <w:tcW w:w="1500" w:type="dxa"/>
            <w:vAlign w:val="bottom"/>
            <w:shd w:val="clear" w:color="auto" w:fill="EFF2EF"/>
          </w:tcPr>
          <w:p>
            <w:pPr>
              <w:spacing w:after="0"/>
              <w:rPr>
                <w:sz w:val="17"/>
                <w:szCs w:val="17"/>
                <w:color w:val="auto"/>
              </w:rPr>
            </w:pPr>
          </w:p>
        </w:tc>
        <w:tc>
          <w:tcPr>
            <w:tcW w:w="1660" w:type="dxa"/>
            <w:vAlign w:val="bottom"/>
            <w:shd w:val="clear" w:color="auto" w:fill="EFF2EF"/>
          </w:tcPr>
          <w:p>
            <w:pPr>
              <w:spacing w:after="0"/>
              <w:rPr>
                <w:sz w:val="17"/>
                <w:szCs w:val="17"/>
                <w:color w:val="auto"/>
              </w:rPr>
            </w:pPr>
          </w:p>
        </w:tc>
        <w:tc>
          <w:tcPr>
            <w:tcW w:w="1920" w:type="dxa"/>
            <w:vAlign w:val="bottom"/>
            <w:shd w:val="clear" w:color="auto" w:fill="EFF2E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60" w:type="dxa"/>
            <w:vAlign w:val="bottom"/>
            <w:shd w:val="clear" w:color="auto" w:fill="EFF2EF"/>
          </w:tcPr>
          <w:p>
            <w:pPr>
              <w:ind w:left="320"/>
              <w:spacing w:after="0"/>
              <w:rPr>
                <w:sz w:val="20"/>
                <w:szCs w:val="20"/>
                <w:color w:val="auto"/>
              </w:rPr>
            </w:pPr>
            <w:r>
              <w:rPr>
                <w:rFonts w:ascii="Calibri" w:cs="Calibri" w:eastAsia="Calibri" w:hAnsi="Calibri"/>
                <w:sz w:val="17"/>
                <w:szCs w:val="17"/>
                <w:i w:val="1"/>
                <w:iCs w:val="1"/>
                <w:color w:val="333333"/>
              </w:rPr>
              <w:t>Number of LTIP Awards</w:t>
            </w:r>
          </w:p>
        </w:tc>
        <w:tc>
          <w:tcPr>
            <w:tcW w:w="156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w w:val="97"/>
              </w:rPr>
              <w:t>1,633</w:t>
            </w:r>
          </w:p>
        </w:tc>
        <w:tc>
          <w:tcPr>
            <w:tcW w:w="150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rPr>
              <w:t>3,267</w:t>
            </w:r>
          </w:p>
        </w:tc>
        <w:tc>
          <w:tcPr>
            <w:tcW w:w="1660" w:type="dxa"/>
            <w:vAlign w:val="bottom"/>
            <w:shd w:val="clear" w:color="auto" w:fill="EFF2EF"/>
          </w:tcPr>
          <w:p>
            <w:pPr>
              <w:jc w:val="center"/>
              <w:ind w:right="95"/>
              <w:spacing w:after="0"/>
              <w:rPr>
                <w:sz w:val="20"/>
                <w:szCs w:val="20"/>
                <w:color w:val="auto"/>
              </w:rPr>
            </w:pPr>
            <w:r>
              <w:rPr>
                <w:rFonts w:ascii="Calibri" w:cs="Calibri" w:eastAsia="Calibri" w:hAnsi="Calibri"/>
                <w:sz w:val="17"/>
                <w:szCs w:val="17"/>
                <w:color w:val="333333"/>
              </w:rPr>
              <w:t>4,900</w:t>
            </w:r>
          </w:p>
        </w:tc>
        <w:tc>
          <w:tcPr>
            <w:tcW w:w="1920" w:type="dxa"/>
            <w:vAlign w:val="bottom"/>
            <w:shd w:val="clear" w:color="auto" w:fill="EFF2EF"/>
          </w:tcPr>
          <w:p>
            <w:pPr>
              <w:jc w:val="center"/>
              <w:ind w:right="15"/>
              <w:spacing w:after="0"/>
              <w:rPr>
                <w:sz w:val="20"/>
                <w:szCs w:val="20"/>
                <w:color w:val="auto"/>
              </w:rPr>
            </w:pPr>
            <w:r>
              <w:rPr>
                <w:rFonts w:ascii="Calibri" w:cs="Calibri" w:eastAsia="Calibri" w:hAnsi="Calibri"/>
                <w:sz w:val="17"/>
                <w:szCs w:val="17"/>
                <w:color w:val="333333"/>
                <w:w w:val="97"/>
              </w:rPr>
              <w:t>2,061</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60" w:type="dxa"/>
            <w:vAlign w:val="bottom"/>
            <w:shd w:val="clear" w:color="auto" w:fill="EFF2EF"/>
          </w:tcPr>
          <w:p>
            <w:pPr>
              <w:ind w:left="320"/>
              <w:spacing w:after="0"/>
              <w:rPr>
                <w:sz w:val="20"/>
                <w:szCs w:val="20"/>
                <w:color w:val="auto"/>
              </w:rPr>
            </w:pPr>
            <w:r>
              <w:rPr>
                <w:rFonts w:ascii="Calibri" w:cs="Calibri" w:eastAsia="Calibri" w:hAnsi="Calibri"/>
                <w:sz w:val="17"/>
                <w:szCs w:val="17"/>
                <w:i w:val="1"/>
                <w:iCs w:val="1"/>
                <w:color w:val="333333"/>
              </w:rPr>
              <w:t>Grant Date Fair Value</w:t>
            </w:r>
          </w:p>
        </w:tc>
        <w:tc>
          <w:tcPr>
            <w:tcW w:w="156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rPr>
              <w:t>$262,500</w:t>
            </w:r>
          </w:p>
        </w:tc>
        <w:tc>
          <w:tcPr>
            <w:tcW w:w="1500" w:type="dxa"/>
            <w:vAlign w:val="bottom"/>
            <w:shd w:val="clear" w:color="auto" w:fill="EFF2EF"/>
          </w:tcPr>
          <w:p>
            <w:pPr>
              <w:jc w:val="center"/>
              <w:spacing w:after="0"/>
              <w:rPr>
                <w:sz w:val="20"/>
                <w:szCs w:val="20"/>
                <w:color w:val="auto"/>
              </w:rPr>
            </w:pPr>
            <w:r>
              <w:rPr>
                <w:rFonts w:ascii="Calibri" w:cs="Calibri" w:eastAsia="Calibri" w:hAnsi="Calibri"/>
                <w:sz w:val="17"/>
                <w:szCs w:val="17"/>
                <w:color w:val="333333"/>
                <w:w w:val="99"/>
              </w:rPr>
              <w:t>$525,000</w:t>
            </w:r>
          </w:p>
        </w:tc>
        <w:tc>
          <w:tcPr>
            <w:tcW w:w="1660" w:type="dxa"/>
            <w:vAlign w:val="bottom"/>
            <w:shd w:val="clear" w:color="auto" w:fill="EFF2EF"/>
          </w:tcPr>
          <w:p>
            <w:pPr>
              <w:jc w:val="center"/>
              <w:ind w:right="75"/>
              <w:spacing w:after="0"/>
              <w:rPr>
                <w:sz w:val="20"/>
                <w:szCs w:val="20"/>
                <w:color w:val="auto"/>
              </w:rPr>
            </w:pPr>
            <w:r>
              <w:rPr>
                <w:rFonts w:ascii="Calibri" w:cs="Calibri" w:eastAsia="Calibri" w:hAnsi="Calibri"/>
                <w:sz w:val="17"/>
                <w:szCs w:val="17"/>
                <w:color w:val="333333"/>
              </w:rPr>
              <w:t>$787,500</w:t>
            </w:r>
          </w:p>
        </w:tc>
        <w:tc>
          <w:tcPr>
            <w:tcW w:w="1920" w:type="dxa"/>
            <w:vAlign w:val="bottom"/>
            <w:shd w:val="clear" w:color="auto" w:fill="EFF2EF"/>
          </w:tcPr>
          <w:p>
            <w:pPr>
              <w:jc w:val="center"/>
              <w:ind w:right="15"/>
              <w:spacing w:after="0"/>
              <w:rPr>
                <w:sz w:val="20"/>
                <w:szCs w:val="20"/>
                <w:color w:val="auto"/>
              </w:rPr>
            </w:pPr>
            <w:r>
              <w:rPr>
                <w:rFonts w:ascii="Calibri" w:cs="Calibri" w:eastAsia="Calibri" w:hAnsi="Calibri"/>
                <w:sz w:val="17"/>
                <w:szCs w:val="17"/>
                <w:color w:val="333333"/>
              </w:rPr>
              <w:t>$350,000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260" w:type="dxa"/>
            <w:vAlign w:val="bottom"/>
            <w:shd w:val="clear" w:color="auto" w:fill="EFF2EF"/>
          </w:tcPr>
          <w:p>
            <w:pPr>
              <w:spacing w:after="0"/>
              <w:rPr>
                <w:sz w:val="7"/>
                <w:szCs w:val="7"/>
                <w:color w:val="auto"/>
              </w:rPr>
            </w:pPr>
          </w:p>
        </w:tc>
        <w:tc>
          <w:tcPr>
            <w:tcW w:w="1560" w:type="dxa"/>
            <w:vAlign w:val="bottom"/>
            <w:shd w:val="clear" w:color="auto" w:fill="EFF2EF"/>
          </w:tcPr>
          <w:p>
            <w:pPr>
              <w:spacing w:after="0"/>
              <w:rPr>
                <w:sz w:val="7"/>
                <w:szCs w:val="7"/>
                <w:color w:val="auto"/>
              </w:rPr>
            </w:pPr>
          </w:p>
        </w:tc>
        <w:tc>
          <w:tcPr>
            <w:tcW w:w="1500" w:type="dxa"/>
            <w:vAlign w:val="bottom"/>
            <w:shd w:val="clear" w:color="auto" w:fill="EFF2EF"/>
          </w:tcPr>
          <w:p>
            <w:pPr>
              <w:spacing w:after="0"/>
              <w:rPr>
                <w:sz w:val="7"/>
                <w:szCs w:val="7"/>
                <w:color w:val="auto"/>
              </w:rPr>
            </w:pPr>
          </w:p>
        </w:tc>
        <w:tc>
          <w:tcPr>
            <w:tcW w:w="1660" w:type="dxa"/>
            <w:vAlign w:val="bottom"/>
            <w:shd w:val="clear" w:color="auto" w:fill="EFF2EF"/>
          </w:tcPr>
          <w:p>
            <w:pPr>
              <w:spacing w:after="0"/>
              <w:rPr>
                <w:sz w:val="7"/>
                <w:szCs w:val="7"/>
                <w:color w:val="auto"/>
              </w:rPr>
            </w:pPr>
          </w:p>
        </w:tc>
        <w:tc>
          <w:tcPr>
            <w:tcW w:w="1920" w:type="dxa"/>
            <w:vAlign w:val="bottom"/>
            <w:shd w:val="clear" w:color="auto" w:fill="EFF2E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tcPr>
          <w:p>
            <w:pPr>
              <w:spacing w:after="0" w:line="203" w:lineRule="exact"/>
              <w:rPr>
                <w:sz w:val="20"/>
                <w:szCs w:val="20"/>
                <w:color w:val="auto"/>
              </w:rPr>
            </w:pPr>
            <w:r>
              <w:rPr>
                <w:rFonts w:ascii="Calibri" w:cs="Calibri" w:eastAsia="Calibri" w:hAnsi="Calibri"/>
                <w:sz w:val="17"/>
                <w:szCs w:val="17"/>
                <w:b w:val="1"/>
                <w:bCs w:val="1"/>
                <w:color w:val="333333"/>
              </w:rPr>
              <w:t xml:space="preserve">  </w:t>
            </w:r>
            <w:r>
              <w:rPr>
                <w:rFonts w:ascii="Calibri" w:cs="Calibri" w:eastAsia="Calibri" w:hAnsi="Calibri"/>
                <w:sz w:val="17"/>
                <w:szCs w:val="17"/>
                <w:b w:val="1"/>
                <w:bCs w:val="1"/>
                <w:color w:val="0591DB"/>
              </w:rPr>
              <w:t>Holly Paul</w:t>
            </w: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60" w:type="dxa"/>
            <w:vAlign w:val="bottom"/>
          </w:tcPr>
          <w:p>
            <w:pPr>
              <w:ind w:left="320"/>
              <w:spacing w:after="0"/>
              <w:rPr>
                <w:sz w:val="20"/>
                <w:szCs w:val="20"/>
                <w:color w:val="auto"/>
              </w:rPr>
            </w:pPr>
            <w:r>
              <w:rPr>
                <w:rFonts w:ascii="Calibri" w:cs="Calibri" w:eastAsia="Calibri" w:hAnsi="Calibri"/>
                <w:sz w:val="17"/>
                <w:szCs w:val="17"/>
                <w:i w:val="1"/>
                <w:iCs w:val="1"/>
                <w:color w:val="333333"/>
              </w:rPr>
              <w:t>Number of LTIP Awards</w:t>
            </w:r>
          </w:p>
        </w:tc>
        <w:tc>
          <w:tcPr>
            <w:tcW w:w="1560" w:type="dxa"/>
            <w:vAlign w:val="bottom"/>
          </w:tcPr>
          <w:p>
            <w:pPr>
              <w:jc w:val="center"/>
              <w:spacing w:after="0"/>
              <w:rPr>
                <w:sz w:val="20"/>
                <w:szCs w:val="20"/>
                <w:color w:val="auto"/>
              </w:rPr>
            </w:pPr>
            <w:r>
              <w:rPr>
                <w:rFonts w:ascii="Calibri" w:cs="Calibri" w:eastAsia="Calibri" w:hAnsi="Calibri"/>
                <w:sz w:val="17"/>
                <w:szCs w:val="17"/>
                <w:color w:val="333333"/>
              </w:rPr>
              <w:t>816</w:t>
            </w:r>
          </w:p>
        </w:tc>
        <w:tc>
          <w:tcPr>
            <w:tcW w:w="1500" w:type="dxa"/>
            <w:vAlign w:val="bottom"/>
          </w:tcPr>
          <w:p>
            <w:pPr>
              <w:jc w:val="center"/>
              <w:spacing w:after="0"/>
              <w:rPr>
                <w:sz w:val="20"/>
                <w:szCs w:val="20"/>
                <w:color w:val="auto"/>
              </w:rPr>
            </w:pPr>
            <w:r>
              <w:rPr>
                <w:rFonts w:ascii="Calibri" w:cs="Calibri" w:eastAsia="Calibri" w:hAnsi="Calibri"/>
                <w:sz w:val="17"/>
                <w:szCs w:val="17"/>
                <w:color w:val="333333"/>
              </w:rPr>
              <w:t>1,633</w:t>
            </w:r>
          </w:p>
        </w:tc>
        <w:tc>
          <w:tcPr>
            <w:tcW w:w="1660" w:type="dxa"/>
            <w:vAlign w:val="bottom"/>
          </w:tcPr>
          <w:p>
            <w:pPr>
              <w:jc w:val="center"/>
              <w:ind w:right="95"/>
              <w:spacing w:after="0"/>
              <w:rPr>
                <w:sz w:val="20"/>
                <w:szCs w:val="20"/>
                <w:color w:val="auto"/>
              </w:rPr>
            </w:pPr>
            <w:r>
              <w:rPr>
                <w:rFonts w:ascii="Calibri" w:cs="Calibri" w:eastAsia="Calibri" w:hAnsi="Calibri"/>
                <w:sz w:val="17"/>
                <w:szCs w:val="17"/>
                <w:color w:val="333333"/>
              </w:rPr>
              <w:t>2,449</w:t>
            </w:r>
          </w:p>
        </w:tc>
        <w:tc>
          <w:tcPr>
            <w:tcW w:w="1920" w:type="dxa"/>
            <w:vAlign w:val="bottom"/>
          </w:tcPr>
          <w:p>
            <w:pPr>
              <w:jc w:val="center"/>
              <w:ind w:right="15"/>
              <w:spacing w:after="0"/>
              <w:rPr>
                <w:sz w:val="20"/>
                <w:szCs w:val="20"/>
                <w:color w:val="auto"/>
              </w:rPr>
            </w:pPr>
            <w:r>
              <w:rPr>
                <w:rFonts w:ascii="Calibri" w:cs="Calibri" w:eastAsia="Calibri" w:hAnsi="Calibri"/>
                <w:sz w:val="17"/>
                <w:szCs w:val="17"/>
                <w:color w:val="333333"/>
                <w:w w:val="97"/>
              </w:rPr>
              <w:t>1,030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60" w:type="dxa"/>
            <w:vAlign w:val="bottom"/>
          </w:tcPr>
          <w:p>
            <w:pPr>
              <w:ind w:left="320"/>
              <w:spacing w:after="0"/>
              <w:rPr>
                <w:sz w:val="20"/>
                <w:szCs w:val="20"/>
                <w:color w:val="auto"/>
              </w:rPr>
            </w:pPr>
            <w:r>
              <w:rPr>
                <w:rFonts w:ascii="Calibri" w:cs="Calibri" w:eastAsia="Calibri" w:hAnsi="Calibri"/>
                <w:sz w:val="17"/>
                <w:szCs w:val="17"/>
                <w:i w:val="1"/>
                <w:iCs w:val="1"/>
                <w:color w:val="333333"/>
              </w:rPr>
              <w:t>Grant Date Fair Value</w:t>
            </w:r>
          </w:p>
        </w:tc>
        <w:tc>
          <w:tcPr>
            <w:tcW w:w="1560" w:type="dxa"/>
            <w:vAlign w:val="bottom"/>
          </w:tcPr>
          <w:p>
            <w:pPr>
              <w:jc w:val="center"/>
              <w:spacing w:after="0"/>
              <w:rPr>
                <w:sz w:val="20"/>
                <w:szCs w:val="20"/>
                <w:color w:val="auto"/>
              </w:rPr>
            </w:pPr>
            <w:r>
              <w:rPr>
                <w:rFonts w:ascii="Calibri" w:cs="Calibri" w:eastAsia="Calibri" w:hAnsi="Calibri"/>
                <w:sz w:val="17"/>
                <w:szCs w:val="17"/>
                <w:color w:val="333333"/>
              </w:rPr>
              <w:t>$131,250</w:t>
            </w:r>
          </w:p>
        </w:tc>
        <w:tc>
          <w:tcPr>
            <w:tcW w:w="1500" w:type="dxa"/>
            <w:vAlign w:val="bottom"/>
          </w:tcPr>
          <w:p>
            <w:pPr>
              <w:jc w:val="center"/>
              <w:spacing w:after="0"/>
              <w:rPr>
                <w:sz w:val="20"/>
                <w:szCs w:val="20"/>
                <w:color w:val="auto"/>
              </w:rPr>
            </w:pPr>
            <w:r>
              <w:rPr>
                <w:rFonts w:ascii="Calibri" w:cs="Calibri" w:eastAsia="Calibri" w:hAnsi="Calibri"/>
                <w:sz w:val="17"/>
                <w:szCs w:val="17"/>
                <w:color w:val="333333"/>
                <w:w w:val="99"/>
              </w:rPr>
              <w:t>$262,500</w:t>
            </w:r>
          </w:p>
        </w:tc>
        <w:tc>
          <w:tcPr>
            <w:tcW w:w="1660" w:type="dxa"/>
            <w:vAlign w:val="bottom"/>
          </w:tcPr>
          <w:p>
            <w:pPr>
              <w:jc w:val="center"/>
              <w:ind w:right="75"/>
              <w:spacing w:after="0"/>
              <w:rPr>
                <w:sz w:val="20"/>
                <w:szCs w:val="20"/>
                <w:color w:val="auto"/>
              </w:rPr>
            </w:pPr>
            <w:r>
              <w:rPr>
                <w:rFonts w:ascii="Calibri" w:cs="Calibri" w:eastAsia="Calibri" w:hAnsi="Calibri"/>
                <w:sz w:val="17"/>
                <w:szCs w:val="17"/>
                <w:color w:val="333333"/>
              </w:rPr>
              <w:t>$393,750</w:t>
            </w:r>
          </w:p>
        </w:tc>
        <w:tc>
          <w:tcPr>
            <w:tcW w:w="1920" w:type="dxa"/>
            <w:vAlign w:val="bottom"/>
          </w:tcPr>
          <w:p>
            <w:pPr>
              <w:jc w:val="center"/>
              <w:ind w:right="15"/>
              <w:spacing w:after="0"/>
              <w:rPr>
                <w:sz w:val="20"/>
                <w:szCs w:val="20"/>
                <w:color w:val="auto"/>
              </w:rPr>
            </w:pPr>
            <w:r>
              <w:rPr>
                <w:rFonts w:ascii="Calibri" w:cs="Calibri" w:eastAsia="Calibri" w:hAnsi="Calibri"/>
                <w:sz w:val="17"/>
                <w:szCs w:val="17"/>
                <w:color w:val="333333"/>
              </w:rPr>
              <w:t>$175,000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14522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232" w:lineRule="exact"/>
        <w:rPr>
          <w:sz w:val="20"/>
          <w:szCs w:val="20"/>
          <w:color w:val="auto"/>
        </w:rPr>
      </w:pPr>
    </w:p>
    <w:p>
      <w:pPr>
        <w:ind w:left="600" w:right="620" w:hanging="433"/>
        <w:spacing w:after="0" w:line="233" w:lineRule="auto"/>
        <w:tabs>
          <w:tab w:leader="none" w:pos="600" w:val="left"/>
        </w:tabs>
        <w:numPr>
          <w:ilvl w:val="0"/>
          <w:numId w:val="96"/>
        </w:numPr>
        <w:rPr>
          <w:rFonts w:ascii="Calibri" w:cs="Calibri" w:eastAsia="Calibri" w:hAnsi="Calibri"/>
          <w:sz w:val="13"/>
          <w:szCs w:val="13"/>
          <w:color w:val="333333"/>
        </w:rPr>
      </w:pPr>
      <w:r>
        <w:rPr>
          <w:rFonts w:ascii="Calibri" w:cs="Calibri" w:eastAsia="Calibri" w:hAnsi="Calibri"/>
          <w:sz w:val="17"/>
          <w:szCs w:val="17"/>
          <w:color w:val="333333"/>
        </w:rPr>
        <w:t>See “Part II, Item 8, Financial Statements and Supplementary Data — Notes to Consolidated Financial Statements — Note 1 — Descripton of Business and Summary of Signifcant Accountng Policies — Share-Based</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77</w:t>
      </w:r>
    </w:p>
    <w:p>
      <w:pPr>
        <w:sectPr>
          <w:pgSz w:w="11900" w:h="16838" w:orient="portrait"/>
          <w:cols w:equalWidth="0" w:num="1">
            <w:col w:w="11100"/>
          </w:cols>
          <w:pgMar w:left="320" w:top="478"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600" w:right="500"/>
        <w:spacing w:after="0" w:line="232" w:lineRule="auto"/>
        <w:rPr>
          <w:sz w:val="20"/>
          <w:szCs w:val="20"/>
          <w:color w:val="auto"/>
        </w:rPr>
      </w:pPr>
      <w:r>
        <w:rPr>
          <w:rFonts w:ascii="Calibri" w:cs="Calibri" w:eastAsia="Calibri" w:hAnsi="Calibri"/>
          <w:sz w:val="17"/>
          <w:szCs w:val="17"/>
          <w:color w:val="333333"/>
        </w:rPr>
        <w:t>Compensaton” and “Part II, Item 8, Financial Statements and Supplementary Data — Notes to Consolidated Financial Statements — Note 7 — Share-Based Compensaton” of the 2025 Form 10-K for a discussion of the Monte Carlo simulaton method used to determine the number of Performance RSUs subject to the performance-based 2025 LTIP awards.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Performance of LTIP Awards Awarded for the Year Ended December 31, 2023 as Measured as of December 31, 2025</w:t>
      </w:r>
    </w:p>
    <w:p>
      <w:pPr>
        <w:spacing w:after="0" w:line="212" w:lineRule="exact"/>
        <w:rPr>
          <w:sz w:val="20"/>
          <w:szCs w:val="20"/>
          <w:color w:val="auto"/>
        </w:rPr>
      </w:pPr>
    </w:p>
    <w:p>
      <w:pPr>
        <w:ind w:left="160" w:right="100"/>
        <w:spacing w:after="0" w:line="232" w:lineRule="auto"/>
        <w:rPr>
          <w:sz w:val="20"/>
          <w:szCs w:val="20"/>
          <w:color w:val="auto"/>
        </w:rPr>
      </w:pPr>
      <w:r>
        <w:rPr>
          <w:rFonts w:ascii="Calibri" w:cs="Calibri" w:eastAsia="Calibri" w:hAnsi="Calibri"/>
          <w:sz w:val="17"/>
          <w:szCs w:val="17"/>
          <w:color w:val="333333"/>
        </w:rPr>
        <w:t>The performance measurement period for the LTIP awards subject to fnancial metrics based on Relatve TSR performance granted for the year ended December 31, 2023 (“2023 LTIP”) began on January 1, 2023 and ended on December 31, 2025 (the “2023 LTIP Awards”). For the measurement period, FTI Consultng achieved Relatve TSR at the 33</w:t>
      </w:r>
      <w:r>
        <w:rPr>
          <w:rFonts w:ascii="Calibri" w:cs="Calibri" w:eastAsia="Calibri" w:hAnsi="Calibri"/>
          <w:sz w:val="12"/>
          <w:szCs w:val="12"/>
          <w:color w:val="333333"/>
        </w:rPr>
        <w:t>rd</w:t>
      </w:r>
      <w:r>
        <w:rPr>
          <w:rFonts w:ascii="Calibri" w:cs="Calibri" w:eastAsia="Calibri" w:hAnsi="Calibri"/>
          <w:sz w:val="17"/>
          <w:szCs w:val="17"/>
          <w:color w:val="333333"/>
        </w:rPr>
        <w:t xml:space="preserve"> percentle resultng in our CEO and other partcipatng NEOs earning a percentage payout of approximately 63% and 65%, respectvely, of the shares of Common Stock at target. The following table sets forth the number of shares of Common Stock earned by the CEO and other partcipatng NEOs under the 2023 LTIP Awards, certfed as fnal by the Compensaton Commitee on February 23, 2026:</w:t>
      </w:r>
    </w:p>
    <w:p>
      <w:pPr>
        <w:spacing w:after="0" w:line="248" w:lineRule="exact"/>
        <w:rPr>
          <w:sz w:val="20"/>
          <w:szCs w:val="20"/>
          <w:color w:val="auto"/>
        </w:rPr>
      </w:pPr>
    </w:p>
    <w:tbl>
      <w:tblPr>
        <w:tblLayout w:type="fixed"/>
        <w:tblInd w:w="170" w:type="dxa"/>
        <w:tblCellMar>
          <w:top w:w="0" w:type="dxa"/>
          <w:left w:w="0" w:type="dxa"/>
          <w:bottom w:w="0" w:type="dxa"/>
          <w:right w:w="0" w:type="dxa"/>
        </w:tblCellMar>
      </w:tblPr>
      <w:tr>
        <w:trPr>
          <w:trHeight w:val="261"/>
        </w:trPr>
        <w:tc>
          <w:tcPr>
            <w:tcW w:w="5040" w:type="dxa"/>
            <w:vAlign w:val="bottom"/>
            <w:tcBorders>
              <w:top w:val="single" w:sz="8" w:color="0591DB"/>
              <w:left w:val="single" w:sz="8" w:color="0591DB"/>
              <w:right w:val="single" w:sz="8" w:color="0591DB"/>
            </w:tcBorders>
          </w:tcPr>
          <w:p>
            <w:pPr>
              <w:spacing w:after="0"/>
              <w:rPr>
                <w:sz w:val="22"/>
                <w:szCs w:val="22"/>
                <w:color w:val="auto"/>
              </w:rPr>
            </w:pPr>
          </w:p>
        </w:tc>
        <w:tc>
          <w:tcPr>
            <w:tcW w:w="3060" w:type="dxa"/>
            <w:vAlign w:val="bottom"/>
            <w:tcBorders>
              <w:top w:val="single" w:sz="8" w:color="0591DB"/>
              <w:right w:val="single" w:sz="8" w:color="0591DB"/>
            </w:tcBorders>
          </w:tcPr>
          <w:p>
            <w:pPr>
              <w:jc w:val="center"/>
              <w:spacing w:after="0"/>
              <w:rPr>
                <w:sz w:val="20"/>
                <w:szCs w:val="20"/>
                <w:color w:val="auto"/>
              </w:rPr>
            </w:pPr>
            <w:r>
              <w:rPr>
                <w:rFonts w:ascii="Calibri" w:cs="Calibri" w:eastAsia="Calibri" w:hAnsi="Calibri"/>
                <w:sz w:val="21"/>
                <w:szCs w:val="21"/>
                <w:b w:val="1"/>
                <w:bCs w:val="1"/>
                <w:color w:val="0591DB"/>
                <w:w w:val="92"/>
              </w:rPr>
              <w:t>PAYOUT PERCENTAGE OF</w:t>
            </w:r>
          </w:p>
        </w:tc>
        <w:tc>
          <w:tcPr>
            <w:tcW w:w="2820" w:type="dxa"/>
            <w:vAlign w:val="bottom"/>
            <w:tcBorders>
              <w:top w:val="single" w:sz="8" w:color="0591DB"/>
            </w:tcBorders>
          </w:tcPr>
          <w:p>
            <w:pPr>
              <w:spacing w:after="0"/>
              <w:rPr>
                <w:sz w:val="22"/>
                <w:szCs w:val="22"/>
                <w:color w:val="auto"/>
              </w:rPr>
            </w:pPr>
          </w:p>
        </w:tc>
        <w:tc>
          <w:tcPr>
            <w:tcW w:w="20" w:type="dxa"/>
            <w:vAlign w:val="bottom"/>
            <w:tcBorders>
              <w:top w:val="single" w:sz="8" w:color="0591DB"/>
            </w:tcBorders>
            <w:shd w:val="clear" w:color="auto" w:fill="0591DB"/>
          </w:tcPr>
          <w:p>
            <w:pPr>
              <w:spacing w:after="0"/>
              <w:rPr>
                <w:sz w:val="22"/>
                <w:szCs w:val="22"/>
                <w:color w:val="auto"/>
              </w:rPr>
            </w:pPr>
          </w:p>
        </w:tc>
      </w:tr>
      <w:tr>
        <w:trPr>
          <w:trHeight w:val="241"/>
        </w:trPr>
        <w:tc>
          <w:tcPr>
            <w:tcW w:w="5040" w:type="dxa"/>
            <w:vAlign w:val="bottom"/>
            <w:tcBorders>
              <w:left w:val="single" w:sz="8" w:color="0591DB"/>
              <w:right w:val="single" w:sz="8" w:color="0591DB"/>
            </w:tcBorders>
          </w:tcPr>
          <w:p>
            <w:pPr>
              <w:spacing w:after="0"/>
              <w:rPr>
                <w:sz w:val="20"/>
                <w:szCs w:val="20"/>
                <w:color w:val="auto"/>
              </w:rPr>
            </w:pPr>
          </w:p>
        </w:tc>
        <w:tc>
          <w:tcPr>
            <w:tcW w:w="306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4"/>
              </w:rPr>
              <w:t>TARGET AS OF</w:t>
            </w:r>
          </w:p>
        </w:tc>
        <w:tc>
          <w:tcPr>
            <w:tcW w:w="2820" w:type="dxa"/>
            <w:vAlign w:val="bottom"/>
          </w:tcPr>
          <w:p>
            <w:pPr>
              <w:jc w:val="center"/>
              <w:spacing w:after="0" w:line="241" w:lineRule="exact"/>
              <w:rPr>
                <w:sz w:val="20"/>
                <w:szCs w:val="20"/>
                <w:color w:val="auto"/>
              </w:rPr>
            </w:pPr>
            <w:r>
              <w:rPr>
                <w:rFonts w:ascii="Calibri" w:cs="Calibri" w:eastAsia="Calibri" w:hAnsi="Calibri"/>
                <w:sz w:val="21"/>
                <w:szCs w:val="21"/>
                <w:b w:val="1"/>
                <w:bCs w:val="1"/>
                <w:color w:val="0591DB"/>
                <w:w w:val="94"/>
              </w:rPr>
              <w:t>PAYOUT METHOD (# OF</w:t>
            </w:r>
          </w:p>
        </w:tc>
        <w:tc>
          <w:tcPr>
            <w:tcW w:w="20" w:type="dxa"/>
            <w:vAlign w:val="bottom"/>
            <w:shd w:val="clear" w:color="auto" w:fill="0591DB"/>
          </w:tcPr>
          <w:p>
            <w:pPr>
              <w:spacing w:after="0"/>
              <w:rPr>
                <w:sz w:val="20"/>
                <w:szCs w:val="20"/>
                <w:color w:val="auto"/>
              </w:rPr>
            </w:pPr>
          </w:p>
        </w:tc>
      </w:tr>
      <w:tr>
        <w:trPr>
          <w:trHeight w:val="257"/>
        </w:trPr>
        <w:tc>
          <w:tcPr>
            <w:tcW w:w="5040" w:type="dxa"/>
            <w:vAlign w:val="bottom"/>
            <w:tcBorders>
              <w:left w:val="single" w:sz="8" w:color="0591DB"/>
              <w:right w:val="single" w:sz="8" w:color="0591DB"/>
            </w:tcBorders>
          </w:tcPr>
          <w:p>
            <w:pPr>
              <w:ind w:left="160"/>
              <w:spacing w:after="0"/>
              <w:rPr>
                <w:sz w:val="20"/>
                <w:szCs w:val="20"/>
                <w:color w:val="auto"/>
              </w:rPr>
            </w:pPr>
            <w:r>
              <w:rPr>
                <w:rFonts w:ascii="Calibri" w:cs="Calibri" w:eastAsia="Calibri" w:hAnsi="Calibri"/>
                <w:sz w:val="21"/>
                <w:szCs w:val="21"/>
                <w:b w:val="1"/>
                <w:bCs w:val="1"/>
                <w:color w:val="0591DB"/>
              </w:rPr>
              <w:t>NAME</w:t>
            </w:r>
          </w:p>
        </w:tc>
        <w:tc>
          <w:tcPr>
            <w:tcW w:w="306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5"/>
              </w:rPr>
              <w:t>DECEMBER 31, 2025</w:t>
            </w:r>
          </w:p>
        </w:tc>
        <w:tc>
          <w:tcPr>
            <w:tcW w:w="2820" w:type="dxa"/>
            <w:vAlign w:val="bottom"/>
          </w:tcPr>
          <w:p>
            <w:pPr>
              <w:jc w:val="center"/>
              <w:spacing w:after="0"/>
              <w:rPr>
                <w:sz w:val="20"/>
                <w:szCs w:val="20"/>
                <w:color w:val="auto"/>
              </w:rPr>
            </w:pPr>
            <w:r>
              <w:rPr>
                <w:rFonts w:ascii="Calibri" w:cs="Calibri" w:eastAsia="Calibri" w:hAnsi="Calibri"/>
                <w:sz w:val="21"/>
                <w:szCs w:val="21"/>
                <w:b w:val="1"/>
                <w:bCs w:val="1"/>
                <w:color w:val="0591DB"/>
                <w:w w:val="94"/>
              </w:rPr>
              <w:t>COMMON SHARES)</w:t>
            </w:r>
          </w:p>
        </w:tc>
        <w:tc>
          <w:tcPr>
            <w:tcW w:w="20" w:type="dxa"/>
            <w:vAlign w:val="bottom"/>
            <w:shd w:val="clear" w:color="auto" w:fill="0591DB"/>
          </w:tcPr>
          <w:p>
            <w:pPr>
              <w:spacing w:after="0"/>
              <w:rPr>
                <w:sz w:val="22"/>
                <w:szCs w:val="22"/>
                <w:color w:val="auto"/>
              </w:rPr>
            </w:pPr>
          </w:p>
        </w:tc>
      </w:tr>
      <w:tr>
        <w:trPr>
          <w:trHeight w:val="137"/>
        </w:trPr>
        <w:tc>
          <w:tcPr>
            <w:tcW w:w="5040" w:type="dxa"/>
            <w:vAlign w:val="bottom"/>
            <w:tcBorders>
              <w:left w:val="single" w:sz="8" w:color="0591DB"/>
              <w:bottom w:val="single" w:sz="8" w:color="0591DB"/>
              <w:right w:val="single" w:sz="8" w:color="0591DB"/>
            </w:tcBorders>
          </w:tcPr>
          <w:p>
            <w:pPr>
              <w:spacing w:after="0"/>
              <w:rPr>
                <w:sz w:val="11"/>
                <w:szCs w:val="11"/>
                <w:color w:val="auto"/>
              </w:rPr>
            </w:pPr>
          </w:p>
        </w:tc>
        <w:tc>
          <w:tcPr>
            <w:tcW w:w="3060" w:type="dxa"/>
            <w:vAlign w:val="bottom"/>
            <w:tcBorders>
              <w:bottom w:val="single" w:sz="8" w:color="0591DB"/>
              <w:right w:val="single" w:sz="8" w:color="0591DB"/>
            </w:tcBorders>
          </w:tcPr>
          <w:p>
            <w:pPr>
              <w:spacing w:after="0"/>
              <w:rPr>
                <w:sz w:val="11"/>
                <w:szCs w:val="11"/>
                <w:color w:val="auto"/>
              </w:rPr>
            </w:pPr>
          </w:p>
        </w:tc>
        <w:tc>
          <w:tcPr>
            <w:tcW w:w="2820" w:type="dxa"/>
            <w:vAlign w:val="bottom"/>
            <w:tcBorders>
              <w:bottom w:val="single" w:sz="8" w:color="0591DB"/>
            </w:tcBorders>
          </w:tcPr>
          <w:p>
            <w:pPr>
              <w:spacing w:after="0"/>
              <w:rPr>
                <w:sz w:val="11"/>
                <w:szCs w:val="11"/>
                <w:color w:val="auto"/>
              </w:rPr>
            </w:pPr>
          </w:p>
        </w:tc>
        <w:tc>
          <w:tcPr>
            <w:tcW w:w="20" w:type="dxa"/>
            <w:vAlign w:val="bottom"/>
            <w:tcBorders>
              <w:bottom w:val="single" w:sz="8" w:color="0591DB"/>
            </w:tcBorders>
            <w:shd w:val="clear" w:color="auto" w:fill="0591DB"/>
          </w:tcPr>
          <w:p>
            <w:pPr>
              <w:spacing w:after="0"/>
              <w:rPr>
                <w:sz w:val="11"/>
                <w:szCs w:val="11"/>
                <w:color w:val="auto"/>
              </w:rPr>
            </w:pPr>
          </w:p>
        </w:tc>
      </w:tr>
      <w:tr>
        <w:trPr>
          <w:trHeight w:val="196"/>
        </w:trPr>
        <w:tc>
          <w:tcPr>
            <w:tcW w:w="5040" w:type="dxa"/>
            <w:vAlign w:val="bottom"/>
          </w:tcPr>
          <w:p>
            <w:pPr>
              <w:ind w:left="100"/>
              <w:spacing w:after="0" w:line="197" w:lineRule="exact"/>
              <w:rPr>
                <w:sz w:val="20"/>
                <w:szCs w:val="20"/>
                <w:color w:val="auto"/>
              </w:rPr>
            </w:pPr>
            <w:r>
              <w:rPr>
                <w:rFonts w:ascii="Calibri" w:cs="Calibri" w:eastAsia="Calibri" w:hAnsi="Calibri"/>
                <w:sz w:val="17"/>
                <w:szCs w:val="17"/>
                <w:b w:val="1"/>
                <w:bCs w:val="1"/>
                <w:color w:val="0591DB"/>
              </w:rPr>
              <w:t>Steven H. Gunby</w:t>
            </w:r>
          </w:p>
        </w:tc>
        <w:tc>
          <w:tcPr>
            <w:tcW w:w="3060" w:type="dxa"/>
            <w:vAlign w:val="bottom"/>
          </w:tcPr>
          <w:p>
            <w:pPr>
              <w:jc w:val="center"/>
              <w:spacing w:after="0" w:line="197" w:lineRule="exact"/>
              <w:rPr>
                <w:sz w:val="20"/>
                <w:szCs w:val="20"/>
                <w:color w:val="auto"/>
              </w:rPr>
            </w:pPr>
            <w:r>
              <w:rPr>
                <w:rFonts w:ascii="Calibri" w:cs="Calibri" w:eastAsia="Calibri" w:hAnsi="Calibri"/>
                <w:sz w:val="17"/>
                <w:szCs w:val="17"/>
                <w:color w:val="333333"/>
                <w:w w:val="95"/>
              </w:rPr>
              <w:t>63%</w:t>
            </w:r>
          </w:p>
        </w:tc>
        <w:tc>
          <w:tcPr>
            <w:tcW w:w="2820" w:type="dxa"/>
            <w:vAlign w:val="bottom"/>
          </w:tcPr>
          <w:p>
            <w:pPr>
              <w:jc w:val="center"/>
              <w:ind w:left="10"/>
              <w:spacing w:after="0" w:line="197" w:lineRule="exact"/>
              <w:rPr>
                <w:sz w:val="20"/>
                <w:szCs w:val="20"/>
                <w:color w:val="auto"/>
              </w:rPr>
            </w:pPr>
            <w:r>
              <w:rPr>
                <w:rFonts w:ascii="Calibri" w:cs="Calibri" w:eastAsia="Calibri" w:hAnsi="Calibri"/>
                <w:sz w:val="17"/>
                <w:szCs w:val="17"/>
                <w:color w:val="333333"/>
              </w:rPr>
              <w:t>12,197</w:t>
            </w:r>
          </w:p>
        </w:tc>
        <w:tc>
          <w:tcPr>
            <w:tcW w:w="20" w:type="dxa"/>
            <w:vAlign w:val="bottom"/>
          </w:tcPr>
          <w:p>
            <w:pPr>
              <w:spacing w:after="0"/>
              <w:rPr>
                <w:sz w:val="17"/>
                <w:szCs w:val="17"/>
                <w:color w:val="auto"/>
              </w:rPr>
            </w:pPr>
          </w:p>
        </w:tc>
      </w:tr>
      <w:tr>
        <w:trPr>
          <w:trHeight w:val="64"/>
        </w:trPr>
        <w:tc>
          <w:tcPr>
            <w:tcW w:w="50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504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Paul Linton</w:t>
            </w:r>
          </w:p>
        </w:tc>
        <w:tc>
          <w:tcPr>
            <w:tcW w:w="306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5"/>
              </w:rPr>
              <w:t>65%</w:t>
            </w:r>
          </w:p>
        </w:tc>
        <w:tc>
          <w:tcPr>
            <w:tcW w:w="2820" w:type="dxa"/>
            <w:vAlign w:val="bottom"/>
            <w:shd w:val="clear" w:color="auto" w:fill="EFF2EF"/>
          </w:tcPr>
          <w:p>
            <w:pPr>
              <w:jc w:val="center"/>
              <w:ind w:left="10"/>
              <w:spacing w:after="0" w:line="203" w:lineRule="exact"/>
              <w:rPr>
                <w:sz w:val="20"/>
                <w:szCs w:val="20"/>
                <w:color w:val="auto"/>
              </w:rPr>
            </w:pPr>
            <w:r>
              <w:rPr>
                <w:rFonts w:ascii="Calibri" w:cs="Calibri" w:eastAsia="Calibri" w:hAnsi="Calibri"/>
                <w:sz w:val="17"/>
                <w:szCs w:val="17"/>
                <w:color w:val="333333"/>
              </w:rPr>
              <w:t>1,303</w:t>
            </w:r>
          </w:p>
        </w:tc>
        <w:tc>
          <w:tcPr>
            <w:tcW w:w="20" w:type="dxa"/>
            <w:vAlign w:val="bottom"/>
          </w:tcPr>
          <w:p>
            <w:pPr>
              <w:spacing w:after="0"/>
              <w:rPr>
                <w:sz w:val="17"/>
                <w:szCs w:val="17"/>
                <w:color w:val="auto"/>
              </w:rPr>
            </w:pPr>
          </w:p>
        </w:tc>
      </w:tr>
      <w:tr>
        <w:trPr>
          <w:trHeight w:val="64"/>
        </w:trPr>
        <w:tc>
          <w:tcPr>
            <w:tcW w:w="5040" w:type="dxa"/>
            <w:vAlign w:val="bottom"/>
            <w:tcBorders>
              <w:left w:val="single" w:sz="8" w:color="EFF2EF"/>
              <w:right w:val="single" w:sz="8" w:color="EFF2EF"/>
            </w:tcBorders>
            <w:shd w:val="clear" w:color="auto" w:fill="EFF2EF"/>
          </w:tcPr>
          <w:p>
            <w:pPr>
              <w:spacing w:after="0"/>
              <w:rPr>
                <w:sz w:val="5"/>
                <w:szCs w:val="5"/>
                <w:color w:val="auto"/>
              </w:rPr>
            </w:pPr>
          </w:p>
        </w:tc>
        <w:tc>
          <w:tcPr>
            <w:tcW w:w="3060" w:type="dxa"/>
            <w:vAlign w:val="bottom"/>
            <w:tcBorders>
              <w:right w:val="single" w:sz="8" w:color="EFF2EF"/>
            </w:tcBorders>
            <w:shd w:val="clear" w:color="auto" w:fill="EFF2EF"/>
          </w:tcPr>
          <w:p>
            <w:pPr>
              <w:spacing w:after="0"/>
              <w:rPr>
                <w:sz w:val="5"/>
                <w:szCs w:val="5"/>
                <w:color w:val="auto"/>
              </w:rPr>
            </w:pPr>
          </w:p>
        </w:tc>
        <w:tc>
          <w:tcPr>
            <w:tcW w:w="28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504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Ajay Sabherwal</w:t>
            </w:r>
          </w:p>
        </w:tc>
        <w:tc>
          <w:tcPr>
            <w:tcW w:w="306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2820" w:type="dxa"/>
            <w:vAlign w:val="bottom"/>
          </w:tcPr>
          <w:p>
            <w:pPr>
              <w:jc w:val="center"/>
              <w:ind w:left="10"/>
              <w:spacing w:after="0" w:line="203" w:lineRule="exact"/>
              <w:rPr>
                <w:sz w:val="20"/>
                <w:szCs w:val="20"/>
                <w:color w:val="auto"/>
              </w:rPr>
            </w:pPr>
            <w:r>
              <w:rPr>
                <w:rFonts w:ascii="Calibri" w:cs="Calibri" w:eastAsia="Calibri" w:hAnsi="Calibri"/>
                <w:sz w:val="17"/>
                <w:szCs w:val="17"/>
                <w:color w:val="333333"/>
                <w:w w:val="92"/>
              </w:rPr>
              <w:t>0</w:t>
            </w:r>
          </w:p>
        </w:tc>
        <w:tc>
          <w:tcPr>
            <w:tcW w:w="20" w:type="dxa"/>
            <w:vAlign w:val="bottom"/>
          </w:tcPr>
          <w:p>
            <w:pPr>
              <w:spacing w:after="0"/>
              <w:rPr>
                <w:sz w:val="17"/>
                <w:szCs w:val="17"/>
                <w:color w:val="auto"/>
              </w:rPr>
            </w:pPr>
          </w:p>
        </w:tc>
      </w:tr>
      <w:tr>
        <w:trPr>
          <w:trHeight w:val="64"/>
        </w:trPr>
        <w:tc>
          <w:tcPr>
            <w:tcW w:w="50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5040" w:type="dxa"/>
            <w:vAlign w:val="bottom"/>
            <w:tcBorders>
              <w:left w:val="single" w:sz="8" w:color="EFF2EF"/>
              <w:right w:val="single" w:sz="8" w:color="EFF2EF"/>
            </w:tcBorders>
            <w:shd w:val="clear" w:color="auto" w:fill="EFF2EF"/>
          </w:tcPr>
          <w:p>
            <w:pPr>
              <w:ind w:left="100"/>
              <w:spacing w:after="0" w:line="203" w:lineRule="exact"/>
              <w:rPr>
                <w:sz w:val="20"/>
                <w:szCs w:val="20"/>
                <w:color w:val="auto"/>
              </w:rPr>
            </w:pPr>
            <w:r>
              <w:rPr>
                <w:rFonts w:ascii="Calibri" w:cs="Calibri" w:eastAsia="Calibri" w:hAnsi="Calibri"/>
                <w:sz w:val="17"/>
                <w:szCs w:val="17"/>
                <w:b w:val="1"/>
                <w:bCs w:val="1"/>
                <w:color w:val="0591DB"/>
              </w:rPr>
              <w:t>Curts P. Lu</w:t>
            </w:r>
          </w:p>
        </w:tc>
        <w:tc>
          <w:tcPr>
            <w:tcW w:w="3060" w:type="dxa"/>
            <w:vAlign w:val="bottom"/>
            <w:tcBorders>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5"/>
              </w:rPr>
              <w:t>65%</w:t>
            </w:r>
          </w:p>
        </w:tc>
        <w:tc>
          <w:tcPr>
            <w:tcW w:w="2820" w:type="dxa"/>
            <w:vAlign w:val="bottom"/>
            <w:shd w:val="clear" w:color="auto" w:fill="EFF2EF"/>
          </w:tcPr>
          <w:p>
            <w:pPr>
              <w:jc w:val="center"/>
              <w:ind w:left="10"/>
              <w:spacing w:after="0" w:line="203" w:lineRule="exact"/>
              <w:rPr>
                <w:sz w:val="20"/>
                <w:szCs w:val="20"/>
                <w:color w:val="auto"/>
              </w:rPr>
            </w:pPr>
            <w:r>
              <w:rPr>
                <w:rFonts w:ascii="Calibri" w:cs="Calibri" w:eastAsia="Calibri" w:hAnsi="Calibri"/>
                <w:sz w:val="17"/>
                <w:szCs w:val="17"/>
                <w:color w:val="333333"/>
              </w:rPr>
              <w:t>1,303</w:t>
            </w:r>
          </w:p>
        </w:tc>
        <w:tc>
          <w:tcPr>
            <w:tcW w:w="20" w:type="dxa"/>
            <w:vAlign w:val="bottom"/>
          </w:tcPr>
          <w:p>
            <w:pPr>
              <w:spacing w:after="0"/>
              <w:rPr>
                <w:sz w:val="17"/>
                <w:szCs w:val="17"/>
                <w:color w:val="auto"/>
              </w:rPr>
            </w:pPr>
          </w:p>
        </w:tc>
      </w:tr>
      <w:tr>
        <w:trPr>
          <w:trHeight w:val="64"/>
        </w:trPr>
        <w:tc>
          <w:tcPr>
            <w:tcW w:w="5040" w:type="dxa"/>
            <w:vAlign w:val="bottom"/>
            <w:tcBorders>
              <w:left w:val="single" w:sz="8" w:color="EFF2EF"/>
              <w:right w:val="single" w:sz="8" w:color="EFF2EF"/>
            </w:tcBorders>
            <w:shd w:val="clear" w:color="auto" w:fill="EFF2EF"/>
          </w:tcPr>
          <w:p>
            <w:pPr>
              <w:spacing w:after="0"/>
              <w:rPr>
                <w:sz w:val="5"/>
                <w:szCs w:val="5"/>
                <w:color w:val="auto"/>
              </w:rPr>
            </w:pPr>
          </w:p>
        </w:tc>
        <w:tc>
          <w:tcPr>
            <w:tcW w:w="3060" w:type="dxa"/>
            <w:vAlign w:val="bottom"/>
            <w:tcBorders>
              <w:right w:val="single" w:sz="8" w:color="EFF2EF"/>
            </w:tcBorders>
            <w:shd w:val="clear" w:color="auto" w:fill="EFF2EF"/>
          </w:tcPr>
          <w:p>
            <w:pPr>
              <w:spacing w:after="0"/>
              <w:rPr>
                <w:sz w:val="5"/>
                <w:szCs w:val="5"/>
                <w:color w:val="auto"/>
              </w:rPr>
            </w:pPr>
          </w:p>
        </w:tc>
        <w:tc>
          <w:tcPr>
            <w:tcW w:w="28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5040" w:type="dxa"/>
            <w:vAlign w:val="bottom"/>
          </w:tcPr>
          <w:p>
            <w:pPr>
              <w:ind w:left="100"/>
              <w:spacing w:after="0" w:line="203" w:lineRule="exact"/>
              <w:rPr>
                <w:sz w:val="20"/>
                <w:szCs w:val="20"/>
                <w:color w:val="auto"/>
              </w:rPr>
            </w:pPr>
            <w:r>
              <w:rPr>
                <w:rFonts w:ascii="Calibri" w:cs="Calibri" w:eastAsia="Calibri" w:hAnsi="Calibri"/>
                <w:sz w:val="17"/>
                <w:szCs w:val="17"/>
                <w:b w:val="1"/>
                <w:bCs w:val="1"/>
                <w:color w:val="0591DB"/>
              </w:rPr>
              <w:t>Holly Paul</w:t>
            </w:r>
          </w:p>
        </w:tc>
        <w:tc>
          <w:tcPr>
            <w:tcW w:w="3060" w:type="dxa"/>
            <w:vAlign w:val="bottom"/>
          </w:tcPr>
          <w:p>
            <w:pPr>
              <w:jc w:val="center"/>
              <w:spacing w:after="0" w:line="203" w:lineRule="exact"/>
              <w:rPr>
                <w:sz w:val="20"/>
                <w:szCs w:val="20"/>
                <w:color w:val="auto"/>
              </w:rPr>
            </w:pPr>
            <w:r>
              <w:rPr>
                <w:rFonts w:ascii="Calibri" w:cs="Calibri" w:eastAsia="Calibri" w:hAnsi="Calibri"/>
                <w:sz w:val="17"/>
                <w:szCs w:val="17"/>
                <w:color w:val="333333"/>
                <w:w w:val="95"/>
              </w:rPr>
              <w:t>65%</w:t>
            </w:r>
          </w:p>
        </w:tc>
        <w:tc>
          <w:tcPr>
            <w:tcW w:w="2820" w:type="dxa"/>
            <w:vAlign w:val="bottom"/>
          </w:tcPr>
          <w:p>
            <w:pPr>
              <w:jc w:val="center"/>
              <w:ind w:left="10"/>
              <w:spacing w:after="0" w:line="203" w:lineRule="exact"/>
              <w:rPr>
                <w:sz w:val="20"/>
                <w:szCs w:val="20"/>
                <w:color w:val="auto"/>
              </w:rPr>
            </w:pPr>
            <w:r>
              <w:rPr>
                <w:rFonts w:ascii="Calibri" w:cs="Calibri" w:eastAsia="Calibri" w:hAnsi="Calibri"/>
                <w:sz w:val="17"/>
                <w:szCs w:val="17"/>
                <w:color w:val="333333"/>
              </w:rPr>
              <w:t>1,303</w:t>
            </w:r>
          </w:p>
        </w:tc>
        <w:tc>
          <w:tcPr>
            <w:tcW w:w="20" w:type="dxa"/>
            <w:vAlign w:val="bottom"/>
          </w:tcPr>
          <w:p>
            <w:pPr>
              <w:spacing w:after="0"/>
              <w:rPr>
                <w:sz w:val="17"/>
                <w:szCs w:val="17"/>
                <w:color w:val="auto"/>
              </w:rPr>
            </w:pPr>
          </w:p>
        </w:tc>
      </w:tr>
    </w:tbl>
    <w:p>
      <w:pPr>
        <w:spacing w:after="0" w:line="24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Core Operatons Equity Awards</w:t>
      </w:r>
    </w:p>
    <w:p>
      <w:pPr>
        <w:spacing w:after="0" w:line="212"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Instead of the LTIP program, Mr. Keatng receives equity awards given to certain senior leaders on an annual basis. Mr. Keatng’s awards under this program consist of 50% restricted stock units that vest over a two-year period, 50% on each of the frst and second anniversary of the grant date of the award, and 50% performance stock units that vest two-years from grant date based on relatve TSR over two years.</w:t>
      </w:r>
    </w:p>
    <w:p>
      <w:pPr>
        <w:spacing w:after="0" w:line="214" w:lineRule="exact"/>
        <w:rPr>
          <w:sz w:val="20"/>
          <w:szCs w:val="20"/>
          <w:color w:val="auto"/>
        </w:rPr>
      </w:pPr>
    </w:p>
    <w:p>
      <w:pPr>
        <w:jc w:val="both"/>
        <w:ind w:left="160" w:right="60"/>
        <w:spacing w:after="0" w:line="232" w:lineRule="auto"/>
        <w:rPr>
          <w:sz w:val="20"/>
          <w:szCs w:val="20"/>
          <w:color w:val="auto"/>
        </w:rPr>
      </w:pPr>
      <w:r>
        <w:rPr>
          <w:rFonts w:ascii="Calibri" w:cs="Calibri" w:eastAsia="Calibri" w:hAnsi="Calibri"/>
          <w:sz w:val="17"/>
          <w:szCs w:val="17"/>
          <w:color w:val="333333"/>
        </w:rPr>
        <w:t>The performance measurement period for Mr. Keatng’s awards subject to fnancial metrics based on Relatve TSR performance granted for the year ended December 31, 2024 began on January 1, 2024 and ended on December 31, 2025 (the “2024 2-Year Awards”). For the measurement period, FTI Consultng achieved Relatve TSR at the 14</w:t>
      </w:r>
      <w:r>
        <w:rPr>
          <w:rFonts w:ascii="Calibri" w:cs="Calibri" w:eastAsia="Calibri" w:hAnsi="Calibri"/>
          <w:sz w:val="12"/>
          <w:szCs w:val="12"/>
          <w:color w:val="333333"/>
        </w:rPr>
        <w:t>th</w:t>
      </w:r>
      <w:r>
        <w:rPr>
          <w:rFonts w:ascii="Calibri" w:cs="Calibri" w:eastAsia="Calibri" w:hAnsi="Calibri"/>
          <w:sz w:val="17"/>
          <w:szCs w:val="17"/>
          <w:color w:val="333333"/>
        </w:rPr>
        <w:t xml:space="preserve"> percentle resultng in no payout under the 2024 2-Year Awards.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2025 Discretonary Awards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In December 2025, the Compensaton Commitee approved discretonary awards to each of Mr. Linton and Mr. Lu.</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2025 Cash Awards</w:t>
      </w:r>
    </w:p>
    <w:p>
      <w:pPr>
        <w:spacing w:after="0" w:line="212"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For Mr. Linton, the Compensaton Commitee awarded a cash bonus of $700,000 for serving as Interim Chief Financial Ofcer, in additon to his role as Chief Strategy and Informaton Ofcer. Mr. Linton’s cash award payment processed in December 2025. For Mr. Lu, the Compensaton Commitee awarded a cash bonus of $500,000 for achieving</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78</w:t>
      </w:r>
    </w:p>
    <w:p>
      <w:pPr>
        <w:sectPr>
          <w:pgSz w:w="11900" w:h="16838" w:orient="portrait"/>
          <w:cols w:equalWidth="0" w:num="1">
            <w:col w:w="11100"/>
          </w:cols>
          <w:pgMar w:left="320" w:top="478"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multple important litgaton outcomes during the year. Mr. Lu’s cash award payment processed in January 2026. Each cash award is subject to repayment if Mr. Linton or Mr. Lu voluntarily resigns for any reason (other than death or disability) or is terminated for cause prior to the second anniversary of their award payment date.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2025 Restricted Stock Awards</w:t>
      </w:r>
    </w:p>
    <w:p>
      <w:pPr>
        <w:spacing w:after="0" w:line="212" w:lineRule="exact"/>
        <w:rPr>
          <w:sz w:val="20"/>
          <w:szCs w:val="20"/>
          <w:color w:val="auto"/>
        </w:rPr>
      </w:pPr>
    </w:p>
    <w:p>
      <w:pPr>
        <w:jc w:val="both"/>
        <w:ind w:left="160" w:right="240"/>
        <w:spacing w:after="0" w:line="232" w:lineRule="auto"/>
        <w:rPr>
          <w:sz w:val="20"/>
          <w:szCs w:val="20"/>
          <w:color w:val="auto"/>
        </w:rPr>
      </w:pPr>
      <w:r>
        <w:rPr>
          <w:rFonts w:ascii="Calibri" w:cs="Calibri" w:eastAsia="Calibri" w:hAnsi="Calibri"/>
          <w:sz w:val="17"/>
          <w:szCs w:val="17"/>
          <w:color w:val="333333"/>
        </w:rPr>
        <w:t>In light of their long tenure in their respectve roles and many years of signifcant contributons to the Company, the Compensaton Commitee awarded restricted stock awards with a grant date fair value of $1,000,000 to Mr. Linton and $2,000,000 to Mr. Lu, in December 2025, each pursuant to the 2017 Plan and vestng 25% annually on the anniversary of the grant date.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Other Programs, Policies and Guidelines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Executve Ofcer Equity Ownership</w:t>
      </w:r>
    </w:p>
    <w:p>
      <w:pPr>
        <w:spacing w:after="0" w:line="212"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Our Policy on Executve Ofcer Equity Ownership (“Executve Stock Ownership Policy”) demonstrates our contnuing commitment to shareholder values and is an important method to immediately align management and shareholder interests. For 2025, our CEO and other covered NEOs were required to maintain an investment level in Company equity equal to at least seven tmes (7.0x) and three tmes (3.0x) their annual cash base salaries, respectvely. A covered ofcer must atain that ownership level within three years from his or her hire date. If a covered ofcer’s positon or base salary changes and results in a change of the applicable investment level, the new applicable investment level shall be included in the annual testng on the third anniversary of such positon or salary change.</w:t>
      </w:r>
    </w:p>
    <w:p>
      <w:pPr>
        <w:spacing w:after="0" w:line="214" w:lineRule="exact"/>
        <w:rPr>
          <w:sz w:val="20"/>
          <w:szCs w:val="20"/>
          <w:color w:val="auto"/>
        </w:rPr>
      </w:pPr>
    </w:p>
    <w:p>
      <w:pPr>
        <w:ind w:left="160" w:right="20"/>
        <w:spacing w:after="0"/>
        <w:rPr>
          <w:sz w:val="20"/>
          <w:szCs w:val="20"/>
          <w:color w:val="auto"/>
        </w:rPr>
      </w:pPr>
      <w:r>
        <w:rPr>
          <w:rFonts w:ascii="Calibri" w:cs="Calibri" w:eastAsia="Calibri" w:hAnsi="Calibri"/>
          <w:sz w:val="17"/>
          <w:szCs w:val="17"/>
          <w:color w:val="333333"/>
        </w:rPr>
        <w:t>Sales and transfers of Company shares held by a covered ofcer will be restricted if he or she does not atain or maintain the applicable equity ownership investment level at the applicable tme except (i) as necessary to exercise a stock opton, (ii) as necessary to pay taxes associated with the sale or vestng of equity awards or (iii) with the prior writen approval of the Compensaton Commitee, in its sole discreton. Shares of Company Common Stock that are directly or indirectly owned by the ofcer or owned through a trust, and unvested restricted shares, will count toward ataining and maintaining the applicable equity ownership level, while unvested and unexercised stock optons, stock appreciaton rights and unearned performance-based awards will not. The shares of Common Stock counted toward ataining and maintaining the applicable stock ownership level will be valued at the average of the closing price per share of Common Stock reported on the NYSE for each trading day in the 90-calendar-day period immediately preceding the stock ownership determinaton date.</w:t>
      </w:r>
    </w:p>
    <w:p>
      <w:pPr>
        <w:spacing w:after="0" w:line="366" w:lineRule="exact"/>
        <w:rPr>
          <w:sz w:val="20"/>
          <w:szCs w:val="20"/>
          <w:color w:val="auto"/>
        </w:rPr>
      </w:pPr>
    </w:p>
    <w:p>
      <w:pPr>
        <w:ind w:left="160" w:right="160"/>
        <w:spacing w:after="0" w:line="233" w:lineRule="auto"/>
        <w:rPr>
          <w:sz w:val="20"/>
          <w:szCs w:val="20"/>
          <w:color w:val="auto"/>
        </w:rPr>
      </w:pPr>
      <w:r>
        <w:rPr>
          <w:rFonts w:ascii="Calibri" w:cs="Calibri" w:eastAsia="Calibri" w:hAnsi="Calibri"/>
          <w:sz w:val="17"/>
          <w:szCs w:val="17"/>
          <w:color w:val="333333"/>
        </w:rPr>
        <w:t>Each of the CEO and other covered NEOs met the applicable equity ownership level for 2025 as of the close of business on the Record Date. Mr. Keatng’s role is not subject to the Executve Ofcer Equity Ownership Policy, and he is, therefore, excluded from the chart below.</w:t>
      </w:r>
    </w:p>
    <w:p>
      <w:pPr>
        <w:spacing w:after="0" w:line="212"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 xml:space="preserve">The following chart illustrates the (i) equity ownership levels in the Company actually held and required to be held by our CEO and (ii) average equity ownership level actually held by our NEOs (not including Mr. Keatng, who is not subject to the Executve Stock Ownership Policy) other than our CEO as a group and required to be held by each such other NEO, in each case valued at </w:t>
      </w:r>
      <w:r>
        <w:rPr>
          <w:rFonts w:ascii="Calibri" w:cs="Calibri" w:eastAsia="Calibri" w:hAnsi="Calibri"/>
          <w:sz w:val="17"/>
          <w:szCs w:val="17"/>
          <w:b w:val="1"/>
          <w:bCs w:val="1"/>
          <w:color w:val="333333"/>
        </w:rPr>
        <w:t>$171.89</w:t>
      </w:r>
      <w:r>
        <w:rPr>
          <w:rFonts w:ascii="Calibri" w:cs="Calibri" w:eastAsia="Calibri" w:hAnsi="Calibri"/>
          <w:sz w:val="17"/>
          <w:szCs w:val="17"/>
          <w:color w:val="333333"/>
        </w:rPr>
        <w:t xml:space="preserve"> per share (which was the average of the closing price per share of our Common Stock reported on the NYSE for each trading day in the 90-calendar-day period immediately preceding and including the Record Date):</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79</w:t>
      </w:r>
    </w:p>
    <w:p>
      <w:pPr>
        <w:sectPr>
          <w:pgSz w:w="11900" w:h="16838" w:orient="portrait"/>
          <w:cols w:equalWidth="0" w:num="1">
            <w:col w:w="11080"/>
          </w:cols>
          <w:pgMar w:left="320" w:top="478"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Executve Ofcer Stock Ownership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038215" cy="19958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821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433"/>
        <w:spacing w:after="0"/>
        <w:tabs>
          <w:tab w:leader="none" w:pos="600" w:val="left"/>
        </w:tabs>
        <w:numPr>
          <w:ilvl w:val="0"/>
          <w:numId w:val="97"/>
        </w:numPr>
        <w:rPr>
          <w:rFonts w:ascii="Calibri" w:cs="Calibri" w:eastAsia="Calibri" w:hAnsi="Calibri"/>
          <w:sz w:val="17"/>
          <w:szCs w:val="17"/>
          <w:color w:val="333333"/>
        </w:rPr>
      </w:pPr>
      <w:r>
        <w:rPr>
          <w:rFonts w:ascii="Calibri" w:cs="Calibri" w:eastAsia="Calibri" w:hAnsi="Calibri"/>
          <w:sz w:val="17"/>
          <w:szCs w:val="17"/>
          <w:color w:val="333333"/>
        </w:rPr>
        <w:t>For purposes of the above chart, “M” = millions.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Policy on Inside Informaton and Insider Trading</w:t>
      </w:r>
    </w:p>
    <w:p>
      <w:pPr>
        <w:spacing w:after="0" w:line="212" w:lineRule="exact"/>
        <w:rPr>
          <w:sz w:val="20"/>
          <w:szCs w:val="20"/>
          <w:color w:val="auto"/>
        </w:rPr>
      </w:pPr>
    </w:p>
    <w:p>
      <w:pPr>
        <w:ind w:left="160" w:right="260"/>
        <w:spacing w:after="0" w:line="232" w:lineRule="auto"/>
        <w:rPr>
          <w:sz w:val="20"/>
          <w:szCs w:val="20"/>
          <w:color w:val="auto"/>
        </w:rPr>
      </w:pPr>
      <w:r>
        <w:rPr>
          <w:rFonts w:ascii="Calibri" w:cs="Calibri" w:eastAsia="Calibri" w:hAnsi="Calibri"/>
          <w:sz w:val="17"/>
          <w:szCs w:val="17"/>
          <w:color w:val="333333"/>
        </w:rPr>
        <w:t>The Company has adopted a Policy on Inside Informaton and Insider Trading (“Insider Trading Policy”) governing the purchase, sale, and/or other dispositons of the Company’s securites by the Company, directors, ofcers and employees, as well as the Company itself. The Insider Trading Policy is reasonably designed to promote compliance with insider trading laws, rules and regulatons, and any applicable listng standards. The Company fles its Insider Trading Policy as an exhibit to its Annual Report on Form 10-K fled with the SEC.</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Company’s Policy on Inside Informaton and Insider Trading prohibits our executve ofcers, non-employee directors and employees from</w:t>
      </w:r>
    </w:p>
    <w:p>
      <w:pPr>
        <w:ind w:left="360" w:hanging="193"/>
        <w:spacing w:after="0" w:line="232" w:lineRule="auto"/>
        <w:tabs>
          <w:tab w:leader="none" w:pos="360" w:val="left"/>
        </w:tabs>
        <w:numPr>
          <w:ilvl w:val="0"/>
          <w:numId w:val="98"/>
        </w:numPr>
        <w:rPr>
          <w:rFonts w:ascii="Calibri" w:cs="Calibri" w:eastAsia="Calibri" w:hAnsi="Calibri"/>
          <w:sz w:val="17"/>
          <w:szCs w:val="17"/>
          <w:color w:val="333333"/>
        </w:rPr>
      </w:pPr>
      <w:r>
        <w:rPr>
          <w:rFonts w:ascii="Calibri" w:cs="Calibri" w:eastAsia="Calibri" w:hAnsi="Calibri"/>
          <w:sz w:val="17"/>
          <w:szCs w:val="17"/>
          <w:color w:val="333333"/>
        </w:rPr>
        <w:t>purchasing, selling and trading in optons (including publicly traded optons), warrants, puts and calls or similar instruments relatng to our securites,</w:t>
      </w:r>
    </w:p>
    <w:p>
      <w:pPr>
        <w:ind w:left="160" w:firstLine="7"/>
        <w:spacing w:after="0" w:line="232" w:lineRule="auto"/>
        <w:tabs>
          <w:tab w:leader="none" w:pos="385" w:val="left"/>
        </w:tabs>
        <w:numPr>
          <w:ilvl w:val="0"/>
          <w:numId w:val="98"/>
        </w:numPr>
        <w:rPr>
          <w:rFonts w:ascii="Calibri" w:cs="Calibri" w:eastAsia="Calibri" w:hAnsi="Calibri"/>
          <w:sz w:val="17"/>
          <w:szCs w:val="17"/>
          <w:color w:val="333333"/>
        </w:rPr>
      </w:pPr>
      <w:r>
        <w:rPr>
          <w:rFonts w:ascii="Calibri" w:cs="Calibri" w:eastAsia="Calibri" w:hAnsi="Calibri"/>
          <w:sz w:val="17"/>
          <w:szCs w:val="17"/>
          <w:color w:val="333333"/>
        </w:rPr>
        <w:t>engaging in derivatve securites transactons involving or relatng to our securites, including hedging or monetzaton transactons, such as zero-cost collars and forward sale contracts that allow a person to lock in a porton of the value of his or her shares, ofen in exchange for all or part of the potental for upside appreciaton in the shares, (iii) pledging and short selling our securites, (iv) purchasing our securites on margin and (v) placing bets on the price movement of our securites, such as spread betng.</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Compensaton Recoupment (Clawback) Policy</w:t>
      </w:r>
    </w:p>
    <w:p>
      <w:pPr>
        <w:spacing w:after="0" w:line="212"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The Company’s Compensaton Recoupment (Clawback) Policy provides that in the event the Company is required to prepare an accountng restatement of the Company’s fnancial statements due to the Company’s material non-compliance with any fnancial reportng requirement under the federal securites laws (including any correcton that is material to the previously issued fnancial statements, or that would result in a material misstatement if the error were corrected in the current period or lef uncorrected in the current period), the Company is authorized to recover from the CEO and other covered executve ofcers (including the other NEOs) the amount of incentve-based compensaton that exceeds the amount that otherwise would have been received by any of them had such amount been determined based on the restated fnancial statements. Incentve compensaton is defned as any compensaton granted, earned or vested based in whole or in part on the Company’s atainment of a fnancial reportng measure that was received by a covered ofcer on or afer October 2, 2023 and within the three completed fscal years immediately preceding the date that the Company is required to prepare an accountng restatement pursuant to this policy.</w:t>
      </w:r>
    </w:p>
    <w:p>
      <w:pPr>
        <w:spacing w:after="0" w:line="143"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80</w:t>
      </w:r>
    </w:p>
    <w:p>
      <w:pPr>
        <w:sectPr>
          <w:pgSz w:w="11900" w:h="16838" w:orient="portrait"/>
          <w:cols w:equalWidth="0" w:num="1">
            <w:col w:w="11060"/>
          </w:cols>
          <w:pgMar w:left="320" w:top="478"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Deductbility of NEO Compensaton</w:t>
      </w:r>
    </w:p>
    <w:p>
      <w:pPr>
        <w:spacing w:after="0" w:line="212"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Secton 162(m) (“Code Secton 162(m)”) of the U.S. Internal Revenue Code of 1986, as amended, limits the deductbility of compensaton in excess of $1.0 million paid to a company’s chief executve ofcer and certain other individuals, including the NEOs. The Compensaton Commitee considers Code Secton 162(m) when making compensaton decisions, but other consideratons, such as hiring qualifed executve ofcers and providing our executve ofcers with compettve and adequate incentves to remain with and increase our business operatons, fnancial performance and prospects, as well as rewarding extraordinary contributons, also signifcantly factor into the Compensaton Commitee’s decisions. As a result, the Company reserves the right to pay compensaton that may not qualify for deducton under Code Secton 162(m).</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Timing of Equity Grants</w:t>
      </w:r>
    </w:p>
    <w:p>
      <w:pPr>
        <w:spacing w:after="0" w:line="212" w:lineRule="exact"/>
        <w:rPr>
          <w:sz w:val="20"/>
          <w:szCs w:val="20"/>
          <w:color w:val="auto"/>
        </w:rPr>
      </w:pPr>
    </w:p>
    <w:p>
      <w:pPr>
        <w:ind w:left="160" w:right="100"/>
        <w:spacing w:after="0"/>
        <w:rPr>
          <w:sz w:val="20"/>
          <w:szCs w:val="20"/>
          <w:color w:val="auto"/>
        </w:rPr>
      </w:pPr>
      <w:r>
        <w:rPr>
          <w:rFonts w:ascii="Calibri" w:cs="Calibri" w:eastAsia="Calibri" w:hAnsi="Calibri"/>
          <w:sz w:val="17"/>
          <w:szCs w:val="17"/>
          <w:color w:val="333333"/>
        </w:rPr>
        <w:t>The Compensaton Commitee is the administrator of our equity compensaton plans and programs. The Compensaton Commitee makes annual equity grants to our NEOs in the form of stock-based awards, including tme-based RSUs (to the CEO) or tme-based RSAs (to other NEOs) and Performance RSUs (to all NEOs). Since 2017, the Compensaton Commitee has not granted stock optons or SARs as equity compensaton to NEOs. When granted, opton awards have been made at an exercise price equal to or exceeding the fair market value per share of our Common Stock on the grant date and have a 10-year term. </w:t>
      </w:r>
    </w:p>
    <w:p>
      <w:pPr>
        <w:spacing w:after="0" w:line="387"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The Compensaton Commitee typically makes annual short-term and long-term incentve compensaton pay decisions during the frst quarter of the year to allow disseminaton of our fourth-quarter and year-end earnings announcements prior to the grant dates of such awards. In some cases, the Compensaton Commitee will grant awards that are contngent, with conditons precedent that may include commencement of employment or the executon and delivery of employment or other documents, or may authorize awards as of future grant dates. The equity awards to the NEOs are subject to contractual provisions governing the acceleraton of vestng on specifed events.</w:t>
      </w:r>
    </w:p>
    <w:p>
      <w:pPr>
        <w:spacing w:after="0" w:line="214"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The Compensaton Commitee has not delegated its authority to make equity awards or prescribe the terms (including vestng terms) to our management. During 2025, the Compensaton Commitee did not tme the disclosure of material nonpublic informaton for the purpose of afectng the value of executve compensaton.</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Compensaton-Related Risks</w:t>
      </w:r>
    </w:p>
    <w:p>
      <w:pPr>
        <w:spacing w:after="0" w:line="212" w:lineRule="exact"/>
        <w:rPr>
          <w:sz w:val="20"/>
          <w:szCs w:val="20"/>
          <w:color w:val="auto"/>
        </w:rPr>
      </w:pPr>
    </w:p>
    <w:p>
      <w:pPr>
        <w:jc w:val="both"/>
        <w:ind w:left="160" w:right="180"/>
        <w:spacing w:after="0" w:line="232" w:lineRule="auto"/>
        <w:rPr>
          <w:sz w:val="20"/>
          <w:szCs w:val="20"/>
          <w:color w:val="auto"/>
        </w:rPr>
      </w:pPr>
      <w:r>
        <w:rPr>
          <w:rFonts w:ascii="Calibri" w:cs="Calibri" w:eastAsia="Calibri" w:hAnsi="Calibri"/>
          <w:sz w:val="17"/>
          <w:szCs w:val="17"/>
          <w:color w:val="333333"/>
        </w:rPr>
        <w:t>At the request and directon of the Compensaton Commitee and the Audit Commitee, management conducted an assessment of risks associated with the Company’s compensaton policies and practces for the year ended December 31, 2025. This assessment included the: (i) review of programs, plans, policies, procedures and practces relatng to the components of executve ofcer and employee compensaton; (ii) review of incentve-based equity and cash compensaton; (iii) identfcaton of compensaton design features that could potentally encourage excessive or imprudent risk taking;</w:t>
      </w:r>
    </w:p>
    <w:p>
      <w:pPr>
        <w:spacing w:after="0" w:line="2" w:lineRule="exact"/>
        <w:rPr>
          <w:sz w:val="20"/>
          <w:szCs w:val="20"/>
          <w:color w:val="auto"/>
        </w:rPr>
      </w:pPr>
    </w:p>
    <w:p>
      <w:pPr>
        <w:ind w:left="160" w:firstLine="7"/>
        <w:spacing w:after="0" w:line="232" w:lineRule="auto"/>
        <w:tabs>
          <w:tab w:leader="none" w:pos="423" w:val="left"/>
        </w:tabs>
        <w:numPr>
          <w:ilvl w:val="0"/>
          <w:numId w:val="99"/>
        </w:numPr>
        <w:rPr>
          <w:rFonts w:ascii="Calibri" w:cs="Calibri" w:eastAsia="Calibri" w:hAnsi="Calibri"/>
          <w:sz w:val="17"/>
          <w:szCs w:val="17"/>
          <w:color w:val="333333"/>
        </w:rPr>
      </w:pPr>
      <w:r>
        <w:rPr>
          <w:rFonts w:ascii="Calibri" w:cs="Calibri" w:eastAsia="Calibri" w:hAnsi="Calibri"/>
          <w:sz w:val="17"/>
          <w:szCs w:val="17"/>
          <w:color w:val="333333"/>
        </w:rPr>
        <w:t>identfcaton of business risks that these features could potentally encourage; (v) consideraton of the presence or absence of controls, oversight or other factors that mitgate potental risks; (vi) assessment of potental risks; and (vii) consideraton of the potental for such risks to result in a material adverse efect on the Company and its subsidiaries taken as a whole. Based on the assessment and factors described above, the Company determined that the risks associated with its compensaton policies and practces are not reasonably likely to result in a material adverse efect on the Company and its subsidiaries taken as a whole.</w:t>
      </w:r>
    </w:p>
    <w:p>
      <w:pPr>
        <w:spacing w:after="0" w:line="140"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81</w:t>
      </w:r>
    </w:p>
    <w:p>
      <w:pPr>
        <w:sectPr>
          <w:pgSz w:w="11900" w:h="16838" w:orient="portrait"/>
          <w:cols w:equalWidth="0" w:num="1">
            <w:col w:w="11060"/>
          </w:cols>
          <w:pgMar w:left="320" w:top="478"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Other Compensaton</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Health and Welfare Benefts</w:t>
      </w:r>
    </w:p>
    <w:p>
      <w:pPr>
        <w:spacing w:after="0" w:line="212"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We provide our NEOs with substantally the same benefts that we provide to employees generally, to promote NEO health and welfare, to facilitate their job performance and to te their interests with those of the Company’s other employees. These benefts include medical, dental, vision, prescripton drug and mental health insurance, and/or a health savings account, pre-tax health and dependent care fexible spending accounts, parking and transportaton reimbursement accounts, group life insurance, supplemental life insurance, accidental death and dismemberment insurance, short-term and long-term disability insurance coverage, and parental, family and medical leave.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Retrement Benefts</w:t>
      </w:r>
    </w:p>
    <w:p>
      <w:pPr>
        <w:spacing w:after="0" w:line="212"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We do not maintain defned beneft pension plans. Retrement benefts to U.S. employees are currently provided through our 401(k) Plan. To align the interests of our NEOs with those of our employees, the NEOs are eligible to partcipate in our 401(k) Plan on the same basis as our general U.S. employee populaton and, like our employees, are eligible to receive employer matching benefts.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Terminaton Payments</w:t>
      </w:r>
    </w:p>
    <w:p>
      <w:pPr>
        <w:spacing w:after="0" w:line="212"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We have entered into employment arrangements with our CEO and other NEOs that broadly provide for the parameters of their employment with the Company and enttle them to receive specifed severance payments and benefts upon certain qualifying terminatons of employment. Under the employment agreement with the CEO dated as of December 8, 2025 (the “CEO Employment Agreement”), in connecton with a terminaton by the Company without “Cause” or terminaton by the CEO with “Good Reason” (each, as defned in the CEO Employment Agreement), subject to the executon of a release of claims (a “Release”), the CEO generally will be eligible to receive (i) pro rata cash AIP for the year of terminaton, (a) for the fnancial components of AIP, an amount determined based on the actual performance of operatng fnancial performance metric(s) established for the year of terminaton (with no exercise of negatve discreton), payable when such AIP is paid to other executves of the Company, plus (b) based on individual performance (if an applicable performance metric for the year of terminaton), in an amount determined based on the CEO’s individual performance AIP awarded and paid in the year prior to the year of terminaton, payable within two and one-half months following the efectve date of the CEO’s terminaton, (ii) a lump sum cash severance payment equal to two tmes (2.0x) the sum of the CEO’s base salary and target bonus, payable within 15 days of executon of a Release, and (iii) contnued partcipaton in the Company’s health and welfare plans at the same level of coverage in efect for actve senior employees for a period of up to 18 months. The pro rata cash AIP component of the foregoing severance package described in clause (i) above is also payable in connecton with a terminaton of the CEO as a result of the CEO’s “Disability” (as defned in the CEO Employment Agreement) and death. The foregoing severance opportunity is consistent with survey market data provided by the compensaton advisor.</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In connecton with the 2023 LTIP equity award grant process, the Compensaton Commitee, in consultaton with its outside compensaton advisor, determined that it was appropriate to add new retrement vestng protectons to the LTIP awards for our CEO with respect to LTIP awards granted to our CEO in 2023 and later years. “Retrement” has been defned in the LTIP equity award agreements to mean the CEO’s voluntary resignaton of service with the Company for any reason on or afer certain future dates as specifed in the applicable LTIP award agreement where circumstances consttutng grounds for the Company to terminate the CEO’s Service for Cause (as defned in the CEO Employment Agreement) do not exist. Under such awards, in the event of our CEO’s terminaton of employment due</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82</w:t>
      </w:r>
    </w:p>
    <w:p>
      <w:pPr>
        <w:sectPr>
          <w:pgSz w:w="11900" w:h="16838" w:orient="portrait"/>
          <w:cols w:equalWidth="0" w:num="1">
            <w:col w:w="11060"/>
          </w:cols>
          <w:pgMar w:left="320" w:top="478" w:right="5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40"/>
        <w:spacing w:after="0"/>
        <w:rPr>
          <w:sz w:val="20"/>
          <w:szCs w:val="20"/>
          <w:color w:val="auto"/>
        </w:rPr>
      </w:pPr>
      <w:r>
        <w:rPr>
          <w:rFonts w:ascii="Calibri" w:cs="Calibri" w:eastAsia="Calibri" w:hAnsi="Calibri"/>
          <w:sz w:val="17"/>
          <w:szCs w:val="17"/>
          <w:color w:val="333333"/>
        </w:rPr>
        <w:t xml:space="preserve">to retrement, unvested tme-based RSUs will contnue to vest and setle following the tme of terminaton due to the CEO’s retrement in accordance with the original vestng schedule under the award agreement, subject to contnued compliance with all applicable restrictve covenants. With respect to Performance RSUs granted to the CEO as LTIP in 2023 and later years, unearned and unvested Performance RSUs at the tme of terminaton due to the CEO’s retrement prior to a Change in Control will remain outstanding and become vested (and setled) or forfeited based on the achievement of the applicable performance conditons upon the earlier to occur of the date of the original fnal determinaton for the achievement of the applicable performance conditons and a Change in Control, subject to contnued compliance with all applicable restrictve covenants. If the terminaton of the CEO due to retrement occurs on or following a Change in Control, the unearned and unvested Performance RSUs will convert to a right to receive cash on the original fnal performance determinaton date, the date for determining achievement of the applicable performance goals will accelerate, and the cash value payable to the CEO will be determined by multplying the (x) number of such cash units by (y) the closing price per share of Common Stock reported on the NYSE for the date of the consummaton of such Change in Control. In order for the CEO to be eligible for the retrement vestng protecton, the CEO must provide at least six months of advance writen notce of his intended retrement date and must be available to assist in succession planning eforts during such notce period. See the secton ttled “Informaton About Our Executve Ofcers And Compensaton — Employment Agreements And Terminaton And Change In Control Payments — Terminaton Payments — Terminaton And Change In Control Payment Amounts” beginning on </w:t>
      </w:r>
      <w:r>
        <w:rPr>
          <w:rFonts w:ascii="Calibri" w:cs="Calibri" w:eastAsia="Calibri" w:hAnsi="Calibri"/>
          <w:sz w:val="17"/>
          <w:szCs w:val="17"/>
          <w:color w:val="0591DB"/>
        </w:rPr>
        <w:t>page 101</w:t>
      </w:r>
      <w:r>
        <w:rPr>
          <w:rFonts w:ascii="Calibri" w:cs="Calibri" w:eastAsia="Calibri" w:hAnsi="Calibri"/>
          <w:sz w:val="17"/>
          <w:szCs w:val="17"/>
          <w:color w:val="333333"/>
        </w:rPr>
        <w:t xml:space="preserve"> of this Proxy Statement.</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Under the employment leters with each of Mr. Linton and Mr. Lu, as amended from tme to tme (in each case, an “Ofcer Employment Leter,” and,</w:t>
      </w:r>
    </w:p>
    <w:p>
      <w:pPr>
        <w:ind w:left="160"/>
        <w:spacing w:after="0" w:line="232" w:lineRule="auto"/>
        <w:rPr>
          <w:sz w:val="20"/>
          <w:szCs w:val="20"/>
          <w:color w:val="auto"/>
        </w:rPr>
      </w:pPr>
      <w:r>
        <w:rPr>
          <w:rFonts w:ascii="Calibri" w:cs="Calibri" w:eastAsia="Calibri" w:hAnsi="Calibri"/>
          <w:sz w:val="17"/>
          <w:szCs w:val="17"/>
          <w:color w:val="333333"/>
        </w:rPr>
        <w:t>collectvely, the “Ofcer Employment Leters”), in connecton with a terminaton by the Company without “Cause” or terminaton by such applicable</w:t>
      </w:r>
    </w:p>
    <w:p>
      <w:pPr>
        <w:ind w:left="160"/>
        <w:spacing w:after="0" w:line="232" w:lineRule="auto"/>
        <w:rPr>
          <w:sz w:val="20"/>
          <w:szCs w:val="20"/>
          <w:color w:val="auto"/>
        </w:rPr>
      </w:pPr>
      <w:r>
        <w:rPr>
          <w:rFonts w:ascii="Calibri" w:cs="Calibri" w:eastAsia="Calibri" w:hAnsi="Calibri"/>
          <w:sz w:val="17"/>
          <w:szCs w:val="17"/>
          <w:color w:val="333333"/>
        </w:rPr>
        <w:t>executve ofcer with “Good Reason” (each as defned in the applicable Ofcer Employment Leter), subject to the executon of a Release, each such</w:t>
      </w:r>
    </w:p>
    <w:p>
      <w:pPr>
        <w:ind w:left="160"/>
        <w:spacing w:after="0" w:line="232" w:lineRule="auto"/>
        <w:rPr>
          <w:sz w:val="20"/>
          <w:szCs w:val="20"/>
          <w:color w:val="auto"/>
        </w:rPr>
      </w:pPr>
      <w:r>
        <w:rPr>
          <w:rFonts w:ascii="Calibri" w:cs="Calibri" w:eastAsia="Calibri" w:hAnsi="Calibri"/>
          <w:sz w:val="17"/>
          <w:szCs w:val="17"/>
          <w:color w:val="333333"/>
        </w:rPr>
        <w:t>applicable executve ofcer generally will be enttled to one tmes (1.0x) base salary contnuaton for a period of 12 months following such terminaton,</w:t>
      </w:r>
    </w:p>
    <w:p>
      <w:pPr>
        <w:ind w:left="160"/>
        <w:spacing w:after="0" w:line="232" w:lineRule="auto"/>
        <w:rPr>
          <w:sz w:val="20"/>
          <w:szCs w:val="20"/>
          <w:color w:val="auto"/>
        </w:rPr>
      </w:pPr>
      <w:r>
        <w:rPr>
          <w:rFonts w:ascii="Calibri" w:cs="Calibri" w:eastAsia="Calibri" w:hAnsi="Calibri"/>
          <w:sz w:val="17"/>
          <w:szCs w:val="17"/>
          <w:color w:val="333333"/>
        </w:rPr>
        <w:t>provided that such amount will be increased to one tmes (1.0x) the sum of (i) 12 months base salary, plus (ii) target bonus for the year of terminaton, if</w:t>
      </w:r>
    </w:p>
    <w:p>
      <w:pPr>
        <w:ind w:left="160"/>
        <w:spacing w:after="0" w:line="232" w:lineRule="auto"/>
        <w:rPr>
          <w:sz w:val="20"/>
          <w:szCs w:val="20"/>
          <w:color w:val="auto"/>
        </w:rPr>
      </w:pPr>
      <w:r>
        <w:rPr>
          <w:rFonts w:ascii="Calibri" w:cs="Calibri" w:eastAsia="Calibri" w:hAnsi="Calibri"/>
          <w:sz w:val="17"/>
          <w:szCs w:val="17"/>
          <w:color w:val="333333"/>
        </w:rPr>
        <w:t>such applicable executve ofcer’s employment is terminated by the Company (or its successor) without Cause or by such applicable executve ofcer with</w:t>
      </w:r>
    </w:p>
    <w:p>
      <w:pPr>
        <w:ind w:left="160"/>
        <w:spacing w:after="0" w:line="232" w:lineRule="auto"/>
        <w:rPr>
          <w:sz w:val="20"/>
          <w:szCs w:val="20"/>
          <w:color w:val="auto"/>
        </w:rPr>
      </w:pPr>
      <w:r>
        <w:rPr>
          <w:rFonts w:ascii="Calibri" w:cs="Calibri" w:eastAsia="Calibri" w:hAnsi="Calibri"/>
          <w:sz w:val="17"/>
          <w:szCs w:val="17"/>
          <w:color w:val="333333"/>
        </w:rPr>
        <w:t>Good Reason during the 18-month period following a “Change in Control” (as defned in the applicable shareholder approved equity compensaton plan of</w:t>
      </w:r>
    </w:p>
    <w:p>
      <w:pPr>
        <w:ind w:left="160"/>
        <w:spacing w:after="0" w:line="232" w:lineRule="auto"/>
        <w:rPr>
          <w:sz w:val="20"/>
          <w:szCs w:val="20"/>
          <w:color w:val="auto"/>
        </w:rPr>
      </w:pPr>
      <w:r>
        <w:rPr>
          <w:rFonts w:ascii="Calibri" w:cs="Calibri" w:eastAsia="Calibri" w:hAnsi="Calibri"/>
          <w:sz w:val="17"/>
          <w:szCs w:val="17"/>
          <w:color w:val="333333"/>
        </w:rPr>
        <w:t>the Company then in efect). In additon to the foregoing, each such applicable executve ofcer generally will be eligible to receive pro rata cash AIP for</w:t>
      </w:r>
    </w:p>
    <w:p>
      <w:pPr>
        <w:ind w:left="160"/>
        <w:spacing w:after="0" w:line="232" w:lineRule="auto"/>
        <w:rPr>
          <w:sz w:val="20"/>
          <w:szCs w:val="20"/>
          <w:color w:val="auto"/>
        </w:rPr>
      </w:pPr>
      <w:r>
        <w:rPr>
          <w:rFonts w:ascii="Calibri" w:cs="Calibri" w:eastAsia="Calibri" w:hAnsi="Calibri"/>
          <w:sz w:val="17"/>
          <w:szCs w:val="17"/>
          <w:color w:val="333333"/>
        </w:rPr>
        <w:t>the year of terminaton consistng of: (i) for the fnancial components of AIP, an amount determined based on the actual performance of operatng</w:t>
      </w:r>
    </w:p>
    <w:p>
      <w:pPr>
        <w:ind w:left="160"/>
        <w:spacing w:after="0" w:line="232" w:lineRule="auto"/>
        <w:rPr>
          <w:sz w:val="20"/>
          <w:szCs w:val="20"/>
          <w:color w:val="auto"/>
        </w:rPr>
      </w:pPr>
      <w:r>
        <w:rPr>
          <w:rFonts w:ascii="Calibri" w:cs="Calibri" w:eastAsia="Calibri" w:hAnsi="Calibri"/>
          <w:sz w:val="17"/>
          <w:szCs w:val="17"/>
          <w:color w:val="333333"/>
        </w:rPr>
        <w:t>fnancial performance metric(s) established for the year of terminaton (with no exercise of negatve discreton), payable when such AIP is paid to other</w:t>
      </w:r>
    </w:p>
    <w:p>
      <w:pPr>
        <w:ind w:left="160"/>
        <w:spacing w:after="0" w:line="232" w:lineRule="auto"/>
        <w:rPr>
          <w:sz w:val="20"/>
          <w:szCs w:val="20"/>
          <w:color w:val="auto"/>
        </w:rPr>
      </w:pPr>
      <w:r>
        <w:rPr>
          <w:rFonts w:ascii="Calibri" w:cs="Calibri" w:eastAsia="Calibri" w:hAnsi="Calibri"/>
          <w:sz w:val="17"/>
          <w:szCs w:val="17"/>
          <w:color w:val="333333"/>
        </w:rPr>
        <w:t>executves of the Company plus (ii) for the individual component of AIP (if an applicable performance measure for the year of terminaton) an amount</w:t>
      </w:r>
    </w:p>
    <w:p>
      <w:pPr>
        <w:ind w:left="160"/>
        <w:spacing w:after="0" w:line="232" w:lineRule="auto"/>
        <w:rPr>
          <w:sz w:val="20"/>
          <w:szCs w:val="20"/>
          <w:color w:val="auto"/>
        </w:rPr>
      </w:pPr>
      <w:r>
        <w:rPr>
          <w:rFonts w:ascii="Calibri" w:cs="Calibri" w:eastAsia="Calibri" w:hAnsi="Calibri"/>
          <w:sz w:val="17"/>
          <w:szCs w:val="17"/>
          <w:color w:val="333333"/>
        </w:rPr>
        <w:t>determined based on such applicable executve ofcer’s individual performance awarded and paid in the year prior to the year of terminaton, payable</w:t>
      </w:r>
    </w:p>
    <w:p>
      <w:pPr>
        <w:ind w:left="160"/>
        <w:spacing w:after="0" w:line="232" w:lineRule="auto"/>
        <w:rPr>
          <w:sz w:val="20"/>
          <w:szCs w:val="20"/>
          <w:color w:val="auto"/>
        </w:rPr>
      </w:pPr>
      <w:r>
        <w:rPr>
          <w:rFonts w:ascii="Calibri" w:cs="Calibri" w:eastAsia="Calibri" w:hAnsi="Calibri"/>
          <w:sz w:val="17"/>
          <w:szCs w:val="17"/>
          <w:color w:val="333333"/>
        </w:rPr>
        <w:t>within two and one-half months following the efectve date of such other executve ofcer’s terminaton. The severance package is also payable in</w:t>
      </w:r>
    </w:p>
    <w:p>
      <w:pPr>
        <w:ind w:left="160"/>
        <w:spacing w:after="0" w:line="232" w:lineRule="auto"/>
        <w:rPr>
          <w:sz w:val="20"/>
          <w:szCs w:val="20"/>
          <w:color w:val="auto"/>
        </w:rPr>
      </w:pPr>
      <w:r>
        <w:rPr>
          <w:rFonts w:ascii="Calibri" w:cs="Calibri" w:eastAsia="Calibri" w:hAnsi="Calibri"/>
          <w:sz w:val="17"/>
          <w:szCs w:val="17"/>
          <w:color w:val="333333"/>
        </w:rPr>
        <w:t>connecton with a terminaton of such applicable executve ofcer as a result of “Disability” (as defned in the applicable Ofcer Employment Leter) and</w:t>
      </w:r>
    </w:p>
    <w:p>
      <w:pPr>
        <w:ind w:left="160"/>
        <w:spacing w:after="0" w:line="232" w:lineRule="auto"/>
        <w:rPr>
          <w:sz w:val="20"/>
          <w:szCs w:val="20"/>
          <w:color w:val="auto"/>
        </w:rPr>
      </w:pPr>
      <w:r>
        <w:rPr>
          <w:rFonts w:ascii="Calibri" w:cs="Calibri" w:eastAsia="Calibri" w:hAnsi="Calibri"/>
          <w:sz w:val="17"/>
          <w:szCs w:val="17"/>
          <w:color w:val="333333"/>
        </w:rPr>
        <w:t>death. Ms. Paul’s Ofer of Employment Leter, as amended from tme to tme, contained the same foregoing provisions but was terminated on</w:t>
      </w:r>
    </w:p>
    <w:p>
      <w:pPr>
        <w:ind w:left="160"/>
        <w:spacing w:after="0" w:line="232" w:lineRule="auto"/>
        <w:rPr>
          <w:sz w:val="20"/>
          <w:szCs w:val="20"/>
          <w:color w:val="auto"/>
        </w:rPr>
      </w:pPr>
      <w:r>
        <w:rPr>
          <w:rFonts w:ascii="Calibri" w:cs="Calibri" w:eastAsia="Calibri" w:hAnsi="Calibri"/>
          <w:sz w:val="17"/>
          <w:szCs w:val="17"/>
          <w:color w:val="333333"/>
        </w:rPr>
        <w:t>December 31, 2025 in connecton with her transiton to a senior advisory role. Mr. Keatng is party to an employment leter with the Company pursuant to</w:t>
      </w:r>
    </w:p>
    <w:p>
      <w:pPr>
        <w:ind w:left="160"/>
        <w:spacing w:after="0" w:line="232" w:lineRule="auto"/>
        <w:rPr>
          <w:sz w:val="20"/>
          <w:szCs w:val="20"/>
          <w:color w:val="auto"/>
        </w:rPr>
      </w:pPr>
      <w:r>
        <w:rPr>
          <w:rFonts w:ascii="Calibri" w:cs="Calibri" w:eastAsia="Calibri" w:hAnsi="Calibri"/>
          <w:sz w:val="17"/>
          <w:szCs w:val="17"/>
          <w:color w:val="333333"/>
        </w:rPr>
        <w:t>which, upon a terminaton without cause, he will be eligible to receive a lump sum cash payment equal to 12 months of base salary.</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believe that it is in the best interests of the Company to have these employment arrangements and provide for the terminaton protectons described above as they te the interests of the NEOs to those of the Company, secure the services of the NEOs and serve as a deterrent to an NEO voluntarily leaving the Company’s employ for no reason (other than for the CEO’s retrement). In additon, the employment arrangements serve as consideraton for the</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83</w:t>
      </w:r>
    </w:p>
    <w:p>
      <w:pPr>
        <w:sectPr>
          <w:pgSz w:w="11900" w:h="16838" w:orient="portrait"/>
          <w:cols w:equalWidth="0" w:num="1">
            <w:col w:w="11060"/>
          </w:cols>
          <w:pgMar w:left="320" w:top="478"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 xml:space="preserve">agreements of the NEOs not to compete with the Company, not to solicit employees and clients of the Company, and not to use or disclose proprietary informaton of the Company. For more detail on the terms and conditons of the CEO Employment Agreement, the Ofcer Employment Arrangements and the ofer leter with Mr. Keatng and the potental values associated with the foregoing described severance packages, see the secton ttled “Informaton About Our Executve Ofcers And Compensaton — Employment Agreements And Terminaton And Change In Control Payments — Employment Arrangements” beginning on </w:t>
      </w:r>
      <w:r>
        <w:rPr>
          <w:rFonts w:ascii="Calibri" w:cs="Calibri" w:eastAsia="Calibri" w:hAnsi="Calibri"/>
          <w:sz w:val="17"/>
          <w:szCs w:val="17"/>
          <w:color w:val="0591DB"/>
        </w:rPr>
        <w:t>page 99</w:t>
      </w:r>
      <w:r>
        <w:rPr>
          <w:rFonts w:ascii="Calibri" w:cs="Calibri" w:eastAsia="Calibri" w:hAnsi="Calibri"/>
          <w:sz w:val="17"/>
          <w:szCs w:val="17"/>
          <w:color w:val="333333"/>
        </w:rPr>
        <w:t xml:space="preserve"> of this Proxy Statement.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REPORT OF THE COMPENSATION COMMITTEE OF THE BOARD OF DIRECTORS</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Compensaton Commitee of the Board of Directors (the “Board”) of FTI Consultng, Inc., a Maryland corporaton (the “Company”), has reviewed and discussed the Compensaton Discussion and Analysis secton, to be included in the proxy statement relatng to the annual meetng of shareholders of the Company on June 3, 2026 (the “Annual Meetng”), with management. Based on such review and discussions, the Compensaton Commitee recommended to the Board that the Compensaton Discussion and Analysis secton be included in this proxy statement relatng to the Annual Meetng of the Company.</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COMPENSATION COMMITTEE</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Laureen E. Seeger, Chair</w:t>
      </w:r>
    </w:p>
    <w:p>
      <w:pPr>
        <w:ind w:left="160"/>
        <w:spacing w:after="0" w:line="232" w:lineRule="auto"/>
        <w:rPr>
          <w:sz w:val="20"/>
          <w:szCs w:val="20"/>
          <w:color w:val="auto"/>
        </w:rPr>
      </w:pPr>
      <w:r>
        <w:rPr>
          <w:rFonts w:ascii="Calibri" w:cs="Calibri" w:eastAsia="Calibri" w:hAnsi="Calibri"/>
          <w:sz w:val="17"/>
          <w:szCs w:val="17"/>
          <w:color w:val="333333"/>
        </w:rPr>
        <w:t>Elsy Boglioli</w:t>
      </w:r>
    </w:p>
    <w:p>
      <w:pPr>
        <w:ind w:left="160"/>
        <w:spacing w:after="0" w:line="232" w:lineRule="auto"/>
        <w:rPr>
          <w:sz w:val="20"/>
          <w:szCs w:val="20"/>
          <w:color w:val="auto"/>
        </w:rPr>
      </w:pPr>
      <w:r>
        <w:rPr>
          <w:rFonts w:ascii="Calibri" w:cs="Calibri" w:eastAsia="Calibri" w:hAnsi="Calibri"/>
          <w:sz w:val="17"/>
          <w:szCs w:val="17"/>
          <w:color w:val="333333"/>
        </w:rPr>
        <w:t>Claudio Costamagna</w:t>
      </w:r>
    </w:p>
    <w:p>
      <w:pPr>
        <w:ind w:left="160"/>
        <w:spacing w:after="0" w:line="232" w:lineRule="auto"/>
        <w:rPr>
          <w:sz w:val="20"/>
          <w:szCs w:val="20"/>
          <w:color w:val="auto"/>
        </w:rPr>
      </w:pPr>
      <w:r>
        <w:rPr>
          <w:rFonts w:ascii="Calibri" w:cs="Calibri" w:eastAsia="Calibri" w:hAnsi="Calibri"/>
          <w:sz w:val="17"/>
          <w:szCs w:val="17"/>
          <w:color w:val="333333"/>
        </w:rPr>
        <w:t>Eric T. Steigerwalt</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April 21, 2026</w:t>
      </w:r>
    </w:p>
    <w:p>
      <w:pPr>
        <w:spacing w:after="0" w:line="140"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84</w:t>
      </w:r>
    </w:p>
    <w:p>
      <w:pPr>
        <w:sectPr>
          <w:pgSz w:w="11900" w:h="16838" w:orient="portrait"/>
          <w:cols w:equalWidth="0" w:num="1">
            <w:col w:w="11060"/>
          </w:cols>
          <w:pgMar w:left="320" w:top="478"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SUMMARY COMPENSATION TABLE</w:t>
      </w:r>
    </w:p>
    <w:p>
      <w:pPr>
        <w:spacing w:after="0" w:line="212"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The following table summarizes the compensaton of our NEOs for the years ended December 31, 2025, December 31, 2024 and December 31, 2023, applying the SEC’s required disclosure rules. Footnotes (2), (3) and (6) to the table describe the vestng and performance conditons associated with the stock-based awards granted in 2025 that are reported in this table, none of which vested upon grant. Performance-based awards in this table are reported at target value. An NEO may not realize any value from an equity-based award, and any realized value upon the vestng, exercise or the end of the applicable performance period may be higher or lower than reported in this table, depending upon the price per share of our Common Stock on the vestng date or Company performance for the performance period, and such diferences could be signifcant.</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200" w:type="dxa"/>
            <w:vAlign w:val="bottom"/>
            <w:tcBorders>
              <w:top w:val="single" w:sz="8" w:color="0591DB"/>
              <w:left w:val="single" w:sz="8" w:color="0591DB"/>
            </w:tcBorders>
          </w:tcPr>
          <w:p>
            <w:pPr>
              <w:spacing w:after="0"/>
              <w:rPr>
                <w:sz w:val="19"/>
                <w:szCs w:val="19"/>
                <w:color w:val="auto"/>
              </w:rPr>
            </w:pPr>
          </w:p>
        </w:tc>
        <w:tc>
          <w:tcPr>
            <w:tcW w:w="980" w:type="dxa"/>
            <w:vAlign w:val="bottom"/>
            <w:tcBorders>
              <w:top w:val="single" w:sz="8" w:color="0591DB"/>
              <w:right w:val="single" w:sz="8" w:color="0591DB"/>
            </w:tcBorders>
          </w:tcPr>
          <w:p>
            <w:pPr>
              <w:spacing w:after="0"/>
              <w:rPr>
                <w:sz w:val="19"/>
                <w:szCs w:val="19"/>
                <w:color w:val="auto"/>
              </w:rPr>
            </w:pPr>
          </w:p>
        </w:tc>
        <w:tc>
          <w:tcPr>
            <w:tcW w:w="540" w:type="dxa"/>
            <w:vAlign w:val="bottom"/>
            <w:tcBorders>
              <w:top w:val="single" w:sz="8" w:color="0591DB"/>
              <w:right w:val="single" w:sz="8" w:color="0591DB"/>
            </w:tcBorders>
          </w:tcPr>
          <w:p>
            <w:pPr>
              <w:spacing w:after="0"/>
              <w:rPr>
                <w:sz w:val="19"/>
                <w:szCs w:val="19"/>
                <w:color w:val="auto"/>
              </w:rPr>
            </w:pPr>
          </w:p>
        </w:tc>
        <w:tc>
          <w:tcPr>
            <w:tcW w:w="880" w:type="dxa"/>
            <w:vAlign w:val="bottom"/>
            <w:tcBorders>
              <w:top w:val="single" w:sz="8" w:color="0591DB"/>
              <w:right w:val="single" w:sz="8" w:color="0591DB"/>
            </w:tcBorders>
          </w:tcPr>
          <w:p>
            <w:pPr>
              <w:spacing w:after="0"/>
              <w:rPr>
                <w:sz w:val="19"/>
                <w:szCs w:val="19"/>
                <w:color w:val="auto"/>
              </w:rPr>
            </w:pPr>
          </w:p>
        </w:tc>
        <w:tc>
          <w:tcPr>
            <w:tcW w:w="760" w:type="dxa"/>
            <w:vAlign w:val="bottom"/>
            <w:tcBorders>
              <w:top w:val="single" w:sz="8" w:color="0591DB"/>
              <w:right w:val="single" w:sz="8" w:color="0591DB"/>
            </w:tcBorders>
          </w:tcPr>
          <w:p>
            <w:pPr>
              <w:spacing w:after="0"/>
              <w:rPr>
                <w:sz w:val="19"/>
                <w:szCs w:val="19"/>
                <w:color w:val="auto"/>
              </w:rPr>
            </w:pPr>
          </w:p>
        </w:tc>
        <w:tc>
          <w:tcPr>
            <w:tcW w:w="880" w:type="dxa"/>
            <w:vAlign w:val="bottom"/>
            <w:tcBorders>
              <w:top w:val="single" w:sz="8" w:color="0591DB"/>
              <w:right w:val="single" w:sz="8" w:color="0591DB"/>
            </w:tcBorders>
          </w:tcPr>
          <w:p>
            <w:pPr>
              <w:spacing w:after="0"/>
              <w:rPr>
                <w:sz w:val="19"/>
                <w:szCs w:val="19"/>
                <w:color w:val="auto"/>
              </w:rPr>
            </w:pPr>
          </w:p>
        </w:tc>
        <w:tc>
          <w:tcPr>
            <w:tcW w:w="760" w:type="dxa"/>
            <w:vAlign w:val="bottom"/>
            <w:tcBorders>
              <w:top w:val="single" w:sz="8" w:color="0591DB"/>
              <w:right w:val="single" w:sz="8" w:color="0591DB"/>
            </w:tcBorders>
          </w:tcPr>
          <w:p>
            <w:pPr>
              <w:spacing w:after="0"/>
              <w:rPr>
                <w:sz w:val="19"/>
                <w:szCs w:val="19"/>
                <w:color w:val="auto"/>
              </w:rPr>
            </w:pPr>
          </w:p>
        </w:tc>
        <w:tc>
          <w:tcPr>
            <w:tcW w:w="1300" w:type="dxa"/>
            <w:vAlign w:val="bottom"/>
            <w:tcBorders>
              <w:top w:val="single" w:sz="8" w:color="0591DB"/>
              <w:right w:val="single" w:sz="8" w:color="0591DB"/>
            </w:tcBorders>
          </w:tcPr>
          <w:p>
            <w:pPr>
              <w:spacing w:after="0"/>
              <w:rPr>
                <w:sz w:val="19"/>
                <w:szCs w:val="19"/>
                <w:color w:val="auto"/>
              </w:rPr>
            </w:pPr>
          </w:p>
        </w:tc>
        <w:tc>
          <w:tcPr>
            <w:tcW w:w="1320" w:type="dxa"/>
            <w:vAlign w:val="bottom"/>
            <w:tcBorders>
              <w:top w:val="single" w:sz="8" w:color="0591DB"/>
              <w:right w:val="single" w:sz="8" w:color="0591DB"/>
            </w:tcBorders>
          </w:tcPr>
          <w:p>
            <w:pPr>
              <w:jc w:val="center"/>
              <w:ind w:left="23"/>
              <w:spacing w:after="0"/>
              <w:rPr>
                <w:sz w:val="20"/>
                <w:szCs w:val="20"/>
                <w:color w:val="auto"/>
              </w:rPr>
            </w:pPr>
            <w:r>
              <w:rPr>
                <w:rFonts w:ascii="Calibri" w:cs="Calibri" w:eastAsia="Calibri" w:hAnsi="Calibri"/>
                <w:sz w:val="14"/>
                <w:szCs w:val="14"/>
                <w:b w:val="1"/>
                <w:bCs w:val="1"/>
                <w:color w:val="0591DB"/>
              </w:rPr>
              <w:t>CHANGE IN</w:t>
            </w:r>
          </w:p>
        </w:tc>
        <w:tc>
          <w:tcPr>
            <w:tcW w:w="1320" w:type="dxa"/>
            <w:vAlign w:val="bottom"/>
            <w:tcBorders>
              <w:top w:val="single" w:sz="8" w:color="0591DB"/>
              <w:right w:val="single" w:sz="8" w:color="0591DB"/>
            </w:tcBorders>
          </w:tcPr>
          <w:p>
            <w:pPr>
              <w:spacing w:after="0"/>
              <w:rPr>
                <w:sz w:val="19"/>
                <w:szCs w:val="19"/>
                <w:color w:val="auto"/>
              </w:rPr>
            </w:pPr>
          </w:p>
        </w:tc>
        <w:tc>
          <w:tcPr>
            <w:tcW w:w="96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Borders>
              <w:left w:val="single" w:sz="8" w:color="0591DB"/>
            </w:tcBorders>
          </w:tcPr>
          <w:p>
            <w:pPr>
              <w:spacing w:after="0"/>
              <w:rPr>
                <w:sz w:val="15"/>
                <w:szCs w:val="15"/>
                <w:color w:val="auto"/>
              </w:rPr>
            </w:pPr>
          </w:p>
        </w:tc>
        <w:tc>
          <w:tcPr>
            <w:tcW w:w="980" w:type="dxa"/>
            <w:vAlign w:val="bottom"/>
            <w:tcBorders>
              <w:right w:val="single" w:sz="8" w:color="0591DB"/>
            </w:tcBorders>
          </w:tcPr>
          <w:p>
            <w:pPr>
              <w:spacing w:after="0"/>
              <w:rPr>
                <w:sz w:val="15"/>
                <w:szCs w:val="15"/>
                <w:color w:val="auto"/>
              </w:rPr>
            </w:pPr>
          </w:p>
        </w:tc>
        <w:tc>
          <w:tcPr>
            <w:tcW w:w="54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spacing w:after="0"/>
              <w:rPr>
                <w:sz w:val="15"/>
                <w:szCs w:val="15"/>
                <w:color w:val="auto"/>
              </w:rPr>
            </w:pPr>
          </w:p>
        </w:tc>
        <w:tc>
          <w:tcPr>
            <w:tcW w:w="1300" w:type="dxa"/>
            <w:vAlign w:val="bottom"/>
            <w:tcBorders>
              <w:right w:val="single" w:sz="8" w:color="0591DB"/>
            </w:tcBorders>
          </w:tcPr>
          <w:p>
            <w:pPr>
              <w:spacing w:after="0"/>
              <w:rPr>
                <w:sz w:val="15"/>
                <w:szCs w:val="15"/>
                <w:color w:val="auto"/>
              </w:rPr>
            </w:pPr>
          </w:p>
        </w:tc>
        <w:tc>
          <w:tcPr>
            <w:tcW w:w="1320" w:type="dxa"/>
            <w:vAlign w:val="bottom"/>
            <w:tcBorders>
              <w:right w:val="single" w:sz="8" w:color="0591DB"/>
            </w:tcBorders>
          </w:tcPr>
          <w:p>
            <w:pPr>
              <w:jc w:val="center"/>
              <w:ind w:left="23"/>
              <w:spacing w:after="0"/>
              <w:rPr>
                <w:sz w:val="20"/>
                <w:szCs w:val="20"/>
                <w:color w:val="auto"/>
              </w:rPr>
            </w:pPr>
            <w:r>
              <w:rPr>
                <w:rFonts w:ascii="Calibri" w:cs="Calibri" w:eastAsia="Calibri" w:hAnsi="Calibri"/>
                <w:sz w:val="14"/>
                <w:szCs w:val="14"/>
                <w:b w:val="1"/>
                <w:bCs w:val="1"/>
                <w:color w:val="0591DB"/>
              </w:rPr>
              <w:t>PENSION</w:t>
            </w:r>
          </w:p>
        </w:tc>
        <w:tc>
          <w:tcPr>
            <w:tcW w:w="1320" w:type="dxa"/>
            <w:vAlign w:val="bottom"/>
            <w:tcBorders>
              <w:right w:val="single" w:sz="8" w:color="0591DB"/>
            </w:tcBorders>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Borders>
              <w:left w:val="single" w:sz="8" w:color="0591DB"/>
            </w:tcBorders>
          </w:tcPr>
          <w:p>
            <w:pPr>
              <w:spacing w:after="0"/>
              <w:rPr>
                <w:sz w:val="15"/>
                <w:szCs w:val="15"/>
                <w:color w:val="auto"/>
              </w:rPr>
            </w:pPr>
          </w:p>
        </w:tc>
        <w:tc>
          <w:tcPr>
            <w:tcW w:w="980" w:type="dxa"/>
            <w:vAlign w:val="bottom"/>
            <w:tcBorders>
              <w:right w:val="single" w:sz="8" w:color="0591DB"/>
            </w:tcBorders>
          </w:tcPr>
          <w:p>
            <w:pPr>
              <w:spacing w:after="0"/>
              <w:rPr>
                <w:sz w:val="15"/>
                <w:szCs w:val="15"/>
                <w:color w:val="auto"/>
              </w:rPr>
            </w:pPr>
          </w:p>
        </w:tc>
        <w:tc>
          <w:tcPr>
            <w:tcW w:w="54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spacing w:after="0"/>
              <w:rPr>
                <w:sz w:val="15"/>
                <w:szCs w:val="15"/>
                <w:color w:val="auto"/>
              </w:rPr>
            </w:pPr>
          </w:p>
        </w:tc>
        <w:tc>
          <w:tcPr>
            <w:tcW w:w="1300" w:type="dxa"/>
            <w:vAlign w:val="bottom"/>
            <w:tcBorders>
              <w:right w:val="single" w:sz="8" w:color="0591DB"/>
            </w:tcBorders>
          </w:tcPr>
          <w:p>
            <w:pPr>
              <w:spacing w:after="0"/>
              <w:rPr>
                <w:sz w:val="15"/>
                <w:szCs w:val="15"/>
                <w:color w:val="auto"/>
              </w:rPr>
            </w:pPr>
          </w:p>
        </w:tc>
        <w:tc>
          <w:tcPr>
            <w:tcW w:w="1320" w:type="dxa"/>
            <w:vAlign w:val="bottom"/>
            <w:tcBorders>
              <w:right w:val="single" w:sz="8" w:color="0591DB"/>
            </w:tcBorders>
          </w:tcPr>
          <w:p>
            <w:pPr>
              <w:jc w:val="center"/>
              <w:ind w:left="3"/>
              <w:spacing w:after="0"/>
              <w:rPr>
                <w:sz w:val="20"/>
                <w:szCs w:val="20"/>
                <w:color w:val="auto"/>
              </w:rPr>
            </w:pPr>
            <w:r>
              <w:rPr>
                <w:rFonts w:ascii="Calibri" w:cs="Calibri" w:eastAsia="Calibri" w:hAnsi="Calibri"/>
                <w:sz w:val="14"/>
                <w:szCs w:val="14"/>
                <w:b w:val="1"/>
                <w:bCs w:val="1"/>
                <w:color w:val="0591DB"/>
                <w:w w:val="99"/>
              </w:rPr>
              <w:t>VALUE AND</w:t>
            </w:r>
          </w:p>
        </w:tc>
        <w:tc>
          <w:tcPr>
            <w:tcW w:w="1320" w:type="dxa"/>
            <w:vAlign w:val="bottom"/>
            <w:tcBorders>
              <w:right w:val="single" w:sz="8" w:color="0591DB"/>
            </w:tcBorders>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00" w:type="dxa"/>
            <w:vAlign w:val="bottom"/>
            <w:tcBorders>
              <w:left w:val="single" w:sz="8" w:color="0591DB"/>
            </w:tcBorders>
          </w:tcPr>
          <w:p>
            <w:pPr>
              <w:spacing w:after="0"/>
              <w:rPr>
                <w:sz w:val="15"/>
                <w:szCs w:val="15"/>
                <w:color w:val="auto"/>
              </w:rPr>
            </w:pPr>
          </w:p>
        </w:tc>
        <w:tc>
          <w:tcPr>
            <w:tcW w:w="980" w:type="dxa"/>
            <w:vAlign w:val="bottom"/>
            <w:tcBorders>
              <w:right w:val="single" w:sz="8" w:color="0591DB"/>
            </w:tcBorders>
          </w:tcPr>
          <w:p>
            <w:pPr>
              <w:spacing w:after="0"/>
              <w:rPr>
                <w:sz w:val="15"/>
                <w:szCs w:val="15"/>
                <w:color w:val="auto"/>
              </w:rPr>
            </w:pPr>
          </w:p>
        </w:tc>
        <w:tc>
          <w:tcPr>
            <w:tcW w:w="54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spacing w:after="0"/>
              <w:rPr>
                <w:sz w:val="15"/>
                <w:szCs w:val="15"/>
                <w:color w:val="auto"/>
              </w:rPr>
            </w:pPr>
          </w:p>
        </w:tc>
        <w:tc>
          <w:tcPr>
            <w:tcW w:w="1300" w:type="dxa"/>
            <w:vAlign w:val="bottom"/>
            <w:tcBorders>
              <w:right w:val="single" w:sz="8" w:color="0591DB"/>
            </w:tcBorders>
          </w:tcPr>
          <w:p>
            <w:pPr>
              <w:jc w:val="center"/>
              <w:ind w:left="23"/>
              <w:spacing w:after="0"/>
              <w:rPr>
                <w:sz w:val="20"/>
                <w:szCs w:val="20"/>
                <w:color w:val="auto"/>
              </w:rPr>
            </w:pPr>
            <w:r>
              <w:rPr>
                <w:rFonts w:ascii="Calibri" w:cs="Calibri" w:eastAsia="Calibri" w:hAnsi="Calibri"/>
                <w:sz w:val="14"/>
                <w:szCs w:val="14"/>
                <w:b w:val="1"/>
                <w:bCs w:val="1"/>
                <w:color w:val="0591DB"/>
              </w:rPr>
              <w:t>NON-EQUITY</w:t>
            </w:r>
          </w:p>
        </w:tc>
        <w:tc>
          <w:tcPr>
            <w:tcW w:w="1320" w:type="dxa"/>
            <w:vAlign w:val="bottom"/>
            <w:tcBorders>
              <w:right w:val="single" w:sz="8" w:color="0591DB"/>
            </w:tcBorders>
          </w:tcPr>
          <w:p>
            <w:pPr>
              <w:jc w:val="center"/>
              <w:ind w:left="3"/>
              <w:spacing w:after="0"/>
              <w:rPr>
                <w:sz w:val="20"/>
                <w:szCs w:val="20"/>
                <w:color w:val="auto"/>
              </w:rPr>
            </w:pPr>
            <w:r>
              <w:rPr>
                <w:rFonts w:ascii="Calibri" w:cs="Calibri" w:eastAsia="Calibri" w:hAnsi="Calibri"/>
                <w:sz w:val="14"/>
                <w:szCs w:val="14"/>
                <w:b w:val="1"/>
                <w:bCs w:val="1"/>
                <w:color w:val="0591DB"/>
              </w:rPr>
              <w:t>NON-QUALIFIED</w:t>
            </w:r>
          </w:p>
        </w:tc>
        <w:tc>
          <w:tcPr>
            <w:tcW w:w="1320" w:type="dxa"/>
            <w:vAlign w:val="bottom"/>
            <w:tcBorders>
              <w:right w:val="single" w:sz="8" w:color="0591DB"/>
            </w:tcBorders>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00" w:type="dxa"/>
            <w:vAlign w:val="bottom"/>
            <w:tcBorders>
              <w:left w:val="single" w:sz="8" w:color="0591DB"/>
            </w:tcBorders>
          </w:tcPr>
          <w:p>
            <w:pPr>
              <w:spacing w:after="0"/>
              <w:rPr>
                <w:sz w:val="16"/>
                <w:szCs w:val="16"/>
                <w:color w:val="auto"/>
              </w:rPr>
            </w:pPr>
          </w:p>
        </w:tc>
        <w:tc>
          <w:tcPr>
            <w:tcW w:w="980" w:type="dxa"/>
            <w:vAlign w:val="bottom"/>
            <w:tcBorders>
              <w:right w:val="single" w:sz="8" w:color="0591DB"/>
            </w:tcBorders>
          </w:tcPr>
          <w:p>
            <w:pPr>
              <w:spacing w:after="0"/>
              <w:rPr>
                <w:sz w:val="16"/>
                <w:szCs w:val="16"/>
                <w:color w:val="auto"/>
              </w:rPr>
            </w:pPr>
          </w:p>
        </w:tc>
        <w:tc>
          <w:tcPr>
            <w:tcW w:w="540" w:type="dxa"/>
            <w:vAlign w:val="bottom"/>
            <w:tcBorders>
              <w:right w:val="single" w:sz="8" w:color="0591DB"/>
            </w:tcBorders>
          </w:tcPr>
          <w:p>
            <w:pPr>
              <w:spacing w:after="0"/>
              <w:rPr>
                <w:sz w:val="16"/>
                <w:szCs w:val="16"/>
                <w:color w:val="auto"/>
              </w:rPr>
            </w:pPr>
          </w:p>
        </w:tc>
        <w:tc>
          <w:tcPr>
            <w:tcW w:w="880" w:type="dxa"/>
            <w:vAlign w:val="bottom"/>
            <w:tcBorders>
              <w:right w:val="single" w:sz="8" w:color="0591DB"/>
            </w:tcBorders>
          </w:tcPr>
          <w:p>
            <w:pPr>
              <w:spacing w:after="0"/>
              <w:rPr>
                <w:sz w:val="16"/>
                <w:szCs w:val="16"/>
                <w:color w:val="auto"/>
              </w:rPr>
            </w:pPr>
          </w:p>
        </w:tc>
        <w:tc>
          <w:tcPr>
            <w:tcW w:w="760" w:type="dxa"/>
            <w:vAlign w:val="bottom"/>
            <w:tcBorders>
              <w:right w:val="single" w:sz="8" w:color="0591DB"/>
            </w:tcBorders>
          </w:tcPr>
          <w:p>
            <w:pPr>
              <w:spacing w:after="0"/>
              <w:rPr>
                <w:sz w:val="16"/>
                <w:szCs w:val="16"/>
                <w:color w:val="auto"/>
              </w:rPr>
            </w:pPr>
          </w:p>
        </w:tc>
        <w:tc>
          <w:tcPr>
            <w:tcW w:w="88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w w:val="99"/>
              </w:rPr>
              <w:t>STOCK</w:t>
            </w:r>
          </w:p>
        </w:tc>
        <w:tc>
          <w:tcPr>
            <w:tcW w:w="760" w:type="dxa"/>
            <w:vAlign w:val="bottom"/>
            <w:tcBorders>
              <w:right w:val="single" w:sz="8" w:color="0591DB"/>
            </w:tcBorders>
          </w:tcPr>
          <w:p>
            <w:pPr>
              <w:spacing w:after="0"/>
              <w:rPr>
                <w:sz w:val="16"/>
                <w:szCs w:val="16"/>
                <w:color w:val="auto"/>
              </w:rPr>
            </w:pPr>
          </w:p>
        </w:tc>
        <w:tc>
          <w:tcPr>
            <w:tcW w:w="1300" w:type="dxa"/>
            <w:vAlign w:val="bottom"/>
            <w:tcBorders>
              <w:right w:val="single" w:sz="8" w:color="0591DB"/>
            </w:tcBorders>
          </w:tcPr>
          <w:p>
            <w:pPr>
              <w:jc w:val="center"/>
              <w:ind w:left="3"/>
              <w:spacing w:after="0"/>
              <w:rPr>
                <w:sz w:val="20"/>
                <w:szCs w:val="20"/>
                <w:color w:val="auto"/>
              </w:rPr>
            </w:pPr>
            <w:r>
              <w:rPr>
                <w:rFonts w:ascii="Calibri" w:cs="Calibri" w:eastAsia="Calibri" w:hAnsi="Calibri"/>
                <w:sz w:val="14"/>
                <w:szCs w:val="14"/>
                <w:b w:val="1"/>
                <w:bCs w:val="1"/>
                <w:color w:val="0591DB"/>
              </w:rPr>
              <w:t>INCENTIVE PLAN</w:t>
            </w:r>
          </w:p>
        </w:tc>
        <w:tc>
          <w:tcPr>
            <w:tcW w:w="1320" w:type="dxa"/>
            <w:vAlign w:val="bottom"/>
            <w:tcBorders>
              <w:right w:val="single" w:sz="8" w:color="0591DB"/>
            </w:tcBorders>
          </w:tcPr>
          <w:p>
            <w:pPr>
              <w:jc w:val="center"/>
              <w:ind w:left="23"/>
              <w:spacing w:after="0" w:line="169" w:lineRule="exact"/>
              <w:rPr>
                <w:sz w:val="20"/>
                <w:szCs w:val="20"/>
                <w:color w:val="auto"/>
              </w:rPr>
            </w:pPr>
            <w:r>
              <w:rPr>
                <w:rFonts w:ascii="Calibri" w:cs="Calibri" w:eastAsia="Calibri" w:hAnsi="Calibri"/>
                <w:sz w:val="14"/>
                <w:szCs w:val="14"/>
                <w:b w:val="1"/>
                <w:bCs w:val="1"/>
                <w:color w:val="0591DB"/>
              </w:rPr>
              <w:t>DEFERRED</w:t>
            </w:r>
          </w:p>
        </w:tc>
        <w:tc>
          <w:tcPr>
            <w:tcW w:w="1320" w:type="dxa"/>
            <w:vAlign w:val="bottom"/>
            <w:tcBorders>
              <w:right w:val="single" w:sz="8" w:color="0591DB"/>
            </w:tcBorders>
          </w:tcPr>
          <w:p>
            <w:pPr>
              <w:jc w:val="center"/>
              <w:ind w:left="2"/>
              <w:spacing w:after="0"/>
              <w:rPr>
                <w:sz w:val="20"/>
                <w:szCs w:val="20"/>
                <w:color w:val="auto"/>
              </w:rPr>
            </w:pPr>
            <w:r>
              <w:rPr>
                <w:rFonts w:ascii="Calibri" w:cs="Calibri" w:eastAsia="Calibri" w:hAnsi="Calibri"/>
                <w:sz w:val="14"/>
                <w:szCs w:val="14"/>
                <w:b w:val="1"/>
                <w:bCs w:val="1"/>
                <w:color w:val="0591DB"/>
              </w:rPr>
              <w:t>ALL OTHER</w:t>
            </w:r>
          </w:p>
        </w:tc>
        <w:tc>
          <w:tcPr>
            <w:tcW w:w="960" w:type="dxa"/>
            <w:vAlign w:val="bottom"/>
          </w:tcPr>
          <w:p>
            <w:pPr>
              <w:spacing w:after="0"/>
              <w:rPr>
                <w:sz w:val="16"/>
                <w:szCs w:val="16"/>
                <w:color w:val="auto"/>
              </w:rPr>
            </w:pP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Borders>
              <w:left w:val="single" w:sz="8" w:color="0591DB"/>
              <w:right w:val="single" w:sz="8" w:color="0591DB"/>
            </w:tcBorders>
            <w:gridSpan w:val="2"/>
          </w:tcPr>
          <w:p>
            <w:pPr>
              <w:ind w:left="140"/>
              <w:spacing w:after="0" w:line="169" w:lineRule="exact"/>
              <w:rPr>
                <w:sz w:val="20"/>
                <w:szCs w:val="20"/>
                <w:color w:val="auto"/>
              </w:rPr>
            </w:pPr>
            <w:r>
              <w:rPr>
                <w:rFonts w:ascii="Calibri" w:cs="Calibri" w:eastAsia="Calibri" w:hAnsi="Calibri"/>
                <w:sz w:val="14"/>
                <w:szCs w:val="14"/>
                <w:b w:val="1"/>
                <w:bCs w:val="1"/>
                <w:color w:val="0591DB"/>
              </w:rPr>
              <w:t> NAME AND PRINCIPAL</w:t>
            </w:r>
          </w:p>
        </w:tc>
        <w:tc>
          <w:tcPr>
            <w:tcW w:w="540" w:type="dxa"/>
            <w:vAlign w:val="bottom"/>
            <w:tcBorders>
              <w:right w:val="single" w:sz="8" w:color="0591DB"/>
            </w:tcBorders>
          </w:tcPr>
          <w:p>
            <w:pPr>
              <w:spacing w:after="0"/>
              <w:rPr>
                <w:sz w:val="15"/>
                <w:szCs w:val="15"/>
                <w:color w:val="auto"/>
              </w:rPr>
            </w:pPr>
          </w:p>
        </w:tc>
        <w:tc>
          <w:tcPr>
            <w:tcW w:w="880" w:type="dxa"/>
            <w:vAlign w:val="bottom"/>
            <w:tcBorders>
              <w:right w:val="single" w:sz="8" w:color="0591DB"/>
            </w:tcBorders>
          </w:tcPr>
          <w:p>
            <w:pPr>
              <w:spacing w:after="0"/>
              <w:rPr>
                <w:sz w:val="15"/>
                <w:szCs w:val="15"/>
                <w:color w:val="auto"/>
              </w:rPr>
            </w:pPr>
          </w:p>
        </w:tc>
        <w:tc>
          <w:tcPr>
            <w:tcW w:w="76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w w:val="99"/>
              </w:rPr>
              <w:t>BONUS</w:t>
            </w:r>
          </w:p>
        </w:tc>
        <w:tc>
          <w:tcPr>
            <w:tcW w:w="880" w:type="dxa"/>
            <w:vAlign w:val="bottom"/>
            <w:tcBorders>
              <w:right w:val="single" w:sz="8" w:color="0591DB"/>
            </w:tcBorders>
          </w:tcPr>
          <w:p>
            <w:pPr>
              <w:jc w:val="center"/>
              <w:ind w:left="2"/>
              <w:spacing w:after="0"/>
              <w:rPr>
                <w:sz w:val="20"/>
                <w:szCs w:val="20"/>
                <w:color w:val="auto"/>
              </w:rPr>
            </w:pPr>
            <w:r>
              <w:rPr>
                <w:rFonts w:ascii="Calibri" w:cs="Calibri" w:eastAsia="Calibri" w:hAnsi="Calibri"/>
                <w:sz w:val="14"/>
                <w:szCs w:val="14"/>
                <w:b w:val="1"/>
                <w:bCs w:val="1"/>
                <w:color w:val="0591DB"/>
                <w:w w:val="98"/>
              </w:rPr>
              <w:t>AWARDS</w:t>
            </w:r>
          </w:p>
        </w:tc>
        <w:tc>
          <w:tcPr>
            <w:tcW w:w="760" w:type="dxa"/>
            <w:vAlign w:val="bottom"/>
            <w:tcBorders>
              <w:right w:val="single" w:sz="8" w:color="0591DB"/>
            </w:tcBorders>
          </w:tcPr>
          <w:p>
            <w:pPr>
              <w:jc w:val="center"/>
              <w:ind w:left="1"/>
              <w:spacing w:after="0" w:line="169" w:lineRule="exact"/>
              <w:rPr>
                <w:sz w:val="20"/>
                <w:szCs w:val="20"/>
                <w:color w:val="auto"/>
              </w:rPr>
            </w:pPr>
            <w:r>
              <w:rPr>
                <w:rFonts w:ascii="Calibri" w:cs="Calibri" w:eastAsia="Calibri" w:hAnsi="Calibri"/>
                <w:sz w:val="14"/>
                <w:szCs w:val="14"/>
                <w:b w:val="1"/>
                <w:bCs w:val="1"/>
                <w:color w:val="0591DB"/>
              </w:rPr>
              <w:t>OPTION</w:t>
            </w:r>
          </w:p>
        </w:tc>
        <w:tc>
          <w:tcPr>
            <w:tcW w:w="1300" w:type="dxa"/>
            <w:vAlign w:val="bottom"/>
            <w:tcBorders>
              <w:right w:val="single" w:sz="8" w:color="0591DB"/>
            </w:tcBorders>
          </w:tcPr>
          <w:p>
            <w:pPr>
              <w:jc w:val="center"/>
              <w:ind w:left="3"/>
              <w:spacing w:after="0"/>
              <w:rPr>
                <w:sz w:val="20"/>
                <w:szCs w:val="20"/>
                <w:color w:val="auto"/>
              </w:rPr>
            </w:pPr>
            <w:r>
              <w:rPr>
                <w:rFonts w:ascii="Calibri" w:cs="Calibri" w:eastAsia="Calibri" w:hAnsi="Calibri"/>
                <w:sz w:val="14"/>
                <w:szCs w:val="14"/>
                <w:b w:val="1"/>
                <w:bCs w:val="1"/>
                <w:color w:val="0591DB"/>
              </w:rPr>
              <w:t>COMPENSATION</w:t>
            </w:r>
          </w:p>
        </w:tc>
        <w:tc>
          <w:tcPr>
            <w:tcW w:w="1320" w:type="dxa"/>
            <w:vAlign w:val="bottom"/>
            <w:tcBorders>
              <w:right w:val="single" w:sz="8" w:color="0591DB"/>
            </w:tcBorders>
          </w:tcPr>
          <w:p>
            <w:pPr>
              <w:jc w:val="center"/>
              <w:ind w:left="23"/>
              <w:spacing w:after="0" w:line="169" w:lineRule="exact"/>
              <w:rPr>
                <w:sz w:val="20"/>
                <w:szCs w:val="20"/>
                <w:color w:val="auto"/>
              </w:rPr>
            </w:pPr>
            <w:r>
              <w:rPr>
                <w:rFonts w:ascii="Calibri" w:cs="Calibri" w:eastAsia="Calibri" w:hAnsi="Calibri"/>
                <w:sz w:val="14"/>
                <w:szCs w:val="14"/>
                <w:b w:val="1"/>
                <w:bCs w:val="1"/>
                <w:color w:val="0591DB"/>
              </w:rPr>
              <w:t>COMPENSATION</w:t>
            </w:r>
          </w:p>
        </w:tc>
        <w:tc>
          <w:tcPr>
            <w:tcW w:w="132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COMPENSATION</w:t>
            </w:r>
          </w:p>
        </w:tc>
        <w:tc>
          <w:tcPr>
            <w:tcW w:w="960" w:type="dxa"/>
            <w:vAlign w:val="bottom"/>
          </w:tcPr>
          <w:p>
            <w:pPr>
              <w:spacing w:after="0"/>
              <w:rPr>
                <w:sz w:val="15"/>
                <w:szCs w:val="15"/>
                <w:color w:val="auto"/>
              </w:rPr>
            </w:pPr>
          </w:p>
        </w:tc>
        <w:tc>
          <w:tcPr>
            <w:tcW w:w="20" w:type="dxa"/>
            <w:vAlign w:val="bottom"/>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180" w:type="dxa"/>
            <w:vAlign w:val="bottom"/>
            <w:tcBorders>
              <w:left w:val="single" w:sz="8" w:color="0591DB"/>
              <w:bottom w:val="single" w:sz="8" w:color="0591DB"/>
              <w:right w:val="single" w:sz="8" w:color="0591DB"/>
            </w:tcBorders>
            <w:gridSpan w:val="2"/>
          </w:tcPr>
          <w:p>
            <w:pPr>
              <w:ind w:left="140"/>
              <w:spacing w:after="0" w:line="169" w:lineRule="exact"/>
              <w:rPr>
                <w:sz w:val="20"/>
                <w:szCs w:val="20"/>
                <w:color w:val="auto"/>
              </w:rPr>
            </w:pPr>
            <w:r>
              <w:rPr>
                <w:rFonts w:ascii="Calibri" w:cs="Calibri" w:eastAsia="Calibri" w:hAnsi="Calibri"/>
                <w:sz w:val="14"/>
                <w:szCs w:val="14"/>
                <w:b w:val="1"/>
                <w:bCs w:val="1"/>
                <w:color w:val="0591DB"/>
              </w:rPr>
              <w:t> POSITION</w:t>
            </w:r>
          </w:p>
        </w:tc>
        <w:tc>
          <w:tcPr>
            <w:tcW w:w="540" w:type="dxa"/>
            <w:vAlign w:val="bottom"/>
            <w:tcBorders>
              <w:bottom w:val="single" w:sz="8" w:color="0591DB"/>
              <w:right w:val="single" w:sz="8" w:color="0591DB"/>
            </w:tcBorders>
          </w:tcPr>
          <w:p>
            <w:pPr>
              <w:jc w:val="center"/>
              <w:ind w:left="1"/>
              <w:spacing w:after="0" w:line="169" w:lineRule="exact"/>
              <w:rPr>
                <w:sz w:val="20"/>
                <w:szCs w:val="20"/>
                <w:color w:val="auto"/>
              </w:rPr>
            </w:pPr>
            <w:r>
              <w:rPr>
                <w:rFonts w:ascii="Calibri" w:cs="Calibri" w:eastAsia="Calibri" w:hAnsi="Calibri"/>
                <w:sz w:val="14"/>
                <w:szCs w:val="14"/>
                <w:b w:val="1"/>
                <w:bCs w:val="1"/>
                <w:color w:val="0591DB"/>
                <w:w w:val="98"/>
              </w:rPr>
              <w:t>YEAR</w:t>
            </w:r>
          </w:p>
        </w:tc>
        <w:tc>
          <w:tcPr>
            <w:tcW w:w="880" w:type="dxa"/>
            <w:vAlign w:val="bottom"/>
            <w:tcBorders>
              <w:bottom w:val="single" w:sz="8" w:color="0591DB"/>
              <w:right w:val="single" w:sz="8" w:color="0591DB"/>
            </w:tcBorders>
          </w:tcPr>
          <w:p>
            <w:pPr>
              <w:jc w:val="center"/>
              <w:spacing w:after="0" w:line="254" w:lineRule="exact"/>
              <w:rPr>
                <w:sz w:val="20"/>
                <w:szCs w:val="20"/>
                <w:color w:val="auto"/>
              </w:rPr>
            </w:pPr>
            <w:r>
              <w:rPr>
                <w:rFonts w:ascii="Calibri" w:cs="Calibri" w:eastAsia="Calibri" w:hAnsi="Calibri"/>
                <w:sz w:val="14"/>
                <w:szCs w:val="14"/>
                <w:b w:val="1"/>
                <w:bCs w:val="1"/>
                <w:color w:val="0591DB"/>
                <w:w w:val="97"/>
              </w:rPr>
              <w:t xml:space="preserve">SALARY </w:t>
            </w:r>
            <w:r>
              <w:rPr>
                <w:rFonts w:ascii="Calibri" w:cs="Calibri" w:eastAsia="Calibri" w:hAnsi="Calibri"/>
                <w:sz w:val="21"/>
                <w:szCs w:val="21"/>
                <w:b w:val="1"/>
                <w:bCs w:val="1"/>
                <w:color w:val="0591DB"/>
                <w:w w:val="97"/>
                <w:vertAlign w:val="superscript"/>
              </w:rPr>
              <w:t>(1)</w:t>
            </w:r>
          </w:p>
        </w:tc>
        <w:tc>
          <w:tcPr>
            <w:tcW w:w="76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1"/>
                <w:szCs w:val="11"/>
                <w:b w:val="1"/>
                <w:bCs w:val="1"/>
                <w:color w:val="0591DB"/>
                <w:w w:val="99"/>
              </w:rPr>
              <w:t>(1) (7) (8)</w:t>
            </w:r>
          </w:p>
        </w:tc>
        <w:tc>
          <w:tcPr>
            <w:tcW w:w="88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1"/>
                <w:szCs w:val="11"/>
                <w:b w:val="1"/>
                <w:bCs w:val="1"/>
                <w:color w:val="0591DB"/>
                <w:w w:val="94"/>
              </w:rPr>
              <w:t>(2) (3)</w:t>
            </w:r>
          </w:p>
        </w:tc>
        <w:tc>
          <w:tcPr>
            <w:tcW w:w="760" w:type="dxa"/>
            <w:vAlign w:val="bottom"/>
            <w:tcBorders>
              <w:bottom w:val="single" w:sz="8" w:color="0591DB"/>
              <w:right w:val="single" w:sz="8" w:color="0591DB"/>
            </w:tcBorders>
          </w:tcPr>
          <w:p>
            <w:pPr>
              <w:jc w:val="center"/>
              <w:ind w:left="1"/>
              <w:spacing w:after="0" w:line="169" w:lineRule="exact"/>
              <w:rPr>
                <w:sz w:val="20"/>
                <w:szCs w:val="20"/>
                <w:color w:val="auto"/>
              </w:rPr>
            </w:pPr>
            <w:r>
              <w:rPr>
                <w:rFonts w:ascii="Calibri" w:cs="Calibri" w:eastAsia="Calibri" w:hAnsi="Calibri"/>
                <w:sz w:val="14"/>
                <w:szCs w:val="14"/>
                <w:b w:val="1"/>
                <w:bCs w:val="1"/>
                <w:color w:val="0591DB"/>
                <w:w w:val="98"/>
              </w:rPr>
              <w:t>AWARDS</w:t>
            </w:r>
          </w:p>
        </w:tc>
        <w:tc>
          <w:tcPr>
            <w:tcW w:w="1300" w:type="dxa"/>
            <w:vAlign w:val="bottom"/>
            <w:tcBorders>
              <w:bottom w:val="single" w:sz="8" w:color="0591DB"/>
              <w:right w:val="single" w:sz="8" w:color="0591DB"/>
            </w:tcBorders>
          </w:tcPr>
          <w:p>
            <w:pPr>
              <w:jc w:val="center"/>
              <w:ind w:left="3"/>
              <w:spacing w:after="0"/>
              <w:rPr>
                <w:sz w:val="20"/>
                <w:szCs w:val="20"/>
                <w:color w:val="auto"/>
              </w:rPr>
            </w:pPr>
            <w:r>
              <w:rPr>
                <w:rFonts w:ascii="Calibri" w:cs="Calibri" w:eastAsia="Calibri" w:hAnsi="Calibri"/>
                <w:sz w:val="11"/>
                <w:szCs w:val="11"/>
                <w:b w:val="1"/>
                <w:bCs w:val="1"/>
                <w:color w:val="0591DB"/>
                <w:w w:val="94"/>
              </w:rPr>
              <w:t>(1) (4)</w:t>
            </w:r>
          </w:p>
        </w:tc>
        <w:tc>
          <w:tcPr>
            <w:tcW w:w="1320" w:type="dxa"/>
            <w:vAlign w:val="bottom"/>
            <w:tcBorders>
              <w:bottom w:val="single" w:sz="8" w:color="0591DB"/>
              <w:right w:val="single" w:sz="8" w:color="0591DB"/>
            </w:tcBorders>
          </w:tcPr>
          <w:p>
            <w:pPr>
              <w:jc w:val="center"/>
              <w:ind w:left="23"/>
              <w:spacing w:after="0" w:line="169" w:lineRule="exact"/>
              <w:rPr>
                <w:sz w:val="20"/>
                <w:szCs w:val="20"/>
                <w:color w:val="auto"/>
              </w:rPr>
            </w:pPr>
            <w:r>
              <w:rPr>
                <w:rFonts w:ascii="Calibri" w:cs="Calibri" w:eastAsia="Calibri" w:hAnsi="Calibri"/>
                <w:sz w:val="14"/>
                <w:szCs w:val="14"/>
                <w:b w:val="1"/>
                <w:bCs w:val="1"/>
                <w:color w:val="0591DB"/>
              </w:rPr>
              <w:t>EARNINGS</w:t>
            </w:r>
          </w:p>
        </w:tc>
        <w:tc>
          <w:tcPr>
            <w:tcW w:w="132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1"/>
                <w:szCs w:val="11"/>
                <w:b w:val="1"/>
                <w:bCs w:val="1"/>
                <w:color w:val="0591DB"/>
                <w:w w:val="94"/>
              </w:rPr>
              <w:t>(1) (5)</w:t>
            </w:r>
          </w:p>
        </w:tc>
        <w:tc>
          <w:tcPr>
            <w:tcW w:w="960" w:type="dxa"/>
            <w:vAlign w:val="bottom"/>
            <w:tcBorders>
              <w:bottom w:val="single" w:sz="8" w:color="0591DB"/>
            </w:tcBorders>
          </w:tcPr>
          <w:p>
            <w:pPr>
              <w:jc w:val="center"/>
              <w:spacing w:after="0" w:line="169" w:lineRule="exact"/>
              <w:rPr>
                <w:sz w:val="20"/>
                <w:szCs w:val="20"/>
                <w:color w:val="auto"/>
              </w:rPr>
            </w:pPr>
            <w:r>
              <w:rPr>
                <w:rFonts w:ascii="Calibri" w:cs="Calibri" w:eastAsia="Calibri" w:hAnsi="Calibri"/>
                <w:sz w:val="14"/>
                <w:szCs w:val="14"/>
                <w:b w:val="1"/>
                <w:bCs w:val="1"/>
                <w:color w:val="0591DB"/>
              </w:rPr>
              <w:t>TOTAL</w:t>
            </w:r>
          </w:p>
        </w:tc>
        <w:tc>
          <w:tcPr>
            <w:tcW w:w="20" w:type="dxa"/>
            <w:vAlign w:val="bottom"/>
            <w:tcBorders>
              <w:bottom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00" w:type="dxa"/>
            <w:vAlign w:val="bottom"/>
            <w:tcBorders>
              <w:left w:val="single" w:sz="8" w:color="0591DB"/>
            </w:tcBorders>
          </w:tcPr>
          <w:p>
            <w:pPr>
              <w:spacing w:after="0"/>
              <w:rPr>
                <w:sz w:val="17"/>
                <w:szCs w:val="17"/>
                <w:color w:val="auto"/>
              </w:rPr>
            </w:pPr>
          </w:p>
        </w:tc>
        <w:tc>
          <w:tcPr>
            <w:tcW w:w="980" w:type="dxa"/>
            <w:vAlign w:val="bottom"/>
            <w:tcBorders>
              <w:right w:val="single" w:sz="8" w:color="0591DB"/>
            </w:tcBorders>
          </w:tcPr>
          <w:p>
            <w:pPr>
              <w:spacing w:after="0"/>
              <w:rPr>
                <w:sz w:val="17"/>
                <w:szCs w:val="17"/>
                <w:color w:val="auto"/>
              </w:rPr>
            </w:pPr>
          </w:p>
        </w:tc>
        <w:tc>
          <w:tcPr>
            <w:tcW w:w="540" w:type="dxa"/>
            <w:vAlign w:val="bottom"/>
            <w:tcBorders>
              <w:right w:val="single" w:sz="8" w:color="0591DB"/>
            </w:tcBorders>
          </w:tcPr>
          <w:p>
            <w:pPr>
              <w:spacing w:after="0"/>
              <w:rPr>
                <w:sz w:val="17"/>
                <w:szCs w:val="17"/>
                <w:color w:val="auto"/>
              </w:rPr>
            </w:pPr>
          </w:p>
        </w:tc>
        <w:tc>
          <w:tcPr>
            <w:tcW w:w="880" w:type="dxa"/>
            <w:vAlign w:val="bottom"/>
            <w:tcBorders>
              <w:right w:val="single" w:sz="8" w:color="0591DB"/>
            </w:tcBorders>
          </w:tcPr>
          <w:p>
            <w:pPr>
              <w:jc w:val="center"/>
              <w:ind w:left="1"/>
              <w:spacing w:after="0"/>
              <w:rPr>
                <w:sz w:val="20"/>
                <w:szCs w:val="20"/>
                <w:color w:val="auto"/>
              </w:rPr>
            </w:pPr>
            <w:r>
              <w:rPr>
                <w:rFonts w:ascii="Calibri" w:cs="Calibri" w:eastAsia="Calibri" w:hAnsi="Calibri"/>
                <w:sz w:val="14"/>
                <w:szCs w:val="14"/>
                <w:b w:val="1"/>
                <w:bCs w:val="1"/>
                <w:color w:val="0591DB"/>
              </w:rPr>
              <w:t>($)</w:t>
            </w:r>
          </w:p>
        </w:tc>
        <w:tc>
          <w:tcPr>
            <w:tcW w:w="760" w:type="dxa"/>
            <w:vAlign w:val="bottom"/>
            <w:tcBorders>
              <w:right w:val="single" w:sz="8" w:color="0591DB"/>
            </w:tcBorders>
          </w:tcPr>
          <w:p>
            <w:pPr>
              <w:jc w:val="center"/>
              <w:ind w:left="2"/>
              <w:spacing w:after="0"/>
              <w:rPr>
                <w:sz w:val="20"/>
                <w:szCs w:val="20"/>
                <w:color w:val="auto"/>
              </w:rPr>
            </w:pPr>
            <w:r>
              <w:rPr>
                <w:rFonts w:ascii="Calibri" w:cs="Calibri" w:eastAsia="Calibri" w:hAnsi="Calibri"/>
                <w:sz w:val="14"/>
                <w:szCs w:val="14"/>
                <w:b w:val="1"/>
                <w:bCs w:val="1"/>
                <w:color w:val="0591DB"/>
              </w:rPr>
              <w:t>($)</w:t>
            </w:r>
          </w:p>
        </w:tc>
        <w:tc>
          <w:tcPr>
            <w:tcW w:w="880" w:type="dxa"/>
            <w:vAlign w:val="bottom"/>
            <w:tcBorders>
              <w:right w:val="single" w:sz="8" w:color="0591DB"/>
            </w:tcBorders>
          </w:tcPr>
          <w:p>
            <w:pPr>
              <w:jc w:val="center"/>
              <w:ind w:left="2"/>
              <w:spacing w:after="0"/>
              <w:rPr>
                <w:sz w:val="20"/>
                <w:szCs w:val="20"/>
                <w:color w:val="auto"/>
              </w:rPr>
            </w:pPr>
            <w:r>
              <w:rPr>
                <w:rFonts w:ascii="Calibri" w:cs="Calibri" w:eastAsia="Calibri" w:hAnsi="Calibri"/>
                <w:sz w:val="14"/>
                <w:szCs w:val="14"/>
                <w:b w:val="1"/>
                <w:bCs w:val="1"/>
                <w:color w:val="0591DB"/>
              </w:rPr>
              <w:t>($)</w:t>
            </w:r>
          </w:p>
        </w:tc>
        <w:tc>
          <w:tcPr>
            <w:tcW w:w="760" w:type="dxa"/>
            <w:vAlign w:val="bottom"/>
            <w:tcBorders>
              <w:right w:val="single" w:sz="8" w:color="0591DB"/>
            </w:tcBorders>
          </w:tcPr>
          <w:p>
            <w:pPr>
              <w:jc w:val="center"/>
              <w:ind w:left="1"/>
              <w:spacing w:after="0"/>
              <w:rPr>
                <w:sz w:val="20"/>
                <w:szCs w:val="20"/>
                <w:color w:val="auto"/>
              </w:rPr>
            </w:pPr>
            <w:r>
              <w:rPr>
                <w:rFonts w:ascii="Calibri" w:cs="Calibri" w:eastAsia="Calibri" w:hAnsi="Calibri"/>
                <w:sz w:val="14"/>
                <w:szCs w:val="14"/>
                <w:b w:val="1"/>
                <w:bCs w:val="1"/>
                <w:color w:val="0591DB"/>
              </w:rPr>
              <w:t>($)</w:t>
            </w:r>
          </w:p>
        </w:tc>
        <w:tc>
          <w:tcPr>
            <w:tcW w:w="1300" w:type="dxa"/>
            <w:vAlign w:val="bottom"/>
            <w:tcBorders>
              <w:right w:val="single" w:sz="8" w:color="0591DB"/>
            </w:tcBorders>
          </w:tcPr>
          <w:p>
            <w:pPr>
              <w:jc w:val="center"/>
              <w:ind w:left="23"/>
              <w:spacing w:after="0"/>
              <w:rPr>
                <w:sz w:val="20"/>
                <w:szCs w:val="20"/>
                <w:color w:val="auto"/>
              </w:rPr>
            </w:pPr>
            <w:r>
              <w:rPr>
                <w:rFonts w:ascii="Calibri" w:cs="Calibri" w:eastAsia="Calibri" w:hAnsi="Calibri"/>
                <w:sz w:val="14"/>
                <w:szCs w:val="14"/>
                <w:b w:val="1"/>
                <w:bCs w:val="1"/>
                <w:color w:val="0591DB"/>
              </w:rPr>
              <w:t>($)</w:t>
            </w:r>
          </w:p>
        </w:tc>
        <w:tc>
          <w:tcPr>
            <w:tcW w:w="1320" w:type="dxa"/>
            <w:vAlign w:val="bottom"/>
            <w:tcBorders>
              <w:right w:val="single" w:sz="8" w:color="0591DB"/>
            </w:tcBorders>
          </w:tcPr>
          <w:p>
            <w:pPr>
              <w:jc w:val="center"/>
              <w:ind w:left="3"/>
              <w:spacing w:after="0"/>
              <w:rPr>
                <w:sz w:val="20"/>
                <w:szCs w:val="20"/>
                <w:color w:val="auto"/>
              </w:rPr>
            </w:pPr>
            <w:r>
              <w:rPr>
                <w:rFonts w:ascii="Calibri" w:cs="Calibri" w:eastAsia="Calibri" w:hAnsi="Calibri"/>
                <w:sz w:val="14"/>
                <w:szCs w:val="14"/>
                <w:b w:val="1"/>
                <w:bCs w:val="1"/>
                <w:color w:val="0591DB"/>
              </w:rPr>
              <w:t>($)</w:t>
            </w:r>
          </w:p>
        </w:tc>
        <w:tc>
          <w:tcPr>
            <w:tcW w:w="1320" w:type="dxa"/>
            <w:vAlign w:val="bottom"/>
            <w:tcBorders>
              <w:right w:val="single" w:sz="8" w:color="0591DB"/>
            </w:tcBorders>
          </w:tcPr>
          <w:p>
            <w:pPr>
              <w:jc w:val="center"/>
              <w:ind w:left="2"/>
              <w:spacing w:after="0"/>
              <w:rPr>
                <w:sz w:val="20"/>
                <w:szCs w:val="20"/>
                <w:color w:val="auto"/>
              </w:rPr>
            </w:pPr>
            <w:r>
              <w:rPr>
                <w:rFonts w:ascii="Calibri" w:cs="Calibri" w:eastAsia="Calibri" w:hAnsi="Calibri"/>
                <w:sz w:val="14"/>
                <w:szCs w:val="14"/>
                <w:b w:val="1"/>
                <w:bCs w:val="1"/>
                <w:color w:val="0591DB"/>
              </w:rPr>
              <w:t>($)</w:t>
            </w: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0591DB"/>
              </w:rPr>
              <w:t>($)</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0" w:type="dxa"/>
            <w:vAlign w:val="bottom"/>
            <w:tcBorders>
              <w:left w:val="single" w:sz="8" w:color="0591DB"/>
            </w:tcBorders>
          </w:tcPr>
          <w:p>
            <w:pPr>
              <w:spacing w:after="0"/>
              <w:rPr>
                <w:sz w:val="15"/>
                <w:szCs w:val="15"/>
                <w:color w:val="auto"/>
              </w:rPr>
            </w:pPr>
          </w:p>
        </w:tc>
        <w:tc>
          <w:tcPr>
            <w:tcW w:w="980" w:type="dxa"/>
            <w:vAlign w:val="bottom"/>
            <w:tcBorders>
              <w:right w:val="single" w:sz="8" w:color="0591DB"/>
            </w:tcBorders>
          </w:tcPr>
          <w:p>
            <w:pPr>
              <w:spacing w:after="0"/>
              <w:rPr>
                <w:sz w:val="15"/>
                <w:szCs w:val="15"/>
                <w:color w:val="auto"/>
              </w:rPr>
            </w:pPr>
          </w:p>
        </w:tc>
        <w:tc>
          <w:tcPr>
            <w:tcW w:w="54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(a)</w:t>
            </w:r>
          </w:p>
        </w:tc>
        <w:tc>
          <w:tcPr>
            <w:tcW w:w="880" w:type="dxa"/>
            <w:vAlign w:val="bottom"/>
            <w:tcBorders>
              <w:right w:val="single" w:sz="8" w:color="0591DB"/>
            </w:tcBorders>
          </w:tcPr>
          <w:p>
            <w:pPr>
              <w:jc w:val="center"/>
              <w:spacing w:after="0"/>
              <w:rPr>
                <w:sz w:val="20"/>
                <w:szCs w:val="20"/>
                <w:color w:val="auto"/>
              </w:rPr>
            </w:pPr>
            <w:r>
              <w:rPr>
                <w:rFonts w:ascii="Calibri" w:cs="Calibri" w:eastAsia="Calibri" w:hAnsi="Calibri"/>
                <w:sz w:val="14"/>
                <w:szCs w:val="14"/>
                <w:b w:val="1"/>
                <w:bCs w:val="1"/>
                <w:color w:val="0591DB"/>
              </w:rPr>
              <w:t>(b)</w:t>
            </w:r>
          </w:p>
        </w:tc>
        <w:tc>
          <w:tcPr>
            <w:tcW w:w="760" w:type="dxa"/>
            <w:vAlign w:val="bottom"/>
            <w:tcBorders>
              <w:right w:val="single" w:sz="8" w:color="0591DB"/>
            </w:tcBorders>
          </w:tcPr>
          <w:p>
            <w:pPr>
              <w:jc w:val="center"/>
              <w:spacing w:after="0" w:line="169" w:lineRule="exact"/>
              <w:rPr>
                <w:sz w:val="20"/>
                <w:szCs w:val="20"/>
                <w:color w:val="auto"/>
              </w:rPr>
            </w:pPr>
            <w:r>
              <w:rPr>
                <w:rFonts w:ascii="Calibri" w:cs="Calibri" w:eastAsia="Calibri" w:hAnsi="Calibri"/>
                <w:sz w:val="14"/>
                <w:szCs w:val="14"/>
                <w:b w:val="1"/>
                <w:bCs w:val="1"/>
                <w:color w:val="0591DB"/>
                <w:w w:val="95"/>
              </w:rPr>
              <w:t>(c)</w:t>
            </w:r>
          </w:p>
        </w:tc>
        <w:tc>
          <w:tcPr>
            <w:tcW w:w="880" w:type="dxa"/>
            <w:vAlign w:val="bottom"/>
            <w:tcBorders>
              <w:right w:val="single" w:sz="8" w:color="0591DB"/>
            </w:tcBorders>
          </w:tcPr>
          <w:p>
            <w:pPr>
              <w:jc w:val="center"/>
              <w:ind w:left="2"/>
              <w:spacing w:after="0" w:line="169" w:lineRule="exact"/>
              <w:rPr>
                <w:sz w:val="20"/>
                <w:szCs w:val="20"/>
                <w:color w:val="auto"/>
              </w:rPr>
            </w:pPr>
            <w:r>
              <w:rPr>
                <w:rFonts w:ascii="Calibri" w:cs="Calibri" w:eastAsia="Calibri" w:hAnsi="Calibri"/>
                <w:sz w:val="14"/>
                <w:szCs w:val="14"/>
                <w:b w:val="1"/>
                <w:bCs w:val="1"/>
                <w:color w:val="0591DB"/>
                <w:w w:val="98"/>
              </w:rPr>
              <w:t>(d)</w:t>
            </w:r>
          </w:p>
        </w:tc>
        <w:tc>
          <w:tcPr>
            <w:tcW w:w="760" w:type="dxa"/>
            <w:vAlign w:val="bottom"/>
            <w:tcBorders>
              <w:right w:val="single" w:sz="8" w:color="0591DB"/>
            </w:tcBorders>
          </w:tcPr>
          <w:p>
            <w:pPr>
              <w:jc w:val="center"/>
              <w:ind w:left="1"/>
              <w:spacing w:after="0" w:line="169" w:lineRule="exact"/>
              <w:rPr>
                <w:sz w:val="20"/>
                <w:szCs w:val="20"/>
                <w:color w:val="auto"/>
              </w:rPr>
            </w:pPr>
            <w:r>
              <w:rPr>
                <w:rFonts w:ascii="Calibri" w:cs="Calibri" w:eastAsia="Calibri" w:hAnsi="Calibri"/>
                <w:sz w:val="14"/>
                <w:szCs w:val="14"/>
                <w:b w:val="1"/>
                <w:bCs w:val="1"/>
                <w:color w:val="0591DB"/>
              </w:rPr>
              <w:t>(e)</w:t>
            </w:r>
          </w:p>
        </w:tc>
        <w:tc>
          <w:tcPr>
            <w:tcW w:w="1300" w:type="dxa"/>
            <w:vAlign w:val="bottom"/>
            <w:tcBorders>
              <w:right w:val="single" w:sz="8" w:color="0591DB"/>
            </w:tcBorders>
          </w:tcPr>
          <w:p>
            <w:pPr>
              <w:jc w:val="center"/>
              <w:ind w:left="3"/>
              <w:spacing w:after="0" w:line="169" w:lineRule="exact"/>
              <w:rPr>
                <w:sz w:val="20"/>
                <w:szCs w:val="20"/>
                <w:color w:val="auto"/>
              </w:rPr>
            </w:pPr>
            <w:r>
              <w:rPr>
                <w:rFonts w:ascii="Calibri" w:cs="Calibri" w:eastAsia="Calibri" w:hAnsi="Calibri"/>
                <w:sz w:val="14"/>
                <w:szCs w:val="14"/>
                <w:b w:val="1"/>
                <w:bCs w:val="1"/>
                <w:color w:val="0591DB"/>
              </w:rPr>
              <w:t>(f)</w:t>
            </w:r>
          </w:p>
        </w:tc>
        <w:tc>
          <w:tcPr>
            <w:tcW w:w="1320" w:type="dxa"/>
            <w:vAlign w:val="bottom"/>
            <w:tcBorders>
              <w:right w:val="single" w:sz="8" w:color="0591DB"/>
            </w:tcBorders>
          </w:tcPr>
          <w:p>
            <w:pPr>
              <w:jc w:val="center"/>
              <w:ind w:left="3"/>
              <w:spacing w:after="0" w:line="169" w:lineRule="exact"/>
              <w:rPr>
                <w:sz w:val="20"/>
                <w:szCs w:val="20"/>
                <w:color w:val="auto"/>
              </w:rPr>
            </w:pPr>
            <w:r>
              <w:rPr>
                <w:rFonts w:ascii="Calibri" w:cs="Calibri" w:eastAsia="Calibri" w:hAnsi="Calibri"/>
                <w:sz w:val="14"/>
                <w:szCs w:val="14"/>
                <w:b w:val="1"/>
                <w:bCs w:val="1"/>
                <w:color w:val="0591DB"/>
              </w:rPr>
              <w:t>(g)</w:t>
            </w:r>
          </w:p>
        </w:tc>
        <w:tc>
          <w:tcPr>
            <w:tcW w:w="1320" w:type="dxa"/>
            <w:vAlign w:val="bottom"/>
            <w:tcBorders>
              <w:right w:val="single" w:sz="8" w:color="0591DB"/>
            </w:tcBorders>
          </w:tcPr>
          <w:p>
            <w:pPr>
              <w:jc w:val="center"/>
              <w:ind w:left="2"/>
              <w:spacing w:after="0" w:line="169" w:lineRule="exact"/>
              <w:rPr>
                <w:sz w:val="20"/>
                <w:szCs w:val="20"/>
                <w:color w:val="auto"/>
              </w:rPr>
            </w:pPr>
            <w:r>
              <w:rPr>
                <w:rFonts w:ascii="Calibri" w:cs="Calibri" w:eastAsia="Calibri" w:hAnsi="Calibri"/>
                <w:sz w:val="14"/>
                <w:szCs w:val="14"/>
                <w:b w:val="1"/>
                <w:bCs w:val="1"/>
                <w:color w:val="0591DB"/>
                <w:w w:val="98"/>
              </w:rPr>
              <w:t>(h)</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0591DB"/>
              </w:rPr>
              <w:t>(i)</w:t>
            </w:r>
          </w:p>
        </w:tc>
        <w:tc>
          <w:tcPr>
            <w:tcW w:w="20" w:type="dxa"/>
            <w:vAlign w:val="bottom"/>
            <w:shd w:val="clear" w:color="auto" w:fill="0591DB"/>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1200" w:type="dxa"/>
            <w:vAlign w:val="bottom"/>
            <w:tcBorders>
              <w:left w:val="single" w:sz="8" w:color="0591DB"/>
              <w:bottom w:val="single" w:sz="8" w:color="0591DB"/>
            </w:tcBorders>
          </w:tcPr>
          <w:p>
            <w:pPr>
              <w:spacing w:after="0"/>
              <w:rPr>
                <w:sz w:val="7"/>
                <w:szCs w:val="7"/>
                <w:color w:val="auto"/>
              </w:rPr>
            </w:pPr>
          </w:p>
        </w:tc>
        <w:tc>
          <w:tcPr>
            <w:tcW w:w="980" w:type="dxa"/>
            <w:vAlign w:val="bottom"/>
            <w:tcBorders>
              <w:bottom w:val="single" w:sz="8" w:color="0591DB"/>
              <w:right w:val="single" w:sz="8" w:color="0591DB"/>
            </w:tcBorders>
          </w:tcPr>
          <w:p>
            <w:pPr>
              <w:spacing w:after="0"/>
              <w:rPr>
                <w:sz w:val="7"/>
                <w:szCs w:val="7"/>
                <w:color w:val="auto"/>
              </w:rPr>
            </w:pPr>
          </w:p>
        </w:tc>
        <w:tc>
          <w:tcPr>
            <w:tcW w:w="540" w:type="dxa"/>
            <w:vAlign w:val="bottom"/>
            <w:tcBorders>
              <w:bottom w:val="single" w:sz="8" w:color="0591DB"/>
              <w:right w:val="single" w:sz="8" w:color="0591DB"/>
            </w:tcBorders>
          </w:tcPr>
          <w:p>
            <w:pPr>
              <w:spacing w:after="0"/>
              <w:rPr>
                <w:sz w:val="7"/>
                <w:szCs w:val="7"/>
                <w:color w:val="auto"/>
              </w:rPr>
            </w:pPr>
          </w:p>
        </w:tc>
        <w:tc>
          <w:tcPr>
            <w:tcW w:w="880" w:type="dxa"/>
            <w:vAlign w:val="bottom"/>
            <w:tcBorders>
              <w:bottom w:val="single" w:sz="8" w:color="0591DB"/>
              <w:right w:val="single" w:sz="8" w:color="0591DB"/>
            </w:tcBorders>
          </w:tcPr>
          <w:p>
            <w:pPr>
              <w:spacing w:after="0"/>
              <w:rPr>
                <w:sz w:val="7"/>
                <w:szCs w:val="7"/>
                <w:color w:val="auto"/>
              </w:rPr>
            </w:pPr>
          </w:p>
        </w:tc>
        <w:tc>
          <w:tcPr>
            <w:tcW w:w="760" w:type="dxa"/>
            <w:vAlign w:val="bottom"/>
            <w:tcBorders>
              <w:bottom w:val="single" w:sz="8" w:color="0591DB"/>
              <w:right w:val="single" w:sz="8" w:color="0591DB"/>
            </w:tcBorders>
          </w:tcPr>
          <w:p>
            <w:pPr>
              <w:spacing w:after="0"/>
              <w:rPr>
                <w:sz w:val="7"/>
                <w:szCs w:val="7"/>
                <w:color w:val="auto"/>
              </w:rPr>
            </w:pPr>
          </w:p>
        </w:tc>
        <w:tc>
          <w:tcPr>
            <w:tcW w:w="880" w:type="dxa"/>
            <w:vAlign w:val="bottom"/>
            <w:tcBorders>
              <w:bottom w:val="single" w:sz="8" w:color="0591DB"/>
              <w:right w:val="single" w:sz="8" w:color="0591DB"/>
            </w:tcBorders>
          </w:tcPr>
          <w:p>
            <w:pPr>
              <w:spacing w:after="0"/>
              <w:rPr>
                <w:sz w:val="7"/>
                <w:szCs w:val="7"/>
                <w:color w:val="auto"/>
              </w:rPr>
            </w:pPr>
          </w:p>
        </w:tc>
        <w:tc>
          <w:tcPr>
            <w:tcW w:w="760" w:type="dxa"/>
            <w:vAlign w:val="bottom"/>
            <w:tcBorders>
              <w:bottom w:val="single" w:sz="8" w:color="0591DB"/>
              <w:right w:val="single" w:sz="8" w:color="0591DB"/>
            </w:tcBorders>
          </w:tcPr>
          <w:p>
            <w:pPr>
              <w:spacing w:after="0"/>
              <w:rPr>
                <w:sz w:val="7"/>
                <w:szCs w:val="7"/>
                <w:color w:val="auto"/>
              </w:rPr>
            </w:pPr>
          </w:p>
        </w:tc>
        <w:tc>
          <w:tcPr>
            <w:tcW w:w="1300" w:type="dxa"/>
            <w:vAlign w:val="bottom"/>
            <w:tcBorders>
              <w:bottom w:val="single" w:sz="8" w:color="0591DB"/>
              <w:right w:val="single" w:sz="8" w:color="0591DB"/>
            </w:tcBorders>
          </w:tcPr>
          <w:p>
            <w:pPr>
              <w:spacing w:after="0"/>
              <w:rPr>
                <w:sz w:val="7"/>
                <w:szCs w:val="7"/>
                <w:color w:val="auto"/>
              </w:rPr>
            </w:pPr>
          </w:p>
        </w:tc>
        <w:tc>
          <w:tcPr>
            <w:tcW w:w="1320" w:type="dxa"/>
            <w:vAlign w:val="bottom"/>
            <w:tcBorders>
              <w:bottom w:val="single" w:sz="8" w:color="0591DB"/>
              <w:right w:val="single" w:sz="8" w:color="0591DB"/>
            </w:tcBorders>
          </w:tcPr>
          <w:p>
            <w:pPr>
              <w:spacing w:after="0"/>
              <w:rPr>
                <w:sz w:val="7"/>
                <w:szCs w:val="7"/>
                <w:color w:val="auto"/>
              </w:rPr>
            </w:pPr>
          </w:p>
        </w:tc>
        <w:tc>
          <w:tcPr>
            <w:tcW w:w="1320" w:type="dxa"/>
            <w:vAlign w:val="bottom"/>
            <w:tcBorders>
              <w:bottom w:val="single" w:sz="8" w:color="0591DB"/>
              <w:right w:val="single" w:sz="8" w:color="0591DB"/>
            </w:tcBorders>
          </w:tcPr>
          <w:p>
            <w:pPr>
              <w:spacing w:after="0"/>
              <w:rPr>
                <w:sz w:val="7"/>
                <w:szCs w:val="7"/>
                <w:color w:val="auto"/>
              </w:rPr>
            </w:pPr>
          </w:p>
        </w:tc>
        <w:tc>
          <w:tcPr>
            <w:tcW w:w="960" w:type="dxa"/>
            <w:vAlign w:val="bottom"/>
            <w:tcBorders>
              <w:bottom w:val="single" w:sz="8" w:color="0591DB"/>
            </w:tcBorders>
          </w:tcPr>
          <w:p>
            <w:pPr>
              <w:spacing w:after="0"/>
              <w:rPr>
                <w:sz w:val="7"/>
                <w:szCs w:val="7"/>
                <w:color w:val="auto"/>
              </w:rPr>
            </w:pPr>
          </w:p>
        </w:tc>
        <w:tc>
          <w:tcPr>
            <w:tcW w:w="20" w:type="dxa"/>
            <w:vAlign w:val="bottom"/>
            <w:tcBorders>
              <w:bottom w:val="single" w:sz="8" w:color="0591DB"/>
            </w:tcBorders>
            <w:shd w:val="clear" w:color="auto" w:fill="0591DB"/>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180" w:type="dxa"/>
            <w:vAlign w:val="bottom"/>
            <w:gridSpan w:val="2"/>
          </w:tcPr>
          <w:p>
            <w:pPr>
              <w:spacing w:after="0" w:line="175" w:lineRule="exact"/>
              <w:rPr>
                <w:sz w:val="20"/>
                <w:szCs w:val="20"/>
                <w:color w:val="auto"/>
              </w:rPr>
            </w:pPr>
            <w:r>
              <w:rPr>
                <w:rFonts w:ascii="Calibri" w:cs="Calibri" w:eastAsia="Calibri" w:hAnsi="Calibri"/>
                <w:sz w:val="13"/>
                <w:szCs w:val="13"/>
                <w:b w:val="1"/>
                <w:bCs w:val="1"/>
                <w:color w:val="333333"/>
              </w:rPr>
              <w:t> </w:t>
            </w:r>
            <w:r>
              <w:rPr>
                <w:rFonts w:ascii="Calibri" w:cs="Calibri" w:eastAsia="Calibri" w:hAnsi="Calibri"/>
                <w:sz w:val="13"/>
                <w:szCs w:val="13"/>
                <w:b w:val="1"/>
                <w:bCs w:val="1"/>
                <w:color w:val="0591DB"/>
              </w:rPr>
              <w:t>Steven H. Gunby</w:t>
            </w:r>
            <w:r>
              <w:rPr>
                <w:rFonts w:ascii="Calibri" w:cs="Calibri" w:eastAsia="Calibri" w:hAnsi="Calibri"/>
                <w:sz w:val="13"/>
                <w:szCs w:val="13"/>
                <w:b w:val="1"/>
                <w:bCs w:val="1"/>
                <w:color w:val="333333"/>
              </w:rPr>
              <w:t xml:space="preserve"> </w:t>
            </w:r>
            <w:r>
              <w:rPr>
                <w:rFonts w:ascii="Calibri" w:cs="Calibri" w:eastAsia="Calibri" w:hAnsi="Calibri"/>
                <w:sz w:val="19"/>
                <w:szCs w:val="19"/>
                <w:b w:val="1"/>
                <w:bCs w:val="1"/>
                <w:color w:val="333333"/>
                <w:vertAlign w:val="superscript"/>
              </w:rPr>
              <w:t>(6)</w:t>
            </w:r>
          </w:p>
        </w:tc>
        <w:tc>
          <w:tcPr>
            <w:tcW w:w="540" w:type="dxa"/>
            <w:vAlign w:val="bottom"/>
          </w:tcPr>
          <w:p>
            <w:pPr>
              <w:jc w:val="center"/>
              <w:ind w:left="1"/>
              <w:spacing w:after="0" w:line="175" w:lineRule="exact"/>
              <w:rPr>
                <w:sz w:val="20"/>
                <w:szCs w:val="20"/>
                <w:color w:val="auto"/>
              </w:rPr>
            </w:pPr>
            <w:r>
              <w:rPr>
                <w:rFonts w:ascii="Calibri" w:cs="Calibri" w:eastAsia="Calibri" w:hAnsi="Calibri"/>
                <w:sz w:val="16"/>
                <w:szCs w:val="16"/>
                <w:color w:val="333333"/>
              </w:rPr>
              <w:t>2025</w:t>
            </w:r>
          </w:p>
        </w:tc>
        <w:tc>
          <w:tcPr>
            <w:tcW w:w="880" w:type="dxa"/>
            <w:vAlign w:val="bottom"/>
          </w:tcPr>
          <w:p>
            <w:pPr>
              <w:jc w:val="center"/>
              <w:spacing w:after="0" w:line="175" w:lineRule="exact"/>
              <w:rPr>
                <w:sz w:val="20"/>
                <w:szCs w:val="20"/>
                <w:color w:val="auto"/>
              </w:rPr>
            </w:pPr>
            <w:r>
              <w:rPr>
                <w:rFonts w:ascii="Calibri" w:cs="Calibri" w:eastAsia="Calibri" w:hAnsi="Calibri"/>
                <w:sz w:val="16"/>
                <w:szCs w:val="16"/>
                <w:color w:val="333333"/>
              </w:rPr>
              <w:t>1,000,000</w:t>
            </w:r>
          </w:p>
        </w:tc>
        <w:tc>
          <w:tcPr>
            <w:tcW w:w="760" w:type="dxa"/>
            <w:vAlign w:val="bottom"/>
          </w:tcPr>
          <w:p>
            <w:pPr>
              <w:jc w:val="center"/>
              <w:spacing w:after="0" w:line="175" w:lineRule="exact"/>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line="175" w:lineRule="exact"/>
              <w:rPr>
                <w:sz w:val="20"/>
                <w:szCs w:val="20"/>
                <w:color w:val="auto"/>
              </w:rPr>
            </w:pPr>
            <w:r>
              <w:rPr>
                <w:rFonts w:ascii="Calibri" w:cs="Calibri" w:eastAsia="Calibri" w:hAnsi="Calibri"/>
                <w:sz w:val="16"/>
                <w:szCs w:val="16"/>
                <w:color w:val="333333"/>
                <w:w w:val="98"/>
              </w:rPr>
              <w:t>7,450,943</w:t>
            </w:r>
          </w:p>
        </w:tc>
        <w:tc>
          <w:tcPr>
            <w:tcW w:w="760" w:type="dxa"/>
            <w:vAlign w:val="bottom"/>
          </w:tcPr>
          <w:p>
            <w:pPr>
              <w:jc w:val="center"/>
              <w:ind w:left="1"/>
              <w:spacing w:after="0" w:line="175" w:lineRule="exact"/>
              <w:rPr>
                <w:sz w:val="20"/>
                <w:szCs w:val="20"/>
                <w:color w:val="auto"/>
              </w:rPr>
            </w:pPr>
            <w:r>
              <w:rPr>
                <w:rFonts w:ascii="Calibri" w:cs="Calibri" w:eastAsia="Calibri" w:hAnsi="Calibri"/>
                <w:sz w:val="16"/>
                <w:szCs w:val="16"/>
                <w:color w:val="333333"/>
              </w:rPr>
              <w:t>—</w:t>
            </w:r>
          </w:p>
        </w:tc>
        <w:tc>
          <w:tcPr>
            <w:tcW w:w="1300" w:type="dxa"/>
            <w:vAlign w:val="bottom"/>
          </w:tcPr>
          <w:p>
            <w:pPr>
              <w:jc w:val="center"/>
              <w:ind w:left="3"/>
              <w:spacing w:after="0" w:line="175" w:lineRule="exact"/>
              <w:rPr>
                <w:sz w:val="20"/>
                <w:szCs w:val="20"/>
                <w:color w:val="auto"/>
              </w:rPr>
            </w:pPr>
            <w:r>
              <w:rPr>
                <w:rFonts w:ascii="Calibri" w:cs="Calibri" w:eastAsia="Calibri" w:hAnsi="Calibri"/>
                <w:sz w:val="16"/>
                <w:szCs w:val="16"/>
                <w:color w:val="333333"/>
              </w:rPr>
              <w:t>1,805,152</w:t>
            </w:r>
          </w:p>
        </w:tc>
        <w:tc>
          <w:tcPr>
            <w:tcW w:w="1320" w:type="dxa"/>
            <w:vAlign w:val="bottom"/>
          </w:tcPr>
          <w:p>
            <w:pPr>
              <w:jc w:val="center"/>
              <w:ind w:left="23"/>
              <w:spacing w:after="0" w:line="175"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line="175" w:lineRule="exact"/>
              <w:rPr>
                <w:sz w:val="20"/>
                <w:szCs w:val="20"/>
                <w:color w:val="auto"/>
              </w:rPr>
            </w:pPr>
            <w:r>
              <w:rPr>
                <w:rFonts w:ascii="Calibri" w:cs="Calibri" w:eastAsia="Calibri" w:hAnsi="Calibri"/>
                <w:sz w:val="16"/>
                <w:szCs w:val="16"/>
                <w:color w:val="333333"/>
                <w:w w:val="98"/>
              </w:rPr>
              <w:t>17,640</w:t>
            </w:r>
          </w:p>
        </w:tc>
        <w:tc>
          <w:tcPr>
            <w:tcW w:w="960" w:type="dxa"/>
            <w:vAlign w:val="bottom"/>
          </w:tcPr>
          <w:p>
            <w:pPr>
              <w:jc w:val="center"/>
              <w:ind w:left="21"/>
              <w:spacing w:after="0" w:line="175" w:lineRule="exact"/>
              <w:rPr>
                <w:sz w:val="20"/>
                <w:szCs w:val="20"/>
                <w:color w:val="auto"/>
              </w:rPr>
            </w:pPr>
            <w:r>
              <w:rPr>
                <w:rFonts w:ascii="Calibri" w:cs="Calibri" w:eastAsia="Calibri" w:hAnsi="Calibri"/>
                <w:sz w:val="16"/>
                <w:szCs w:val="16"/>
                <w:color w:val="333333"/>
              </w:rPr>
              <w:t>10,273,735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00" w:type="dxa"/>
            <w:vAlign w:val="bottom"/>
            <w:gridSpan w:val="3"/>
          </w:tcPr>
          <w:p>
            <w:pPr>
              <w:spacing w:after="0" w:line="193" w:lineRule="exact"/>
              <w:rPr>
                <w:sz w:val="20"/>
                <w:szCs w:val="20"/>
                <w:color w:val="auto"/>
              </w:rPr>
            </w:pPr>
            <w:r>
              <w:rPr>
                <w:rFonts w:ascii="Calibri" w:cs="Calibri" w:eastAsia="Calibri" w:hAnsi="Calibri"/>
                <w:sz w:val="16"/>
                <w:szCs w:val="16"/>
                <w:color w:val="333333"/>
              </w:rPr>
              <w:t> President and Chief</w:t>
            </w:r>
          </w:p>
        </w:tc>
        <w:tc>
          <w:tcPr>
            <w:tcW w:w="540" w:type="dxa"/>
            <w:vAlign w:val="bottom"/>
          </w:tcPr>
          <w:p>
            <w:pPr>
              <w:jc w:val="center"/>
              <w:ind w:left="1"/>
              <w:spacing w:after="0" w:line="193" w:lineRule="exact"/>
              <w:rPr>
                <w:sz w:val="20"/>
                <w:szCs w:val="20"/>
                <w:color w:val="auto"/>
              </w:rPr>
            </w:pPr>
            <w:r>
              <w:rPr>
                <w:rFonts w:ascii="Calibri" w:cs="Calibri" w:eastAsia="Calibri" w:hAnsi="Calibri"/>
                <w:sz w:val="16"/>
                <w:szCs w:val="16"/>
                <w:color w:val="333333"/>
              </w:rPr>
              <w:t>2024</w:t>
            </w:r>
          </w:p>
        </w:tc>
        <w:tc>
          <w:tcPr>
            <w:tcW w:w="880" w:type="dxa"/>
            <w:vAlign w:val="bottom"/>
          </w:tcPr>
          <w:p>
            <w:pPr>
              <w:jc w:val="center"/>
              <w:spacing w:after="0" w:line="193" w:lineRule="exact"/>
              <w:rPr>
                <w:sz w:val="20"/>
                <w:szCs w:val="20"/>
                <w:color w:val="auto"/>
              </w:rPr>
            </w:pPr>
            <w:r>
              <w:rPr>
                <w:rFonts w:ascii="Calibri" w:cs="Calibri" w:eastAsia="Calibri" w:hAnsi="Calibri"/>
                <w:sz w:val="16"/>
                <w:szCs w:val="16"/>
                <w:color w:val="333333"/>
              </w:rPr>
              <w:t>1,000,000</w:t>
            </w:r>
          </w:p>
        </w:tc>
        <w:tc>
          <w:tcPr>
            <w:tcW w:w="760" w:type="dxa"/>
            <w:vAlign w:val="bottom"/>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line="193" w:lineRule="exact"/>
              <w:rPr>
                <w:sz w:val="20"/>
                <w:szCs w:val="20"/>
                <w:color w:val="auto"/>
              </w:rPr>
            </w:pPr>
            <w:r>
              <w:rPr>
                <w:rFonts w:ascii="Calibri" w:cs="Calibri" w:eastAsia="Calibri" w:hAnsi="Calibri"/>
                <w:sz w:val="16"/>
                <w:szCs w:val="16"/>
                <w:color w:val="333333"/>
                <w:w w:val="98"/>
              </w:rPr>
              <w:t>6,618,627</w:t>
            </w:r>
          </w:p>
        </w:tc>
        <w:tc>
          <w:tcPr>
            <w:tcW w:w="760" w:type="dxa"/>
            <w:vAlign w:val="bottom"/>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Pr>
          <w:p>
            <w:pPr>
              <w:jc w:val="center"/>
              <w:ind w:left="3"/>
              <w:spacing w:after="0" w:line="193" w:lineRule="exact"/>
              <w:rPr>
                <w:sz w:val="20"/>
                <w:szCs w:val="20"/>
                <w:color w:val="auto"/>
              </w:rPr>
            </w:pPr>
            <w:r>
              <w:rPr>
                <w:rFonts w:ascii="Calibri" w:cs="Calibri" w:eastAsia="Calibri" w:hAnsi="Calibri"/>
                <w:sz w:val="16"/>
                <w:szCs w:val="16"/>
                <w:color w:val="333333"/>
              </w:rPr>
              <w:t>1,353,863</w:t>
            </w:r>
          </w:p>
        </w:tc>
        <w:tc>
          <w:tcPr>
            <w:tcW w:w="1320" w:type="dxa"/>
            <w:vAlign w:val="bottom"/>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line="193" w:lineRule="exact"/>
              <w:rPr>
                <w:sz w:val="20"/>
                <w:szCs w:val="20"/>
                <w:color w:val="auto"/>
              </w:rPr>
            </w:pPr>
            <w:r>
              <w:rPr>
                <w:rFonts w:ascii="Calibri" w:cs="Calibri" w:eastAsia="Calibri" w:hAnsi="Calibri"/>
                <w:sz w:val="16"/>
                <w:szCs w:val="16"/>
                <w:color w:val="333333"/>
                <w:w w:val="98"/>
              </w:rPr>
              <w:t>17,388</w:t>
            </w:r>
          </w:p>
        </w:tc>
        <w:tc>
          <w:tcPr>
            <w:tcW w:w="960" w:type="dxa"/>
            <w:vAlign w:val="bottom"/>
          </w:tcPr>
          <w:p>
            <w:pPr>
              <w:jc w:val="center"/>
              <w:ind w:left="21"/>
              <w:spacing w:after="0" w:line="193" w:lineRule="exact"/>
              <w:rPr>
                <w:sz w:val="20"/>
                <w:szCs w:val="20"/>
                <w:color w:val="auto"/>
              </w:rPr>
            </w:pPr>
            <w:r>
              <w:rPr>
                <w:rFonts w:ascii="Calibri" w:cs="Calibri" w:eastAsia="Calibri" w:hAnsi="Calibri"/>
                <w:sz w:val="16"/>
                <w:szCs w:val="16"/>
                <w:color w:val="333333"/>
              </w:rPr>
              <w:t>8,989,878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0" w:type="dxa"/>
            <w:vAlign w:val="bottom"/>
            <w:gridSpan w:val="3"/>
          </w:tcPr>
          <w:p>
            <w:pPr>
              <w:spacing w:after="0"/>
              <w:rPr>
                <w:sz w:val="20"/>
                <w:szCs w:val="20"/>
                <w:color w:val="auto"/>
              </w:rPr>
            </w:pPr>
            <w:r>
              <w:rPr>
                <w:rFonts w:ascii="Calibri" w:cs="Calibri" w:eastAsia="Calibri" w:hAnsi="Calibri"/>
                <w:sz w:val="16"/>
                <w:szCs w:val="16"/>
                <w:color w:val="333333"/>
              </w:rPr>
              <w:t> Executve Ofcer</w:t>
            </w:r>
          </w:p>
        </w:tc>
        <w:tc>
          <w:tcPr>
            <w:tcW w:w="540" w:type="dxa"/>
            <w:vAlign w:val="bottom"/>
          </w:tcPr>
          <w:p>
            <w:pPr>
              <w:jc w:val="center"/>
              <w:ind w:left="1"/>
              <w:spacing w:after="0"/>
              <w:rPr>
                <w:sz w:val="20"/>
                <w:szCs w:val="20"/>
                <w:color w:val="auto"/>
              </w:rPr>
            </w:pPr>
            <w:r>
              <w:rPr>
                <w:rFonts w:ascii="Calibri" w:cs="Calibri" w:eastAsia="Calibri" w:hAnsi="Calibri"/>
                <w:sz w:val="16"/>
                <w:szCs w:val="16"/>
                <w:color w:val="333333"/>
              </w:rPr>
              <w:t>2023</w:t>
            </w:r>
          </w:p>
        </w:tc>
        <w:tc>
          <w:tcPr>
            <w:tcW w:w="880" w:type="dxa"/>
            <w:vAlign w:val="bottom"/>
          </w:tcPr>
          <w:p>
            <w:pPr>
              <w:jc w:val="center"/>
              <w:spacing w:after="0"/>
              <w:rPr>
                <w:sz w:val="20"/>
                <w:szCs w:val="20"/>
                <w:color w:val="auto"/>
              </w:rPr>
            </w:pPr>
            <w:r>
              <w:rPr>
                <w:rFonts w:ascii="Calibri" w:cs="Calibri" w:eastAsia="Calibri" w:hAnsi="Calibri"/>
                <w:sz w:val="16"/>
                <w:szCs w:val="16"/>
                <w:color w:val="333333"/>
              </w:rPr>
              <w:t>1,000,000</w:t>
            </w:r>
          </w:p>
        </w:tc>
        <w:tc>
          <w:tcPr>
            <w:tcW w:w="760" w:type="dxa"/>
            <w:vAlign w:val="bottom"/>
          </w:tcPr>
          <w:p>
            <w:pPr>
              <w:jc w:val="center"/>
              <w:spacing w:after="0"/>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rPr>
                <w:sz w:val="20"/>
                <w:szCs w:val="20"/>
                <w:color w:val="auto"/>
              </w:rPr>
            </w:pPr>
            <w:r>
              <w:rPr>
                <w:rFonts w:ascii="Calibri" w:cs="Calibri" w:eastAsia="Calibri" w:hAnsi="Calibri"/>
                <w:sz w:val="16"/>
                <w:szCs w:val="16"/>
                <w:color w:val="333333"/>
                <w:w w:val="98"/>
              </w:rPr>
              <w:t>6,499,708</w:t>
            </w:r>
          </w:p>
        </w:tc>
        <w:tc>
          <w:tcPr>
            <w:tcW w:w="760" w:type="dxa"/>
            <w:vAlign w:val="bottom"/>
          </w:tcPr>
          <w:p>
            <w:pPr>
              <w:jc w:val="center"/>
              <w:ind w:left="1"/>
              <w:spacing w:after="0"/>
              <w:rPr>
                <w:sz w:val="20"/>
                <w:szCs w:val="20"/>
                <w:color w:val="auto"/>
              </w:rPr>
            </w:pPr>
            <w:r>
              <w:rPr>
                <w:rFonts w:ascii="Calibri" w:cs="Calibri" w:eastAsia="Calibri" w:hAnsi="Calibri"/>
                <w:sz w:val="16"/>
                <w:szCs w:val="16"/>
                <w:color w:val="333333"/>
              </w:rPr>
              <w:t>—</w:t>
            </w:r>
          </w:p>
        </w:tc>
        <w:tc>
          <w:tcPr>
            <w:tcW w:w="1300" w:type="dxa"/>
            <w:vAlign w:val="bottom"/>
          </w:tcPr>
          <w:p>
            <w:pPr>
              <w:jc w:val="center"/>
              <w:ind w:left="3"/>
              <w:spacing w:after="0"/>
              <w:rPr>
                <w:sz w:val="20"/>
                <w:szCs w:val="20"/>
                <w:color w:val="auto"/>
              </w:rPr>
            </w:pPr>
            <w:r>
              <w:rPr>
                <w:rFonts w:ascii="Calibri" w:cs="Calibri" w:eastAsia="Calibri" w:hAnsi="Calibri"/>
                <w:sz w:val="16"/>
                <w:szCs w:val="16"/>
                <w:color w:val="333333"/>
              </w:rPr>
              <w:t>1,856,224</w:t>
            </w:r>
          </w:p>
        </w:tc>
        <w:tc>
          <w:tcPr>
            <w:tcW w:w="1320" w:type="dxa"/>
            <w:vAlign w:val="bottom"/>
          </w:tcPr>
          <w:p>
            <w:pPr>
              <w:jc w:val="center"/>
              <w:ind w:left="23"/>
              <w:spacing w:after="0"/>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rPr>
                <w:sz w:val="20"/>
                <w:szCs w:val="20"/>
                <w:color w:val="auto"/>
              </w:rPr>
            </w:pPr>
            <w:r>
              <w:rPr>
                <w:rFonts w:ascii="Calibri" w:cs="Calibri" w:eastAsia="Calibri" w:hAnsi="Calibri"/>
                <w:sz w:val="16"/>
                <w:szCs w:val="16"/>
                <w:color w:val="333333"/>
                <w:w w:val="98"/>
              </w:rPr>
              <w:t>16,632</w:t>
            </w:r>
          </w:p>
        </w:tc>
        <w:tc>
          <w:tcPr>
            <w:tcW w:w="960" w:type="dxa"/>
            <w:vAlign w:val="bottom"/>
          </w:tcPr>
          <w:p>
            <w:pPr>
              <w:jc w:val="center"/>
              <w:ind w:left="21"/>
              <w:spacing w:after="0"/>
              <w:rPr>
                <w:sz w:val="20"/>
                <w:szCs w:val="20"/>
                <w:color w:val="auto"/>
              </w:rPr>
            </w:pPr>
            <w:r>
              <w:rPr>
                <w:rFonts w:ascii="Calibri" w:cs="Calibri" w:eastAsia="Calibri" w:hAnsi="Calibri"/>
                <w:sz w:val="16"/>
                <w:szCs w:val="16"/>
                <w:color w:val="333333"/>
              </w:rPr>
              <w:t>9,372,564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w:t>
            </w:r>
            <w:r>
              <w:rPr>
                <w:rFonts w:ascii="Calibri" w:cs="Calibri" w:eastAsia="Calibri" w:hAnsi="Calibri"/>
                <w:sz w:val="16"/>
                <w:szCs w:val="16"/>
                <w:b w:val="1"/>
                <w:bCs w:val="1"/>
                <w:color w:val="0591DB"/>
              </w:rPr>
              <w:t>Paul Linton</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2025</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1,874,745</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3"/>
              <w:spacing w:after="0" w:line="193" w:lineRule="exact"/>
              <w:rPr>
                <w:sz w:val="20"/>
                <w:szCs w:val="20"/>
                <w:color w:val="auto"/>
              </w:rPr>
            </w:pPr>
            <w:r>
              <w:rPr>
                <w:rFonts w:ascii="Calibri" w:cs="Calibri" w:eastAsia="Calibri" w:hAnsi="Calibri"/>
                <w:sz w:val="16"/>
                <w:szCs w:val="16"/>
                <w:color w:val="333333"/>
              </w:rPr>
              <w:t>1,057,533</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17,640</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4,349,918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Chief Strategy and</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2024</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874,811</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8"/>
              </w:rPr>
              <w:t>799,225</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17,388</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2,391,424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Transformaton Ofcer and</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2023</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699,873</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8"/>
              </w:rPr>
              <w:t>886,654</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16,632</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2,303,159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Borders>
              <w:left w:val="single" w:sz="8" w:color="EFF2EF"/>
              <w:right w:val="single" w:sz="8" w:color="EFF2EF"/>
            </w:tcBorders>
            <w:gridSpan w:val="2"/>
            <w:shd w:val="clear" w:color="auto" w:fill="EFF2EF"/>
          </w:tcPr>
          <w:p>
            <w:pPr>
              <w:spacing w:after="0"/>
              <w:rPr>
                <w:sz w:val="20"/>
                <w:szCs w:val="20"/>
                <w:color w:val="auto"/>
              </w:rPr>
            </w:pPr>
            <w:r>
              <w:rPr>
                <w:rFonts w:ascii="Calibri" w:cs="Calibri" w:eastAsia="Calibri" w:hAnsi="Calibri"/>
                <w:sz w:val="16"/>
                <w:szCs w:val="16"/>
                <w:color w:val="333333"/>
              </w:rPr>
              <w:t> Interim Chief Financial</w:t>
            </w:r>
          </w:p>
        </w:tc>
        <w:tc>
          <w:tcPr>
            <w:tcW w:w="540" w:type="dxa"/>
            <w:vAlign w:val="bottom"/>
            <w:tcBorders>
              <w:right w:val="single" w:sz="8" w:color="EFF2EF"/>
            </w:tcBorders>
            <w:shd w:val="clear" w:color="auto" w:fill="EFF2EF"/>
          </w:tcPr>
          <w:p>
            <w:pPr>
              <w:spacing w:after="0"/>
              <w:rPr>
                <w:sz w:val="17"/>
                <w:szCs w:val="17"/>
                <w:color w:val="auto"/>
              </w:rPr>
            </w:pPr>
          </w:p>
        </w:tc>
        <w:tc>
          <w:tcPr>
            <w:tcW w:w="880" w:type="dxa"/>
            <w:vAlign w:val="bottom"/>
            <w:tcBorders>
              <w:right w:val="single" w:sz="8" w:color="EFF2EF"/>
            </w:tcBorders>
            <w:shd w:val="clear" w:color="auto" w:fill="EFF2EF"/>
          </w:tcPr>
          <w:p>
            <w:pPr>
              <w:spacing w:after="0"/>
              <w:rPr>
                <w:sz w:val="17"/>
                <w:szCs w:val="17"/>
                <w:color w:val="auto"/>
              </w:rPr>
            </w:pPr>
          </w:p>
        </w:tc>
        <w:tc>
          <w:tcPr>
            <w:tcW w:w="760" w:type="dxa"/>
            <w:vAlign w:val="bottom"/>
            <w:tcBorders>
              <w:right w:val="single" w:sz="8" w:color="EFF2EF"/>
            </w:tcBorders>
            <w:shd w:val="clear" w:color="auto" w:fill="EFF2EF"/>
          </w:tcPr>
          <w:p>
            <w:pPr>
              <w:spacing w:after="0"/>
              <w:rPr>
                <w:sz w:val="17"/>
                <w:szCs w:val="17"/>
                <w:color w:val="auto"/>
              </w:rPr>
            </w:pPr>
          </w:p>
        </w:tc>
        <w:tc>
          <w:tcPr>
            <w:tcW w:w="880" w:type="dxa"/>
            <w:vAlign w:val="bottom"/>
            <w:tcBorders>
              <w:right w:val="single" w:sz="8" w:color="EFF2EF"/>
            </w:tcBorders>
            <w:shd w:val="clear" w:color="auto" w:fill="EFF2EF"/>
          </w:tcPr>
          <w:p>
            <w:pPr>
              <w:spacing w:after="0"/>
              <w:rPr>
                <w:sz w:val="17"/>
                <w:szCs w:val="17"/>
                <w:color w:val="auto"/>
              </w:rPr>
            </w:pPr>
          </w:p>
        </w:tc>
        <w:tc>
          <w:tcPr>
            <w:tcW w:w="760" w:type="dxa"/>
            <w:vAlign w:val="bottom"/>
            <w:tcBorders>
              <w:right w:val="single" w:sz="8" w:color="EFF2EF"/>
            </w:tcBorders>
            <w:shd w:val="clear" w:color="auto" w:fill="EFF2EF"/>
          </w:tcPr>
          <w:p>
            <w:pPr>
              <w:spacing w:after="0"/>
              <w:rPr>
                <w:sz w:val="17"/>
                <w:szCs w:val="17"/>
                <w:color w:val="auto"/>
              </w:rPr>
            </w:pPr>
          </w:p>
        </w:tc>
        <w:tc>
          <w:tcPr>
            <w:tcW w:w="1300" w:type="dxa"/>
            <w:vAlign w:val="bottom"/>
            <w:tcBorders>
              <w:right w:val="single" w:sz="8" w:color="EFF2EF"/>
            </w:tcBorders>
            <w:shd w:val="clear" w:color="auto" w:fill="EFF2EF"/>
          </w:tcPr>
          <w:p>
            <w:pPr>
              <w:spacing w:after="0"/>
              <w:rPr>
                <w:sz w:val="17"/>
                <w:szCs w:val="17"/>
                <w:color w:val="auto"/>
              </w:rPr>
            </w:pPr>
          </w:p>
        </w:tc>
        <w:tc>
          <w:tcPr>
            <w:tcW w:w="1320" w:type="dxa"/>
            <w:vAlign w:val="bottom"/>
            <w:tcBorders>
              <w:right w:val="single" w:sz="8" w:color="EFF2EF"/>
            </w:tcBorders>
            <w:shd w:val="clear" w:color="auto" w:fill="EFF2EF"/>
          </w:tcPr>
          <w:p>
            <w:pPr>
              <w:spacing w:after="0"/>
              <w:rPr>
                <w:sz w:val="17"/>
                <w:szCs w:val="17"/>
                <w:color w:val="auto"/>
              </w:rPr>
            </w:pPr>
          </w:p>
        </w:tc>
        <w:tc>
          <w:tcPr>
            <w:tcW w:w="1320" w:type="dxa"/>
            <w:vAlign w:val="bottom"/>
            <w:tcBorders>
              <w:right w:val="single" w:sz="8" w:color="EFF2EF"/>
            </w:tcBorders>
            <w:shd w:val="clear" w:color="auto" w:fill="EFF2EF"/>
          </w:tcPr>
          <w:p>
            <w:pPr>
              <w:spacing w:after="0"/>
              <w:rPr>
                <w:sz w:val="17"/>
                <w:szCs w:val="17"/>
                <w:color w:val="auto"/>
              </w:rPr>
            </w:pPr>
          </w:p>
        </w:tc>
        <w:tc>
          <w:tcPr>
            <w:tcW w:w="96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tcBorders>
              <w:left w:val="single" w:sz="8" w:color="EFF2EF"/>
              <w:right w:val="single" w:sz="8" w:color="EFF2EF"/>
            </w:tcBorders>
            <w:gridSpan w:val="2"/>
            <w:shd w:val="clear" w:color="auto" w:fill="EFF2EF"/>
          </w:tcPr>
          <w:p>
            <w:pPr>
              <w:spacing w:after="0"/>
              <w:rPr>
                <w:sz w:val="20"/>
                <w:szCs w:val="20"/>
                <w:color w:val="auto"/>
              </w:rPr>
            </w:pPr>
            <w:r>
              <w:rPr>
                <w:rFonts w:ascii="Calibri" w:cs="Calibri" w:eastAsia="Calibri" w:hAnsi="Calibri"/>
                <w:sz w:val="16"/>
                <w:szCs w:val="16"/>
                <w:color w:val="333333"/>
              </w:rPr>
              <w:t> Ofcer</w:t>
            </w:r>
          </w:p>
        </w:tc>
        <w:tc>
          <w:tcPr>
            <w:tcW w:w="540" w:type="dxa"/>
            <w:vAlign w:val="bottom"/>
            <w:tcBorders>
              <w:right w:val="single" w:sz="8" w:color="EFF2EF"/>
            </w:tcBorders>
            <w:shd w:val="clear" w:color="auto" w:fill="EFF2EF"/>
          </w:tcPr>
          <w:p>
            <w:pPr>
              <w:spacing w:after="0"/>
              <w:rPr>
                <w:sz w:val="17"/>
                <w:szCs w:val="17"/>
                <w:color w:val="auto"/>
              </w:rPr>
            </w:pPr>
          </w:p>
        </w:tc>
        <w:tc>
          <w:tcPr>
            <w:tcW w:w="880" w:type="dxa"/>
            <w:vAlign w:val="bottom"/>
            <w:tcBorders>
              <w:right w:val="single" w:sz="8" w:color="EFF2EF"/>
            </w:tcBorders>
            <w:shd w:val="clear" w:color="auto" w:fill="EFF2EF"/>
          </w:tcPr>
          <w:p>
            <w:pPr>
              <w:spacing w:after="0"/>
              <w:rPr>
                <w:sz w:val="17"/>
                <w:szCs w:val="17"/>
                <w:color w:val="auto"/>
              </w:rPr>
            </w:pPr>
          </w:p>
        </w:tc>
        <w:tc>
          <w:tcPr>
            <w:tcW w:w="760" w:type="dxa"/>
            <w:vAlign w:val="bottom"/>
            <w:tcBorders>
              <w:right w:val="single" w:sz="8" w:color="EFF2EF"/>
            </w:tcBorders>
            <w:shd w:val="clear" w:color="auto" w:fill="EFF2EF"/>
          </w:tcPr>
          <w:p>
            <w:pPr>
              <w:spacing w:after="0"/>
              <w:rPr>
                <w:sz w:val="17"/>
                <w:szCs w:val="17"/>
                <w:color w:val="auto"/>
              </w:rPr>
            </w:pPr>
          </w:p>
        </w:tc>
        <w:tc>
          <w:tcPr>
            <w:tcW w:w="880" w:type="dxa"/>
            <w:vAlign w:val="bottom"/>
            <w:tcBorders>
              <w:right w:val="single" w:sz="8" w:color="EFF2EF"/>
            </w:tcBorders>
            <w:shd w:val="clear" w:color="auto" w:fill="EFF2EF"/>
          </w:tcPr>
          <w:p>
            <w:pPr>
              <w:spacing w:after="0"/>
              <w:rPr>
                <w:sz w:val="17"/>
                <w:szCs w:val="17"/>
                <w:color w:val="auto"/>
              </w:rPr>
            </w:pPr>
          </w:p>
        </w:tc>
        <w:tc>
          <w:tcPr>
            <w:tcW w:w="760" w:type="dxa"/>
            <w:vAlign w:val="bottom"/>
            <w:tcBorders>
              <w:right w:val="single" w:sz="8" w:color="EFF2EF"/>
            </w:tcBorders>
            <w:shd w:val="clear" w:color="auto" w:fill="EFF2EF"/>
          </w:tcPr>
          <w:p>
            <w:pPr>
              <w:spacing w:after="0"/>
              <w:rPr>
                <w:sz w:val="17"/>
                <w:szCs w:val="17"/>
                <w:color w:val="auto"/>
              </w:rPr>
            </w:pPr>
          </w:p>
        </w:tc>
        <w:tc>
          <w:tcPr>
            <w:tcW w:w="1300" w:type="dxa"/>
            <w:vAlign w:val="bottom"/>
            <w:tcBorders>
              <w:right w:val="single" w:sz="8" w:color="EFF2EF"/>
            </w:tcBorders>
            <w:shd w:val="clear" w:color="auto" w:fill="EFF2EF"/>
          </w:tcPr>
          <w:p>
            <w:pPr>
              <w:spacing w:after="0"/>
              <w:rPr>
                <w:sz w:val="17"/>
                <w:szCs w:val="17"/>
                <w:color w:val="auto"/>
              </w:rPr>
            </w:pPr>
          </w:p>
        </w:tc>
        <w:tc>
          <w:tcPr>
            <w:tcW w:w="1320" w:type="dxa"/>
            <w:vAlign w:val="bottom"/>
            <w:tcBorders>
              <w:right w:val="single" w:sz="8" w:color="EFF2EF"/>
            </w:tcBorders>
            <w:shd w:val="clear" w:color="auto" w:fill="EFF2EF"/>
          </w:tcPr>
          <w:p>
            <w:pPr>
              <w:spacing w:after="0"/>
              <w:rPr>
                <w:sz w:val="17"/>
                <w:szCs w:val="17"/>
                <w:color w:val="auto"/>
              </w:rPr>
            </w:pPr>
          </w:p>
        </w:tc>
        <w:tc>
          <w:tcPr>
            <w:tcW w:w="1320" w:type="dxa"/>
            <w:vAlign w:val="bottom"/>
            <w:tcBorders>
              <w:right w:val="single" w:sz="8" w:color="EFF2EF"/>
            </w:tcBorders>
            <w:shd w:val="clear" w:color="auto" w:fill="EFF2EF"/>
          </w:tcPr>
          <w:p>
            <w:pPr>
              <w:spacing w:after="0"/>
              <w:rPr>
                <w:sz w:val="17"/>
                <w:szCs w:val="17"/>
                <w:color w:val="auto"/>
              </w:rPr>
            </w:pPr>
          </w:p>
        </w:tc>
        <w:tc>
          <w:tcPr>
            <w:tcW w:w="96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200" w:type="dxa"/>
            <w:vAlign w:val="bottom"/>
            <w:tcBorders>
              <w:left w:val="single" w:sz="8" w:color="EFF2EF"/>
            </w:tcBorders>
            <w:shd w:val="clear" w:color="auto" w:fill="EFF2EF"/>
          </w:tcPr>
          <w:p>
            <w:pPr>
              <w:spacing w:after="0"/>
              <w:rPr>
                <w:sz w:val="9"/>
                <w:szCs w:val="9"/>
                <w:color w:val="auto"/>
              </w:rPr>
            </w:pPr>
          </w:p>
        </w:tc>
        <w:tc>
          <w:tcPr>
            <w:tcW w:w="980" w:type="dxa"/>
            <w:vAlign w:val="bottom"/>
            <w:tcBorders>
              <w:right w:val="single" w:sz="8" w:color="EFF2EF"/>
            </w:tcBorders>
            <w:shd w:val="clear" w:color="auto" w:fill="EFF2EF"/>
          </w:tcPr>
          <w:p>
            <w:pPr>
              <w:spacing w:after="0"/>
              <w:rPr>
                <w:sz w:val="9"/>
                <w:szCs w:val="9"/>
                <w:color w:val="auto"/>
              </w:rPr>
            </w:pPr>
          </w:p>
        </w:tc>
        <w:tc>
          <w:tcPr>
            <w:tcW w:w="540" w:type="dxa"/>
            <w:vAlign w:val="bottom"/>
            <w:tcBorders>
              <w:right w:val="single" w:sz="8" w:color="EFF2EF"/>
            </w:tcBorders>
            <w:shd w:val="clear" w:color="auto" w:fill="EFF2EF"/>
          </w:tcPr>
          <w:p>
            <w:pPr>
              <w:spacing w:after="0"/>
              <w:rPr>
                <w:sz w:val="9"/>
                <w:szCs w:val="9"/>
                <w:color w:val="auto"/>
              </w:rPr>
            </w:pPr>
          </w:p>
        </w:tc>
        <w:tc>
          <w:tcPr>
            <w:tcW w:w="880" w:type="dxa"/>
            <w:vAlign w:val="bottom"/>
            <w:tcBorders>
              <w:right w:val="single" w:sz="8" w:color="EFF2EF"/>
            </w:tcBorders>
            <w:shd w:val="clear" w:color="auto" w:fill="EFF2EF"/>
          </w:tcPr>
          <w:p>
            <w:pPr>
              <w:spacing w:after="0"/>
              <w:rPr>
                <w:sz w:val="9"/>
                <w:szCs w:val="9"/>
                <w:color w:val="auto"/>
              </w:rPr>
            </w:pPr>
          </w:p>
        </w:tc>
        <w:tc>
          <w:tcPr>
            <w:tcW w:w="760" w:type="dxa"/>
            <w:vAlign w:val="bottom"/>
            <w:tcBorders>
              <w:right w:val="single" w:sz="8" w:color="EFF2EF"/>
            </w:tcBorders>
            <w:shd w:val="clear" w:color="auto" w:fill="EFF2EF"/>
          </w:tcPr>
          <w:p>
            <w:pPr>
              <w:spacing w:after="0"/>
              <w:rPr>
                <w:sz w:val="9"/>
                <w:szCs w:val="9"/>
                <w:color w:val="auto"/>
              </w:rPr>
            </w:pPr>
          </w:p>
        </w:tc>
        <w:tc>
          <w:tcPr>
            <w:tcW w:w="880" w:type="dxa"/>
            <w:vAlign w:val="bottom"/>
            <w:tcBorders>
              <w:right w:val="single" w:sz="8" w:color="EFF2EF"/>
            </w:tcBorders>
            <w:shd w:val="clear" w:color="auto" w:fill="EFF2EF"/>
          </w:tcPr>
          <w:p>
            <w:pPr>
              <w:spacing w:after="0"/>
              <w:rPr>
                <w:sz w:val="9"/>
                <w:szCs w:val="9"/>
                <w:color w:val="auto"/>
              </w:rPr>
            </w:pPr>
          </w:p>
        </w:tc>
        <w:tc>
          <w:tcPr>
            <w:tcW w:w="760" w:type="dxa"/>
            <w:vAlign w:val="bottom"/>
            <w:tcBorders>
              <w:right w:val="single" w:sz="8" w:color="EFF2EF"/>
            </w:tcBorders>
            <w:shd w:val="clear" w:color="auto" w:fill="EFF2EF"/>
          </w:tcPr>
          <w:p>
            <w:pPr>
              <w:spacing w:after="0"/>
              <w:rPr>
                <w:sz w:val="9"/>
                <w:szCs w:val="9"/>
                <w:color w:val="auto"/>
              </w:rPr>
            </w:pPr>
          </w:p>
        </w:tc>
        <w:tc>
          <w:tcPr>
            <w:tcW w:w="1300" w:type="dxa"/>
            <w:vAlign w:val="bottom"/>
            <w:tcBorders>
              <w:right w:val="single" w:sz="8" w:color="EFF2EF"/>
            </w:tcBorders>
            <w:shd w:val="clear" w:color="auto" w:fill="EFF2EF"/>
          </w:tcPr>
          <w:p>
            <w:pPr>
              <w:spacing w:after="0"/>
              <w:rPr>
                <w:sz w:val="9"/>
                <w:szCs w:val="9"/>
                <w:color w:val="auto"/>
              </w:rPr>
            </w:pPr>
          </w:p>
        </w:tc>
        <w:tc>
          <w:tcPr>
            <w:tcW w:w="1320" w:type="dxa"/>
            <w:vAlign w:val="bottom"/>
            <w:tcBorders>
              <w:right w:val="single" w:sz="8" w:color="EFF2EF"/>
            </w:tcBorders>
            <w:shd w:val="clear" w:color="auto" w:fill="EFF2EF"/>
          </w:tcPr>
          <w:p>
            <w:pPr>
              <w:spacing w:after="0"/>
              <w:rPr>
                <w:sz w:val="9"/>
                <w:szCs w:val="9"/>
                <w:color w:val="auto"/>
              </w:rPr>
            </w:pPr>
          </w:p>
        </w:tc>
        <w:tc>
          <w:tcPr>
            <w:tcW w:w="1320" w:type="dxa"/>
            <w:vAlign w:val="bottom"/>
            <w:tcBorders>
              <w:right w:val="single" w:sz="8" w:color="EFF2EF"/>
            </w:tcBorders>
            <w:shd w:val="clear" w:color="auto" w:fill="EFF2EF"/>
          </w:tcPr>
          <w:p>
            <w:pPr>
              <w:spacing w:after="0"/>
              <w:rPr>
                <w:sz w:val="9"/>
                <w:szCs w:val="9"/>
                <w:color w:val="auto"/>
              </w:rPr>
            </w:pPr>
          </w:p>
        </w:tc>
        <w:tc>
          <w:tcPr>
            <w:tcW w:w="960" w:type="dxa"/>
            <w:vAlign w:val="bottom"/>
            <w:shd w:val="clear" w:color="auto" w:fill="EFF2E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80" w:type="dxa"/>
            <w:vAlign w:val="bottom"/>
            <w:gridSpan w:val="2"/>
          </w:tcPr>
          <w:p>
            <w:pPr>
              <w:spacing w:after="0" w:line="182" w:lineRule="exact"/>
              <w:rPr>
                <w:sz w:val="20"/>
                <w:szCs w:val="20"/>
                <w:color w:val="auto"/>
              </w:rPr>
            </w:pPr>
            <w:r>
              <w:rPr>
                <w:rFonts w:ascii="Calibri" w:cs="Calibri" w:eastAsia="Calibri" w:hAnsi="Calibri"/>
                <w:sz w:val="16"/>
                <w:szCs w:val="16"/>
                <w:color w:val="333333"/>
              </w:rPr>
              <w:t> </w:t>
            </w:r>
            <w:r>
              <w:rPr>
                <w:rFonts w:ascii="Calibri" w:cs="Calibri" w:eastAsia="Calibri" w:hAnsi="Calibri"/>
                <w:sz w:val="16"/>
                <w:szCs w:val="16"/>
                <w:b w:val="1"/>
                <w:bCs w:val="1"/>
                <w:color w:val="0591DB"/>
              </w:rPr>
              <w:t>Ajay Sabherwal</w:t>
            </w:r>
          </w:p>
        </w:tc>
        <w:tc>
          <w:tcPr>
            <w:tcW w:w="540" w:type="dxa"/>
            <w:vAlign w:val="bottom"/>
          </w:tcPr>
          <w:p>
            <w:pPr>
              <w:jc w:val="center"/>
              <w:ind w:left="1"/>
              <w:spacing w:after="0" w:line="182" w:lineRule="exact"/>
              <w:rPr>
                <w:sz w:val="20"/>
                <w:szCs w:val="20"/>
                <w:color w:val="auto"/>
              </w:rPr>
            </w:pPr>
            <w:r>
              <w:rPr>
                <w:rFonts w:ascii="Calibri" w:cs="Calibri" w:eastAsia="Calibri" w:hAnsi="Calibri"/>
                <w:sz w:val="16"/>
                <w:szCs w:val="16"/>
                <w:color w:val="333333"/>
              </w:rPr>
              <w:t>2025</w:t>
            </w:r>
          </w:p>
        </w:tc>
        <w:tc>
          <w:tcPr>
            <w:tcW w:w="880" w:type="dxa"/>
            <w:vAlign w:val="bottom"/>
          </w:tcPr>
          <w:p>
            <w:pPr>
              <w:jc w:val="center"/>
              <w:spacing w:after="0" w:line="182" w:lineRule="exact"/>
              <w:rPr>
                <w:sz w:val="20"/>
                <w:szCs w:val="20"/>
                <w:color w:val="auto"/>
              </w:rPr>
            </w:pPr>
            <w:r>
              <w:rPr>
                <w:rFonts w:ascii="Calibri" w:cs="Calibri" w:eastAsia="Calibri" w:hAnsi="Calibri"/>
                <w:sz w:val="16"/>
                <w:szCs w:val="16"/>
                <w:color w:val="333333"/>
              </w:rPr>
              <w:t>490,805</w:t>
            </w:r>
          </w:p>
        </w:tc>
        <w:tc>
          <w:tcPr>
            <w:tcW w:w="760" w:type="dxa"/>
            <w:vAlign w:val="bottom"/>
          </w:tcPr>
          <w:p>
            <w:pPr>
              <w:jc w:val="center"/>
              <w:spacing w:after="0" w:line="182" w:lineRule="exact"/>
              <w:rPr>
                <w:sz w:val="20"/>
                <w:szCs w:val="20"/>
                <w:color w:val="auto"/>
              </w:rPr>
            </w:pPr>
            <w:r>
              <w:rPr>
                <w:rFonts w:ascii="Calibri" w:cs="Calibri" w:eastAsia="Calibri" w:hAnsi="Calibri"/>
                <w:sz w:val="16"/>
                <w:szCs w:val="16"/>
                <w:color w:val="333333"/>
                <w:w w:val="96"/>
              </w:rPr>
              <w:t>—</w:t>
            </w:r>
          </w:p>
        </w:tc>
        <w:tc>
          <w:tcPr>
            <w:tcW w:w="880" w:type="dxa"/>
            <w:vAlign w:val="bottom"/>
          </w:tcPr>
          <w:p>
            <w:pPr>
              <w:jc w:val="center"/>
              <w:spacing w:after="0" w:line="182" w:lineRule="exact"/>
              <w:rPr>
                <w:sz w:val="20"/>
                <w:szCs w:val="20"/>
                <w:color w:val="auto"/>
              </w:rPr>
            </w:pPr>
            <w:r>
              <w:rPr>
                <w:rFonts w:ascii="Calibri" w:cs="Calibri" w:eastAsia="Calibri" w:hAnsi="Calibri"/>
                <w:sz w:val="16"/>
                <w:szCs w:val="16"/>
                <w:color w:val="333333"/>
                <w:w w:val="96"/>
              </w:rPr>
              <w:t>—</w:t>
            </w:r>
          </w:p>
        </w:tc>
        <w:tc>
          <w:tcPr>
            <w:tcW w:w="760" w:type="dxa"/>
            <w:vAlign w:val="bottom"/>
          </w:tcPr>
          <w:p>
            <w:pPr>
              <w:jc w:val="center"/>
              <w:ind w:left="1"/>
              <w:spacing w:after="0" w:line="182" w:lineRule="exact"/>
              <w:rPr>
                <w:sz w:val="20"/>
                <w:szCs w:val="20"/>
                <w:color w:val="auto"/>
              </w:rPr>
            </w:pPr>
            <w:r>
              <w:rPr>
                <w:rFonts w:ascii="Calibri" w:cs="Calibri" w:eastAsia="Calibri" w:hAnsi="Calibri"/>
                <w:sz w:val="16"/>
                <w:szCs w:val="16"/>
                <w:color w:val="333333"/>
              </w:rPr>
              <w:t>—</w:t>
            </w:r>
          </w:p>
        </w:tc>
        <w:tc>
          <w:tcPr>
            <w:tcW w:w="1300" w:type="dxa"/>
            <w:vAlign w:val="bottom"/>
          </w:tcPr>
          <w:p>
            <w:pPr>
              <w:jc w:val="center"/>
              <w:ind w:left="3"/>
              <w:spacing w:after="0" w:line="182"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3"/>
              <w:spacing w:after="0" w:line="182"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line="182" w:lineRule="exact"/>
              <w:rPr>
                <w:sz w:val="20"/>
                <w:szCs w:val="20"/>
                <w:color w:val="auto"/>
              </w:rPr>
            </w:pPr>
            <w:r>
              <w:rPr>
                <w:rFonts w:ascii="Calibri" w:cs="Calibri" w:eastAsia="Calibri" w:hAnsi="Calibri"/>
                <w:sz w:val="16"/>
                <w:szCs w:val="16"/>
                <w:color w:val="333333"/>
                <w:w w:val="98"/>
              </w:rPr>
              <w:t>17,640</w:t>
            </w:r>
          </w:p>
        </w:tc>
        <w:tc>
          <w:tcPr>
            <w:tcW w:w="960" w:type="dxa"/>
            <w:vAlign w:val="bottom"/>
          </w:tcPr>
          <w:p>
            <w:pPr>
              <w:jc w:val="center"/>
              <w:ind w:left="21"/>
              <w:spacing w:after="0" w:line="182" w:lineRule="exact"/>
              <w:rPr>
                <w:sz w:val="20"/>
                <w:szCs w:val="20"/>
                <w:color w:val="auto"/>
              </w:rPr>
            </w:pPr>
            <w:r>
              <w:rPr>
                <w:rFonts w:ascii="Calibri" w:cs="Calibri" w:eastAsia="Calibri" w:hAnsi="Calibri"/>
                <w:sz w:val="16"/>
                <w:szCs w:val="16"/>
                <w:color w:val="333333"/>
              </w:rPr>
              <w:t>508,445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00" w:type="dxa"/>
            <w:vAlign w:val="bottom"/>
            <w:gridSpan w:val="3"/>
          </w:tcPr>
          <w:p>
            <w:pPr>
              <w:spacing w:after="0" w:line="193" w:lineRule="exact"/>
              <w:rPr>
                <w:sz w:val="20"/>
                <w:szCs w:val="20"/>
                <w:color w:val="auto"/>
              </w:rPr>
            </w:pPr>
            <w:r>
              <w:rPr>
                <w:rFonts w:ascii="Calibri" w:cs="Calibri" w:eastAsia="Calibri" w:hAnsi="Calibri"/>
                <w:sz w:val="16"/>
                <w:szCs w:val="16"/>
                <w:color w:val="333333"/>
              </w:rPr>
              <w:t> Former Chief Financial</w:t>
            </w:r>
          </w:p>
        </w:tc>
        <w:tc>
          <w:tcPr>
            <w:tcW w:w="540" w:type="dxa"/>
            <w:vAlign w:val="bottom"/>
          </w:tcPr>
          <w:p>
            <w:pPr>
              <w:jc w:val="center"/>
              <w:ind w:left="1"/>
              <w:spacing w:after="0" w:line="193" w:lineRule="exact"/>
              <w:rPr>
                <w:sz w:val="20"/>
                <w:szCs w:val="20"/>
                <w:color w:val="auto"/>
              </w:rPr>
            </w:pPr>
            <w:r>
              <w:rPr>
                <w:rFonts w:ascii="Calibri" w:cs="Calibri" w:eastAsia="Calibri" w:hAnsi="Calibri"/>
                <w:sz w:val="16"/>
                <w:szCs w:val="16"/>
                <w:color w:val="333333"/>
              </w:rPr>
              <w:t>2024</w:t>
            </w:r>
          </w:p>
        </w:tc>
        <w:tc>
          <w:tcPr>
            <w:tcW w:w="880" w:type="dxa"/>
            <w:vAlign w:val="bottom"/>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line="193" w:lineRule="exact"/>
              <w:rPr>
                <w:sz w:val="20"/>
                <w:szCs w:val="20"/>
                <w:color w:val="auto"/>
              </w:rPr>
            </w:pPr>
            <w:r>
              <w:rPr>
                <w:rFonts w:ascii="Calibri" w:cs="Calibri" w:eastAsia="Calibri" w:hAnsi="Calibri"/>
                <w:sz w:val="16"/>
                <w:szCs w:val="16"/>
                <w:color w:val="333333"/>
                <w:w w:val="98"/>
              </w:rPr>
              <w:t>874,811</w:t>
            </w:r>
          </w:p>
        </w:tc>
        <w:tc>
          <w:tcPr>
            <w:tcW w:w="760" w:type="dxa"/>
            <w:vAlign w:val="bottom"/>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Pr>
          <w:p>
            <w:pPr>
              <w:jc w:val="center"/>
              <w:ind w:left="23"/>
              <w:spacing w:after="0" w:line="193" w:lineRule="exact"/>
              <w:rPr>
                <w:sz w:val="20"/>
                <w:szCs w:val="20"/>
                <w:color w:val="auto"/>
              </w:rPr>
            </w:pPr>
            <w:r>
              <w:rPr>
                <w:rFonts w:ascii="Calibri" w:cs="Calibri" w:eastAsia="Calibri" w:hAnsi="Calibri"/>
                <w:sz w:val="16"/>
                <w:szCs w:val="16"/>
                <w:color w:val="333333"/>
                <w:w w:val="98"/>
              </w:rPr>
              <w:t>799,225</w:t>
            </w:r>
          </w:p>
        </w:tc>
        <w:tc>
          <w:tcPr>
            <w:tcW w:w="1320" w:type="dxa"/>
            <w:vAlign w:val="bottom"/>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line="193" w:lineRule="exact"/>
              <w:rPr>
                <w:sz w:val="20"/>
                <w:szCs w:val="20"/>
                <w:color w:val="auto"/>
              </w:rPr>
            </w:pPr>
            <w:r>
              <w:rPr>
                <w:rFonts w:ascii="Calibri" w:cs="Calibri" w:eastAsia="Calibri" w:hAnsi="Calibri"/>
                <w:sz w:val="16"/>
                <w:szCs w:val="16"/>
                <w:color w:val="333333"/>
                <w:w w:val="98"/>
              </w:rPr>
              <w:t>17,388</w:t>
            </w:r>
          </w:p>
        </w:tc>
        <w:tc>
          <w:tcPr>
            <w:tcW w:w="960" w:type="dxa"/>
            <w:vAlign w:val="bottom"/>
          </w:tcPr>
          <w:p>
            <w:pPr>
              <w:jc w:val="center"/>
              <w:ind w:left="21"/>
              <w:spacing w:after="0" w:line="193" w:lineRule="exact"/>
              <w:rPr>
                <w:sz w:val="20"/>
                <w:szCs w:val="20"/>
                <w:color w:val="auto"/>
              </w:rPr>
            </w:pPr>
            <w:r>
              <w:rPr>
                <w:rFonts w:ascii="Calibri" w:cs="Calibri" w:eastAsia="Calibri" w:hAnsi="Calibri"/>
                <w:sz w:val="16"/>
                <w:szCs w:val="16"/>
                <w:color w:val="333333"/>
              </w:rPr>
              <w:t>2,391,424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0" w:type="dxa"/>
            <w:vAlign w:val="bottom"/>
            <w:gridSpan w:val="3"/>
          </w:tcPr>
          <w:p>
            <w:pPr>
              <w:spacing w:after="0"/>
              <w:rPr>
                <w:sz w:val="20"/>
                <w:szCs w:val="20"/>
                <w:color w:val="auto"/>
              </w:rPr>
            </w:pPr>
            <w:r>
              <w:rPr>
                <w:rFonts w:ascii="Calibri" w:cs="Calibri" w:eastAsia="Calibri" w:hAnsi="Calibri"/>
                <w:sz w:val="16"/>
                <w:szCs w:val="16"/>
                <w:color w:val="333333"/>
              </w:rPr>
              <w:t> Ofcer</w:t>
            </w:r>
          </w:p>
        </w:tc>
        <w:tc>
          <w:tcPr>
            <w:tcW w:w="540" w:type="dxa"/>
            <w:vAlign w:val="bottom"/>
          </w:tcPr>
          <w:p>
            <w:pPr>
              <w:jc w:val="center"/>
              <w:ind w:left="1"/>
              <w:spacing w:after="0"/>
              <w:rPr>
                <w:sz w:val="20"/>
                <w:szCs w:val="20"/>
                <w:color w:val="auto"/>
              </w:rPr>
            </w:pPr>
            <w:r>
              <w:rPr>
                <w:rFonts w:ascii="Calibri" w:cs="Calibri" w:eastAsia="Calibri" w:hAnsi="Calibri"/>
                <w:sz w:val="16"/>
                <w:szCs w:val="16"/>
                <w:color w:val="333333"/>
              </w:rPr>
              <w:t>2023</w:t>
            </w:r>
          </w:p>
        </w:tc>
        <w:tc>
          <w:tcPr>
            <w:tcW w:w="880" w:type="dxa"/>
            <w:vAlign w:val="bottom"/>
          </w:tcPr>
          <w:p>
            <w:pPr>
              <w:jc w:val="center"/>
              <w:spacing w:after="0"/>
              <w:rPr>
                <w:sz w:val="20"/>
                <w:szCs w:val="20"/>
                <w:color w:val="auto"/>
              </w:rPr>
            </w:pPr>
            <w:r>
              <w:rPr>
                <w:rFonts w:ascii="Calibri" w:cs="Calibri" w:eastAsia="Calibri" w:hAnsi="Calibri"/>
                <w:sz w:val="16"/>
                <w:szCs w:val="16"/>
                <w:color w:val="333333"/>
              </w:rPr>
              <w:t>700,000</w:t>
            </w:r>
          </w:p>
        </w:tc>
        <w:tc>
          <w:tcPr>
            <w:tcW w:w="760" w:type="dxa"/>
            <w:vAlign w:val="bottom"/>
          </w:tcPr>
          <w:p>
            <w:pPr>
              <w:jc w:val="center"/>
              <w:spacing w:after="0"/>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rPr>
                <w:sz w:val="20"/>
                <w:szCs w:val="20"/>
                <w:color w:val="auto"/>
              </w:rPr>
            </w:pPr>
            <w:r>
              <w:rPr>
                <w:rFonts w:ascii="Calibri" w:cs="Calibri" w:eastAsia="Calibri" w:hAnsi="Calibri"/>
                <w:sz w:val="16"/>
                <w:szCs w:val="16"/>
                <w:color w:val="333333"/>
                <w:w w:val="98"/>
              </w:rPr>
              <w:t>699,873</w:t>
            </w:r>
          </w:p>
        </w:tc>
        <w:tc>
          <w:tcPr>
            <w:tcW w:w="760" w:type="dxa"/>
            <w:vAlign w:val="bottom"/>
          </w:tcPr>
          <w:p>
            <w:pPr>
              <w:jc w:val="center"/>
              <w:ind w:left="1"/>
              <w:spacing w:after="0"/>
              <w:rPr>
                <w:sz w:val="20"/>
                <w:szCs w:val="20"/>
                <w:color w:val="auto"/>
              </w:rPr>
            </w:pPr>
            <w:r>
              <w:rPr>
                <w:rFonts w:ascii="Calibri" w:cs="Calibri" w:eastAsia="Calibri" w:hAnsi="Calibri"/>
                <w:sz w:val="16"/>
                <w:szCs w:val="16"/>
                <w:color w:val="333333"/>
              </w:rPr>
              <w:t>—</w:t>
            </w:r>
          </w:p>
        </w:tc>
        <w:tc>
          <w:tcPr>
            <w:tcW w:w="1300" w:type="dxa"/>
            <w:vAlign w:val="bottom"/>
          </w:tcPr>
          <w:p>
            <w:pPr>
              <w:jc w:val="center"/>
              <w:ind w:left="23"/>
              <w:spacing w:after="0"/>
              <w:rPr>
                <w:sz w:val="20"/>
                <w:szCs w:val="20"/>
                <w:color w:val="auto"/>
              </w:rPr>
            </w:pPr>
            <w:r>
              <w:rPr>
                <w:rFonts w:ascii="Calibri" w:cs="Calibri" w:eastAsia="Calibri" w:hAnsi="Calibri"/>
                <w:sz w:val="16"/>
                <w:szCs w:val="16"/>
                <w:color w:val="333333"/>
                <w:w w:val="98"/>
              </w:rPr>
              <w:t>886,654</w:t>
            </w:r>
          </w:p>
        </w:tc>
        <w:tc>
          <w:tcPr>
            <w:tcW w:w="1320" w:type="dxa"/>
            <w:vAlign w:val="bottom"/>
          </w:tcPr>
          <w:p>
            <w:pPr>
              <w:jc w:val="center"/>
              <w:ind w:left="23"/>
              <w:spacing w:after="0"/>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rPr>
                <w:sz w:val="20"/>
                <w:szCs w:val="20"/>
                <w:color w:val="auto"/>
              </w:rPr>
            </w:pPr>
            <w:r>
              <w:rPr>
                <w:rFonts w:ascii="Calibri" w:cs="Calibri" w:eastAsia="Calibri" w:hAnsi="Calibri"/>
                <w:sz w:val="16"/>
                <w:szCs w:val="16"/>
                <w:color w:val="333333"/>
                <w:w w:val="98"/>
              </w:rPr>
              <w:t>16,632</w:t>
            </w:r>
          </w:p>
        </w:tc>
        <w:tc>
          <w:tcPr>
            <w:tcW w:w="960" w:type="dxa"/>
            <w:vAlign w:val="bottom"/>
          </w:tcPr>
          <w:p>
            <w:pPr>
              <w:jc w:val="center"/>
              <w:ind w:left="21"/>
              <w:spacing w:after="0"/>
              <w:rPr>
                <w:sz w:val="20"/>
                <w:szCs w:val="20"/>
                <w:color w:val="auto"/>
              </w:rPr>
            </w:pPr>
            <w:r>
              <w:rPr>
                <w:rFonts w:ascii="Calibri" w:cs="Calibri" w:eastAsia="Calibri" w:hAnsi="Calibri"/>
                <w:sz w:val="16"/>
                <w:szCs w:val="16"/>
                <w:color w:val="333333"/>
              </w:rPr>
              <w:t>2,303,159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w:t>
            </w:r>
            <w:r>
              <w:rPr>
                <w:rFonts w:ascii="Calibri" w:cs="Calibri" w:eastAsia="Calibri" w:hAnsi="Calibri"/>
                <w:sz w:val="16"/>
                <w:szCs w:val="16"/>
                <w:b w:val="1"/>
                <w:bCs w:val="1"/>
                <w:color w:val="0591DB"/>
              </w:rPr>
              <w:t>Curts P. Lu</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2025</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2,874,667</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3"/>
              <w:spacing w:after="0" w:line="193" w:lineRule="exact"/>
              <w:rPr>
                <w:sz w:val="20"/>
                <w:szCs w:val="20"/>
                <w:color w:val="auto"/>
              </w:rPr>
            </w:pPr>
            <w:r>
              <w:rPr>
                <w:rFonts w:ascii="Calibri" w:cs="Calibri" w:eastAsia="Calibri" w:hAnsi="Calibri"/>
                <w:sz w:val="16"/>
                <w:szCs w:val="16"/>
                <w:color w:val="333333"/>
              </w:rPr>
              <w:t>1,057,533</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17,640</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4,649,840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General Counsel</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2024</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874,811</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8"/>
              </w:rPr>
              <w:t>872,142</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17,388</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2,464,341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Borders>
              <w:left w:val="single" w:sz="8" w:color="EFF2EF"/>
            </w:tcBorders>
            <w:shd w:val="clear" w:color="auto" w:fill="EFF2EF"/>
          </w:tcPr>
          <w:p>
            <w:pPr>
              <w:spacing w:after="0"/>
              <w:rPr>
                <w:sz w:val="16"/>
                <w:szCs w:val="16"/>
                <w:color w:val="auto"/>
              </w:rPr>
            </w:pPr>
          </w:p>
        </w:tc>
        <w:tc>
          <w:tcPr>
            <w:tcW w:w="980" w:type="dxa"/>
            <w:vAlign w:val="bottom"/>
            <w:tcBorders>
              <w:right w:val="single" w:sz="8" w:color="EFF2EF"/>
            </w:tcBorders>
            <w:shd w:val="clear" w:color="auto" w:fill="EFF2EF"/>
          </w:tcPr>
          <w:p>
            <w:pPr>
              <w:spacing w:after="0"/>
              <w:rPr>
                <w:sz w:val="16"/>
                <w:szCs w:val="16"/>
                <w:color w:val="auto"/>
              </w:rPr>
            </w:pP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2023</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700,000</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699,873</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8"/>
              </w:rPr>
              <w:t>886,654</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16,632</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2,303,159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1200" w:type="dxa"/>
            <w:vAlign w:val="bottom"/>
            <w:tcBorders>
              <w:left w:val="single" w:sz="8" w:color="EFF2EF"/>
            </w:tcBorders>
            <w:shd w:val="clear" w:color="auto" w:fill="EFF2EF"/>
          </w:tcPr>
          <w:p>
            <w:pPr>
              <w:spacing w:after="0"/>
              <w:rPr>
                <w:sz w:val="7"/>
                <w:szCs w:val="7"/>
                <w:color w:val="auto"/>
              </w:rPr>
            </w:pPr>
          </w:p>
        </w:tc>
        <w:tc>
          <w:tcPr>
            <w:tcW w:w="980" w:type="dxa"/>
            <w:vAlign w:val="bottom"/>
            <w:tcBorders>
              <w:right w:val="single" w:sz="8" w:color="EFF2EF"/>
            </w:tcBorders>
            <w:shd w:val="clear" w:color="auto" w:fill="EFF2EF"/>
          </w:tcPr>
          <w:p>
            <w:pPr>
              <w:spacing w:after="0"/>
              <w:rPr>
                <w:sz w:val="7"/>
                <w:szCs w:val="7"/>
                <w:color w:val="auto"/>
              </w:rPr>
            </w:pPr>
          </w:p>
        </w:tc>
        <w:tc>
          <w:tcPr>
            <w:tcW w:w="540" w:type="dxa"/>
            <w:vAlign w:val="bottom"/>
            <w:tcBorders>
              <w:right w:val="single" w:sz="8" w:color="EFF2EF"/>
            </w:tcBorders>
            <w:shd w:val="clear" w:color="auto" w:fill="EFF2EF"/>
          </w:tcPr>
          <w:p>
            <w:pPr>
              <w:spacing w:after="0"/>
              <w:rPr>
                <w:sz w:val="7"/>
                <w:szCs w:val="7"/>
                <w:color w:val="auto"/>
              </w:rPr>
            </w:pPr>
          </w:p>
        </w:tc>
        <w:tc>
          <w:tcPr>
            <w:tcW w:w="88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88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1300" w:type="dxa"/>
            <w:vAlign w:val="bottom"/>
            <w:tcBorders>
              <w:right w:val="single" w:sz="8" w:color="EFF2EF"/>
            </w:tcBorders>
            <w:shd w:val="clear" w:color="auto" w:fill="EFF2EF"/>
          </w:tcPr>
          <w:p>
            <w:pPr>
              <w:spacing w:after="0"/>
              <w:rPr>
                <w:sz w:val="7"/>
                <w:szCs w:val="7"/>
                <w:color w:val="auto"/>
              </w:rPr>
            </w:pPr>
          </w:p>
        </w:tc>
        <w:tc>
          <w:tcPr>
            <w:tcW w:w="1320" w:type="dxa"/>
            <w:vAlign w:val="bottom"/>
            <w:tcBorders>
              <w:right w:val="single" w:sz="8" w:color="EFF2EF"/>
            </w:tcBorders>
            <w:shd w:val="clear" w:color="auto" w:fill="EFF2EF"/>
          </w:tcPr>
          <w:p>
            <w:pPr>
              <w:spacing w:after="0"/>
              <w:rPr>
                <w:sz w:val="7"/>
                <w:szCs w:val="7"/>
                <w:color w:val="auto"/>
              </w:rPr>
            </w:pPr>
          </w:p>
        </w:tc>
        <w:tc>
          <w:tcPr>
            <w:tcW w:w="1320" w:type="dxa"/>
            <w:vAlign w:val="bottom"/>
            <w:tcBorders>
              <w:right w:val="single" w:sz="8" w:color="EFF2EF"/>
            </w:tcBorders>
            <w:shd w:val="clear" w:color="auto" w:fill="EFF2EF"/>
          </w:tcPr>
          <w:p>
            <w:pPr>
              <w:spacing w:after="0"/>
              <w:rPr>
                <w:sz w:val="7"/>
                <w:szCs w:val="7"/>
                <w:color w:val="auto"/>
              </w:rPr>
            </w:pPr>
          </w:p>
        </w:tc>
        <w:tc>
          <w:tcPr>
            <w:tcW w:w="960" w:type="dxa"/>
            <w:vAlign w:val="bottom"/>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80" w:type="dxa"/>
            <w:vAlign w:val="bottom"/>
            <w:gridSpan w:val="2"/>
          </w:tcPr>
          <w:p>
            <w:pPr>
              <w:spacing w:after="0" w:line="182" w:lineRule="exact"/>
              <w:rPr>
                <w:sz w:val="20"/>
                <w:szCs w:val="20"/>
                <w:color w:val="auto"/>
              </w:rPr>
            </w:pPr>
            <w:r>
              <w:rPr>
                <w:rFonts w:ascii="Calibri" w:cs="Calibri" w:eastAsia="Calibri" w:hAnsi="Calibri"/>
                <w:sz w:val="16"/>
                <w:szCs w:val="16"/>
                <w:color w:val="333333"/>
              </w:rPr>
              <w:t> </w:t>
            </w:r>
            <w:r>
              <w:rPr>
                <w:rFonts w:ascii="Calibri" w:cs="Calibri" w:eastAsia="Calibri" w:hAnsi="Calibri"/>
                <w:sz w:val="16"/>
                <w:szCs w:val="16"/>
                <w:b w:val="1"/>
                <w:bCs w:val="1"/>
                <w:color w:val="0591DB"/>
              </w:rPr>
              <w:t>Holly Paul</w:t>
            </w:r>
          </w:p>
        </w:tc>
        <w:tc>
          <w:tcPr>
            <w:tcW w:w="540" w:type="dxa"/>
            <w:vAlign w:val="bottom"/>
          </w:tcPr>
          <w:p>
            <w:pPr>
              <w:jc w:val="center"/>
              <w:ind w:left="1"/>
              <w:spacing w:after="0" w:line="182" w:lineRule="exact"/>
              <w:rPr>
                <w:sz w:val="20"/>
                <w:szCs w:val="20"/>
                <w:color w:val="auto"/>
              </w:rPr>
            </w:pPr>
            <w:r>
              <w:rPr>
                <w:rFonts w:ascii="Calibri" w:cs="Calibri" w:eastAsia="Calibri" w:hAnsi="Calibri"/>
                <w:sz w:val="16"/>
                <w:szCs w:val="16"/>
                <w:color w:val="333333"/>
              </w:rPr>
              <w:t>2025</w:t>
            </w:r>
          </w:p>
        </w:tc>
        <w:tc>
          <w:tcPr>
            <w:tcW w:w="880" w:type="dxa"/>
            <w:vAlign w:val="bottom"/>
          </w:tcPr>
          <w:p>
            <w:pPr>
              <w:jc w:val="center"/>
              <w:spacing w:after="0" w:line="182" w:lineRule="exact"/>
              <w:rPr>
                <w:sz w:val="20"/>
                <w:szCs w:val="20"/>
                <w:color w:val="auto"/>
              </w:rPr>
            </w:pPr>
            <w:r>
              <w:rPr>
                <w:rFonts w:ascii="Calibri" w:cs="Calibri" w:eastAsia="Calibri" w:hAnsi="Calibri"/>
                <w:sz w:val="16"/>
                <w:szCs w:val="16"/>
                <w:color w:val="333333"/>
              </w:rPr>
              <w:t>350,000</w:t>
            </w:r>
          </w:p>
        </w:tc>
        <w:tc>
          <w:tcPr>
            <w:tcW w:w="760" w:type="dxa"/>
            <w:vAlign w:val="bottom"/>
          </w:tcPr>
          <w:p>
            <w:pPr>
              <w:jc w:val="center"/>
              <w:spacing w:after="0" w:line="182" w:lineRule="exact"/>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line="182" w:lineRule="exact"/>
              <w:rPr>
                <w:sz w:val="20"/>
                <w:szCs w:val="20"/>
                <w:color w:val="auto"/>
              </w:rPr>
            </w:pPr>
            <w:r>
              <w:rPr>
                <w:rFonts w:ascii="Calibri" w:cs="Calibri" w:eastAsia="Calibri" w:hAnsi="Calibri"/>
                <w:sz w:val="16"/>
                <w:szCs w:val="16"/>
                <w:color w:val="333333"/>
                <w:w w:val="98"/>
              </w:rPr>
              <w:t>437,246</w:t>
            </w:r>
          </w:p>
        </w:tc>
        <w:tc>
          <w:tcPr>
            <w:tcW w:w="760" w:type="dxa"/>
            <w:vAlign w:val="bottom"/>
          </w:tcPr>
          <w:p>
            <w:pPr>
              <w:jc w:val="center"/>
              <w:ind w:left="1"/>
              <w:spacing w:after="0" w:line="182" w:lineRule="exact"/>
              <w:rPr>
                <w:sz w:val="20"/>
                <w:szCs w:val="20"/>
                <w:color w:val="auto"/>
              </w:rPr>
            </w:pPr>
            <w:r>
              <w:rPr>
                <w:rFonts w:ascii="Calibri" w:cs="Calibri" w:eastAsia="Calibri" w:hAnsi="Calibri"/>
                <w:sz w:val="16"/>
                <w:szCs w:val="16"/>
                <w:color w:val="333333"/>
              </w:rPr>
              <w:t>—</w:t>
            </w:r>
          </w:p>
        </w:tc>
        <w:tc>
          <w:tcPr>
            <w:tcW w:w="1300" w:type="dxa"/>
            <w:vAlign w:val="bottom"/>
          </w:tcPr>
          <w:p>
            <w:pPr>
              <w:jc w:val="center"/>
              <w:ind w:left="23"/>
              <w:spacing w:after="0" w:line="182" w:lineRule="exact"/>
              <w:rPr>
                <w:sz w:val="20"/>
                <w:szCs w:val="20"/>
                <w:color w:val="auto"/>
              </w:rPr>
            </w:pPr>
            <w:r>
              <w:rPr>
                <w:rFonts w:ascii="Calibri" w:cs="Calibri" w:eastAsia="Calibri" w:hAnsi="Calibri"/>
                <w:sz w:val="16"/>
                <w:szCs w:val="16"/>
                <w:color w:val="333333"/>
                <w:w w:val="98"/>
              </w:rPr>
              <w:t>528,767</w:t>
            </w:r>
          </w:p>
        </w:tc>
        <w:tc>
          <w:tcPr>
            <w:tcW w:w="1320" w:type="dxa"/>
            <w:vAlign w:val="bottom"/>
          </w:tcPr>
          <w:p>
            <w:pPr>
              <w:jc w:val="center"/>
              <w:ind w:left="23"/>
              <w:spacing w:after="0" w:line="182"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line="182" w:lineRule="exact"/>
              <w:rPr>
                <w:sz w:val="20"/>
                <w:szCs w:val="20"/>
                <w:color w:val="auto"/>
              </w:rPr>
            </w:pPr>
            <w:r>
              <w:rPr>
                <w:rFonts w:ascii="Calibri" w:cs="Calibri" w:eastAsia="Calibri" w:hAnsi="Calibri"/>
                <w:sz w:val="16"/>
                <w:szCs w:val="16"/>
                <w:color w:val="333333"/>
                <w:w w:val="98"/>
              </w:rPr>
              <w:t>17,640</w:t>
            </w:r>
          </w:p>
        </w:tc>
        <w:tc>
          <w:tcPr>
            <w:tcW w:w="960" w:type="dxa"/>
            <w:vAlign w:val="bottom"/>
          </w:tcPr>
          <w:p>
            <w:pPr>
              <w:jc w:val="center"/>
              <w:ind w:left="21"/>
              <w:spacing w:after="0" w:line="182" w:lineRule="exact"/>
              <w:rPr>
                <w:sz w:val="20"/>
                <w:szCs w:val="20"/>
                <w:color w:val="auto"/>
              </w:rPr>
            </w:pPr>
            <w:r>
              <w:rPr>
                <w:rFonts w:ascii="Calibri" w:cs="Calibri" w:eastAsia="Calibri" w:hAnsi="Calibri"/>
                <w:sz w:val="16"/>
                <w:szCs w:val="16"/>
                <w:color w:val="333333"/>
              </w:rPr>
              <w:t>1,333,653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00" w:type="dxa"/>
            <w:vAlign w:val="bottom"/>
            <w:gridSpan w:val="3"/>
          </w:tcPr>
          <w:p>
            <w:pPr>
              <w:spacing w:after="0" w:line="193" w:lineRule="exact"/>
              <w:rPr>
                <w:sz w:val="20"/>
                <w:szCs w:val="20"/>
                <w:color w:val="auto"/>
              </w:rPr>
            </w:pPr>
            <w:r>
              <w:rPr>
                <w:rFonts w:ascii="Calibri" w:cs="Calibri" w:eastAsia="Calibri" w:hAnsi="Calibri"/>
                <w:sz w:val="16"/>
                <w:szCs w:val="16"/>
                <w:color w:val="333333"/>
              </w:rPr>
              <w:t> Chief Human</w:t>
            </w:r>
          </w:p>
        </w:tc>
        <w:tc>
          <w:tcPr>
            <w:tcW w:w="540" w:type="dxa"/>
            <w:vAlign w:val="bottom"/>
          </w:tcPr>
          <w:p>
            <w:pPr>
              <w:jc w:val="center"/>
              <w:ind w:left="1"/>
              <w:spacing w:after="0" w:line="193" w:lineRule="exact"/>
              <w:rPr>
                <w:sz w:val="20"/>
                <w:szCs w:val="20"/>
                <w:color w:val="auto"/>
              </w:rPr>
            </w:pPr>
            <w:r>
              <w:rPr>
                <w:rFonts w:ascii="Calibri" w:cs="Calibri" w:eastAsia="Calibri" w:hAnsi="Calibri"/>
                <w:sz w:val="16"/>
                <w:szCs w:val="16"/>
                <w:color w:val="333333"/>
              </w:rPr>
              <w:t>2024</w:t>
            </w:r>
          </w:p>
        </w:tc>
        <w:tc>
          <w:tcPr>
            <w:tcW w:w="880" w:type="dxa"/>
            <w:vAlign w:val="bottom"/>
          </w:tcPr>
          <w:p>
            <w:pPr>
              <w:jc w:val="center"/>
              <w:spacing w:after="0" w:line="193" w:lineRule="exact"/>
              <w:rPr>
                <w:sz w:val="20"/>
                <w:szCs w:val="20"/>
                <w:color w:val="auto"/>
              </w:rPr>
            </w:pPr>
            <w:r>
              <w:rPr>
                <w:rFonts w:ascii="Calibri" w:cs="Calibri" w:eastAsia="Calibri" w:hAnsi="Calibri"/>
                <w:sz w:val="16"/>
                <w:szCs w:val="16"/>
                <w:color w:val="333333"/>
              </w:rPr>
              <w:t>560,000</w:t>
            </w:r>
          </w:p>
        </w:tc>
        <w:tc>
          <w:tcPr>
            <w:tcW w:w="760" w:type="dxa"/>
            <w:vAlign w:val="bottom"/>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line="193" w:lineRule="exact"/>
              <w:rPr>
                <w:sz w:val="20"/>
                <w:szCs w:val="20"/>
                <w:color w:val="auto"/>
              </w:rPr>
            </w:pPr>
            <w:r>
              <w:rPr>
                <w:rFonts w:ascii="Calibri" w:cs="Calibri" w:eastAsia="Calibri" w:hAnsi="Calibri"/>
                <w:sz w:val="16"/>
                <w:szCs w:val="16"/>
                <w:color w:val="333333"/>
                <w:w w:val="98"/>
              </w:rPr>
              <w:t>699,808</w:t>
            </w:r>
          </w:p>
        </w:tc>
        <w:tc>
          <w:tcPr>
            <w:tcW w:w="760" w:type="dxa"/>
            <w:vAlign w:val="bottom"/>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Pr>
          <w:p>
            <w:pPr>
              <w:jc w:val="center"/>
              <w:ind w:left="23"/>
              <w:spacing w:after="0" w:line="193" w:lineRule="exact"/>
              <w:rPr>
                <w:sz w:val="20"/>
                <w:szCs w:val="20"/>
                <w:color w:val="auto"/>
              </w:rPr>
            </w:pPr>
            <w:r>
              <w:rPr>
                <w:rFonts w:ascii="Calibri" w:cs="Calibri" w:eastAsia="Calibri" w:hAnsi="Calibri"/>
                <w:sz w:val="16"/>
                <w:szCs w:val="16"/>
                <w:color w:val="333333"/>
                <w:w w:val="98"/>
              </w:rPr>
              <w:t>639,380</w:t>
            </w:r>
          </w:p>
        </w:tc>
        <w:tc>
          <w:tcPr>
            <w:tcW w:w="1320" w:type="dxa"/>
            <w:vAlign w:val="bottom"/>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line="193" w:lineRule="exact"/>
              <w:rPr>
                <w:sz w:val="20"/>
                <w:szCs w:val="20"/>
                <w:color w:val="auto"/>
              </w:rPr>
            </w:pPr>
            <w:r>
              <w:rPr>
                <w:rFonts w:ascii="Calibri" w:cs="Calibri" w:eastAsia="Calibri" w:hAnsi="Calibri"/>
                <w:sz w:val="16"/>
                <w:szCs w:val="16"/>
                <w:color w:val="333333"/>
                <w:w w:val="98"/>
              </w:rPr>
              <w:t>17,388</w:t>
            </w:r>
          </w:p>
        </w:tc>
        <w:tc>
          <w:tcPr>
            <w:tcW w:w="960" w:type="dxa"/>
            <w:vAlign w:val="bottom"/>
          </w:tcPr>
          <w:p>
            <w:pPr>
              <w:jc w:val="center"/>
              <w:ind w:left="21"/>
              <w:spacing w:after="0" w:line="193" w:lineRule="exact"/>
              <w:rPr>
                <w:sz w:val="20"/>
                <w:szCs w:val="20"/>
                <w:color w:val="auto"/>
              </w:rPr>
            </w:pPr>
            <w:r>
              <w:rPr>
                <w:rFonts w:ascii="Calibri" w:cs="Calibri" w:eastAsia="Calibri" w:hAnsi="Calibri"/>
                <w:sz w:val="16"/>
                <w:szCs w:val="16"/>
                <w:color w:val="333333"/>
              </w:rPr>
              <w:t>1,916,576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0" w:type="dxa"/>
            <w:vAlign w:val="bottom"/>
            <w:gridSpan w:val="3"/>
          </w:tcPr>
          <w:p>
            <w:pPr>
              <w:spacing w:after="0"/>
              <w:rPr>
                <w:sz w:val="20"/>
                <w:szCs w:val="20"/>
                <w:color w:val="auto"/>
              </w:rPr>
            </w:pPr>
            <w:r>
              <w:rPr>
                <w:rFonts w:ascii="Calibri" w:cs="Calibri" w:eastAsia="Calibri" w:hAnsi="Calibri"/>
                <w:sz w:val="16"/>
                <w:szCs w:val="16"/>
                <w:color w:val="333333"/>
              </w:rPr>
              <w:t> Resources Ofcer</w:t>
            </w:r>
          </w:p>
        </w:tc>
        <w:tc>
          <w:tcPr>
            <w:tcW w:w="540" w:type="dxa"/>
            <w:vAlign w:val="bottom"/>
          </w:tcPr>
          <w:p>
            <w:pPr>
              <w:jc w:val="center"/>
              <w:ind w:left="1"/>
              <w:spacing w:after="0"/>
              <w:rPr>
                <w:sz w:val="20"/>
                <w:szCs w:val="20"/>
                <w:color w:val="auto"/>
              </w:rPr>
            </w:pPr>
            <w:r>
              <w:rPr>
                <w:rFonts w:ascii="Calibri" w:cs="Calibri" w:eastAsia="Calibri" w:hAnsi="Calibri"/>
                <w:sz w:val="16"/>
                <w:szCs w:val="16"/>
                <w:color w:val="333333"/>
              </w:rPr>
              <w:t>2023</w:t>
            </w:r>
          </w:p>
        </w:tc>
        <w:tc>
          <w:tcPr>
            <w:tcW w:w="880" w:type="dxa"/>
            <w:vAlign w:val="bottom"/>
          </w:tcPr>
          <w:p>
            <w:pPr>
              <w:jc w:val="center"/>
              <w:spacing w:after="0"/>
              <w:rPr>
                <w:sz w:val="20"/>
                <w:szCs w:val="20"/>
                <w:color w:val="auto"/>
              </w:rPr>
            </w:pPr>
            <w:r>
              <w:rPr>
                <w:rFonts w:ascii="Calibri" w:cs="Calibri" w:eastAsia="Calibri" w:hAnsi="Calibri"/>
                <w:sz w:val="16"/>
                <w:szCs w:val="16"/>
                <w:color w:val="333333"/>
              </w:rPr>
              <w:t>700,000</w:t>
            </w:r>
          </w:p>
        </w:tc>
        <w:tc>
          <w:tcPr>
            <w:tcW w:w="760" w:type="dxa"/>
            <w:vAlign w:val="bottom"/>
          </w:tcPr>
          <w:p>
            <w:pPr>
              <w:jc w:val="center"/>
              <w:spacing w:after="0"/>
              <w:rPr>
                <w:sz w:val="20"/>
                <w:szCs w:val="20"/>
                <w:color w:val="auto"/>
              </w:rPr>
            </w:pPr>
            <w:r>
              <w:rPr>
                <w:rFonts w:ascii="Calibri" w:cs="Calibri" w:eastAsia="Calibri" w:hAnsi="Calibri"/>
                <w:sz w:val="16"/>
                <w:szCs w:val="16"/>
                <w:color w:val="333333"/>
                <w:w w:val="96"/>
              </w:rPr>
              <w:t>—</w:t>
            </w:r>
          </w:p>
        </w:tc>
        <w:tc>
          <w:tcPr>
            <w:tcW w:w="880" w:type="dxa"/>
            <w:vAlign w:val="bottom"/>
          </w:tcPr>
          <w:p>
            <w:pPr>
              <w:jc w:val="center"/>
              <w:ind w:left="2"/>
              <w:spacing w:after="0"/>
              <w:rPr>
                <w:sz w:val="20"/>
                <w:szCs w:val="20"/>
                <w:color w:val="auto"/>
              </w:rPr>
            </w:pPr>
            <w:r>
              <w:rPr>
                <w:rFonts w:ascii="Calibri" w:cs="Calibri" w:eastAsia="Calibri" w:hAnsi="Calibri"/>
                <w:sz w:val="16"/>
                <w:szCs w:val="16"/>
                <w:color w:val="333333"/>
                <w:w w:val="98"/>
              </w:rPr>
              <w:t>699,873</w:t>
            </w:r>
          </w:p>
        </w:tc>
        <w:tc>
          <w:tcPr>
            <w:tcW w:w="760" w:type="dxa"/>
            <w:vAlign w:val="bottom"/>
          </w:tcPr>
          <w:p>
            <w:pPr>
              <w:jc w:val="center"/>
              <w:ind w:left="1"/>
              <w:spacing w:after="0"/>
              <w:rPr>
                <w:sz w:val="20"/>
                <w:szCs w:val="20"/>
                <w:color w:val="auto"/>
              </w:rPr>
            </w:pPr>
            <w:r>
              <w:rPr>
                <w:rFonts w:ascii="Calibri" w:cs="Calibri" w:eastAsia="Calibri" w:hAnsi="Calibri"/>
                <w:sz w:val="16"/>
                <w:szCs w:val="16"/>
                <w:color w:val="333333"/>
              </w:rPr>
              <w:t>—</w:t>
            </w:r>
          </w:p>
        </w:tc>
        <w:tc>
          <w:tcPr>
            <w:tcW w:w="1300" w:type="dxa"/>
            <w:vAlign w:val="bottom"/>
          </w:tcPr>
          <w:p>
            <w:pPr>
              <w:jc w:val="center"/>
              <w:ind w:left="23"/>
              <w:spacing w:after="0"/>
              <w:rPr>
                <w:sz w:val="20"/>
                <w:szCs w:val="20"/>
                <w:color w:val="auto"/>
              </w:rPr>
            </w:pPr>
            <w:r>
              <w:rPr>
                <w:rFonts w:ascii="Calibri" w:cs="Calibri" w:eastAsia="Calibri" w:hAnsi="Calibri"/>
                <w:sz w:val="16"/>
                <w:szCs w:val="16"/>
                <w:color w:val="333333"/>
                <w:w w:val="98"/>
              </w:rPr>
              <w:t>886,654</w:t>
            </w:r>
          </w:p>
        </w:tc>
        <w:tc>
          <w:tcPr>
            <w:tcW w:w="1320" w:type="dxa"/>
            <w:vAlign w:val="bottom"/>
          </w:tcPr>
          <w:p>
            <w:pPr>
              <w:jc w:val="center"/>
              <w:ind w:left="23"/>
              <w:spacing w:after="0"/>
              <w:rPr>
                <w:sz w:val="20"/>
                <w:szCs w:val="20"/>
                <w:color w:val="auto"/>
              </w:rPr>
            </w:pPr>
            <w:r>
              <w:rPr>
                <w:rFonts w:ascii="Calibri" w:cs="Calibri" w:eastAsia="Calibri" w:hAnsi="Calibri"/>
                <w:sz w:val="16"/>
                <w:szCs w:val="16"/>
                <w:color w:val="333333"/>
                <w:w w:val="96"/>
              </w:rPr>
              <w:t>—</w:t>
            </w:r>
          </w:p>
        </w:tc>
        <w:tc>
          <w:tcPr>
            <w:tcW w:w="1320" w:type="dxa"/>
            <w:vAlign w:val="bottom"/>
          </w:tcPr>
          <w:p>
            <w:pPr>
              <w:jc w:val="center"/>
              <w:ind w:left="2"/>
              <w:spacing w:after="0"/>
              <w:rPr>
                <w:sz w:val="20"/>
                <w:szCs w:val="20"/>
                <w:color w:val="auto"/>
              </w:rPr>
            </w:pPr>
            <w:r>
              <w:rPr>
                <w:rFonts w:ascii="Calibri" w:cs="Calibri" w:eastAsia="Calibri" w:hAnsi="Calibri"/>
                <w:sz w:val="16"/>
                <w:szCs w:val="16"/>
                <w:color w:val="333333"/>
                <w:w w:val="98"/>
              </w:rPr>
              <w:t>16,632</w:t>
            </w:r>
          </w:p>
        </w:tc>
        <w:tc>
          <w:tcPr>
            <w:tcW w:w="960" w:type="dxa"/>
            <w:vAlign w:val="bottom"/>
          </w:tcPr>
          <w:p>
            <w:pPr>
              <w:jc w:val="center"/>
              <w:ind w:left="21"/>
              <w:spacing w:after="0"/>
              <w:rPr>
                <w:sz w:val="20"/>
                <w:szCs w:val="20"/>
                <w:color w:val="auto"/>
              </w:rPr>
            </w:pPr>
            <w:r>
              <w:rPr>
                <w:rFonts w:ascii="Calibri" w:cs="Calibri" w:eastAsia="Calibri" w:hAnsi="Calibri"/>
                <w:sz w:val="16"/>
                <w:szCs w:val="16"/>
                <w:color w:val="333333"/>
              </w:rPr>
              <w:t>2,303,159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w:t>
            </w:r>
            <w:r>
              <w:rPr>
                <w:rFonts w:ascii="Calibri" w:cs="Calibri" w:eastAsia="Calibri" w:hAnsi="Calibri"/>
                <w:sz w:val="16"/>
                <w:szCs w:val="16"/>
                <w:b w:val="1"/>
                <w:bCs w:val="1"/>
                <w:color w:val="0591DB"/>
              </w:rPr>
              <w:t>Brendan J. Keatng</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2025</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511,322</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rPr>
              <w:t>277,500</w:t>
            </w:r>
          </w:p>
        </w:tc>
        <w:tc>
          <w:tcPr>
            <w:tcW w:w="88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49,865</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
              <w:spacing w:after="0" w:line="193" w:lineRule="exact"/>
              <w:rPr>
                <w:sz w:val="20"/>
                <w:szCs w:val="20"/>
                <w:color w:val="auto"/>
              </w:rPr>
            </w:pPr>
            <w:r>
              <w:rPr>
                <w:rFonts w:ascii="Calibri" w:cs="Calibri" w:eastAsia="Calibri" w:hAnsi="Calibri"/>
                <w:sz w:val="16"/>
                <w:szCs w:val="16"/>
                <w:color w:val="333333"/>
                <w:w w:val="98"/>
              </w:rPr>
              <w:t>17,640</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rPr>
              <w:t>856,327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Chief Accountng</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2024</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w w:val="96"/>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80" w:type="dxa"/>
            <w:vAlign w:val="bottom"/>
            <w:tcBorders>
              <w:left w:val="single" w:sz="8" w:color="EFF2EF"/>
              <w:right w:val="single" w:sz="8" w:color="EFF2EF"/>
            </w:tcBorders>
            <w:gridSpan w:val="2"/>
            <w:shd w:val="clear" w:color="auto" w:fill="EFF2EF"/>
          </w:tcPr>
          <w:p>
            <w:pPr>
              <w:spacing w:after="0" w:line="193" w:lineRule="exact"/>
              <w:rPr>
                <w:sz w:val="20"/>
                <w:szCs w:val="20"/>
                <w:color w:val="auto"/>
              </w:rPr>
            </w:pPr>
            <w:r>
              <w:rPr>
                <w:rFonts w:ascii="Calibri" w:cs="Calibri" w:eastAsia="Calibri" w:hAnsi="Calibri"/>
                <w:sz w:val="16"/>
                <w:szCs w:val="16"/>
                <w:color w:val="333333"/>
              </w:rPr>
              <w:t> Ofcer</w:t>
            </w:r>
          </w:p>
        </w:tc>
        <w:tc>
          <w:tcPr>
            <w:tcW w:w="54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2023</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76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88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760" w:type="dxa"/>
            <w:vAlign w:val="bottom"/>
            <w:tcBorders>
              <w:right w:val="single" w:sz="8" w:color="EFF2EF"/>
            </w:tcBorders>
            <w:shd w:val="clear" w:color="auto" w:fill="EFF2EF"/>
          </w:tcPr>
          <w:p>
            <w:pPr>
              <w:jc w:val="center"/>
              <w:ind w:left="1"/>
              <w:spacing w:after="0" w:line="193" w:lineRule="exact"/>
              <w:rPr>
                <w:sz w:val="20"/>
                <w:szCs w:val="20"/>
                <w:color w:val="auto"/>
              </w:rPr>
            </w:pPr>
            <w:r>
              <w:rPr>
                <w:rFonts w:ascii="Calibri" w:cs="Calibri" w:eastAsia="Calibri" w:hAnsi="Calibri"/>
                <w:sz w:val="16"/>
                <w:szCs w:val="16"/>
                <w:color w:val="333333"/>
              </w:rPr>
              <w:t>—</w:t>
            </w:r>
          </w:p>
        </w:tc>
        <w:tc>
          <w:tcPr>
            <w:tcW w:w="1300" w:type="dxa"/>
            <w:vAlign w:val="bottom"/>
            <w:tcBorders>
              <w:right w:val="single" w:sz="8" w:color="EFF2EF"/>
            </w:tcBorders>
            <w:shd w:val="clear" w:color="auto" w:fill="EFF2EF"/>
          </w:tcPr>
          <w:p>
            <w:pPr>
              <w:jc w:val="center"/>
              <w:ind w:left="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ind w:left="23"/>
              <w:spacing w:after="0" w:line="193" w:lineRule="exact"/>
              <w:rPr>
                <w:sz w:val="20"/>
                <w:szCs w:val="20"/>
                <w:color w:val="auto"/>
              </w:rPr>
            </w:pPr>
            <w:r>
              <w:rPr>
                <w:rFonts w:ascii="Calibri" w:cs="Calibri" w:eastAsia="Calibri" w:hAnsi="Calibri"/>
                <w:sz w:val="16"/>
                <w:szCs w:val="16"/>
                <w:color w:val="333333"/>
                <w:w w:val="96"/>
              </w:rPr>
              <w:t>—</w:t>
            </w:r>
          </w:p>
        </w:tc>
        <w:tc>
          <w:tcPr>
            <w:tcW w:w="1320" w:type="dxa"/>
            <w:vAlign w:val="bottom"/>
            <w:tcBorders>
              <w:right w:val="single" w:sz="8" w:color="EFF2EF"/>
            </w:tcBorders>
            <w:shd w:val="clear" w:color="auto" w:fill="EFF2EF"/>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960" w:type="dxa"/>
            <w:vAlign w:val="bottom"/>
            <w:shd w:val="clear" w:color="auto" w:fill="EFF2EF"/>
          </w:tcPr>
          <w:p>
            <w:pPr>
              <w:jc w:val="center"/>
              <w:ind w:left="21"/>
              <w:spacing w:after="0" w:line="193" w:lineRule="exact"/>
              <w:rPr>
                <w:sz w:val="20"/>
                <w:szCs w:val="20"/>
                <w:color w:val="auto"/>
              </w:rPr>
            </w:pPr>
            <w:r>
              <w:rPr>
                <w:rFonts w:ascii="Calibri" w:cs="Calibri" w:eastAsia="Calibri" w:hAnsi="Calibri"/>
                <w:sz w:val="16"/>
                <w:szCs w:val="16"/>
                <w:color w:val="333333"/>
                <w:w w:val="96"/>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0" w:type="dxa"/>
            <w:vAlign w:val="bottom"/>
            <w:tcBorders>
              <w:left w:val="single" w:sz="8" w:color="EFF2EF"/>
            </w:tcBorders>
            <w:shd w:val="clear" w:color="auto" w:fill="EFF2EF"/>
          </w:tcPr>
          <w:p>
            <w:pPr>
              <w:spacing w:after="0"/>
              <w:rPr>
                <w:sz w:val="7"/>
                <w:szCs w:val="7"/>
                <w:color w:val="auto"/>
              </w:rPr>
            </w:pPr>
          </w:p>
        </w:tc>
        <w:tc>
          <w:tcPr>
            <w:tcW w:w="980" w:type="dxa"/>
            <w:vAlign w:val="bottom"/>
            <w:tcBorders>
              <w:right w:val="single" w:sz="8" w:color="EFF2EF"/>
            </w:tcBorders>
            <w:shd w:val="clear" w:color="auto" w:fill="EFF2EF"/>
          </w:tcPr>
          <w:p>
            <w:pPr>
              <w:spacing w:after="0"/>
              <w:rPr>
                <w:sz w:val="7"/>
                <w:szCs w:val="7"/>
                <w:color w:val="auto"/>
              </w:rPr>
            </w:pPr>
          </w:p>
        </w:tc>
        <w:tc>
          <w:tcPr>
            <w:tcW w:w="540" w:type="dxa"/>
            <w:vAlign w:val="bottom"/>
            <w:tcBorders>
              <w:right w:val="single" w:sz="8" w:color="EFF2EF"/>
            </w:tcBorders>
            <w:shd w:val="clear" w:color="auto" w:fill="EFF2EF"/>
          </w:tcPr>
          <w:p>
            <w:pPr>
              <w:spacing w:after="0"/>
              <w:rPr>
                <w:sz w:val="7"/>
                <w:szCs w:val="7"/>
                <w:color w:val="auto"/>
              </w:rPr>
            </w:pPr>
          </w:p>
        </w:tc>
        <w:tc>
          <w:tcPr>
            <w:tcW w:w="88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88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1300" w:type="dxa"/>
            <w:vAlign w:val="bottom"/>
            <w:tcBorders>
              <w:right w:val="single" w:sz="8" w:color="EFF2EF"/>
            </w:tcBorders>
            <w:shd w:val="clear" w:color="auto" w:fill="EFF2EF"/>
          </w:tcPr>
          <w:p>
            <w:pPr>
              <w:spacing w:after="0"/>
              <w:rPr>
                <w:sz w:val="7"/>
                <w:szCs w:val="7"/>
                <w:color w:val="auto"/>
              </w:rPr>
            </w:pPr>
          </w:p>
        </w:tc>
        <w:tc>
          <w:tcPr>
            <w:tcW w:w="1320" w:type="dxa"/>
            <w:vAlign w:val="bottom"/>
            <w:tcBorders>
              <w:right w:val="single" w:sz="8" w:color="EFF2EF"/>
            </w:tcBorders>
            <w:shd w:val="clear" w:color="auto" w:fill="EFF2EF"/>
          </w:tcPr>
          <w:p>
            <w:pPr>
              <w:spacing w:after="0"/>
              <w:rPr>
                <w:sz w:val="7"/>
                <w:szCs w:val="7"/>
                <w:color w:val="auto"/>
              </w:rPr>
            </w:pPr>
          </w:p>
        </w:tc>
        <w:tc>
          <w:tcPr>
            <w:tcW w:w="1320" w:type="dxa"/>
            <w:vAlign w:val="bottom"/>
            <w:tcBorders>
              <w:right w:val="single" w:sz="8" w:color="EFF2EF"/>
            </w:tcBorders>
            <w:shd w:val="clear" w:color="auto" w:fill="EFF2EF"/>
          </w:tcPr>
          <w:p>
            <w:pPr>
              <w:spacing w:after="0"/>
              <w:rPr>
                <w:sz w:val="7"/>
                <w:szCs w:val="7"/>
                <w:color w:val="auto"/>
              </w:rPr>
            </w:pPr>
          </w:p>
        </w:tc>
        <w:tc>
          <w:tcPr>
            <w:tcW w:w="960" w:type="dxa"/>
            <w:vAlign w:val="bottom"/>
            <w:shd w:val="clear" w:color="auto" w:fill="EFF2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tcBorders>
              <w:bottom w:val="single" w:sz="8" w:color="333333"/>
            </w:tcBorders>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0" w:hanging="433"/>
        <w:spacing w:after="0"/>
        <w:tabs>
          <w:tab w:leader="none" w:pos="600" w:val="left"/>
        </w:tabs>
        <w:numPr>
          <w:ilvl w:val="0"/>
          <w:numId w:val="100"/>
        </w:numPr>
        <w:rPr>
          <w:rFonts w:ascii="Calibri" w:cs="Calibri" w:eastAsia="Calibri" w:hAnsi="Calibri"/>
          <w:sz w:val="13"/>
          <w:szCs w:val="13"/>
          <w:color w:val="333333"/>
        </w:rPr>
      </w:pPr>
      <w:r>
        <w:rPr>
          <w:rFonts w:ascii="Calibri" w:cs="Calibri" w:eastAsia="Calibri" w:hAnsi="Calibri"/>
          <w:sz w:val="17"/>
          <w:szCs w:val="17"/>
          <w:color w:val="333333"/>
        </w:rPr>
        <w:t>All cash compensaton is presented in Columns (b), (c), (f) and (h).</w:t>
      </w:r>
    </w:p>
    <w:p>
      <w:pPr>
        <w:spacing w:after="0" w:line="117" w:lineRule="exact"/>
        <w:rPr>
          <w:rFonts w:ascii="Calibri" w:cs="Calibri" w:eastAsia="Calibri" w:hAnsi="Calibri"/>
          <w:sz w:val="13"/>
          <w:szCs w:val="13"/>
          <w:color w:val="333333"/>
        </w:rPr>
      </w:pPr>
    </w:p>
    <w:p>
      <w:pPr>
        <w:ind w:left="600" w:right="160" w:hanging="433"/>
        <w:spacing w:after="0" w:line="232" w:lineRule="auto"/>
        <w:tabs>
          <w:tab w:leader="none" w:pos="600" w:val="left"/>
        </w:tabs>
        <w:numPr>
          <w:ilvl w:val="0"/>
          <w:numId w:val="100"/>
        </w:numPr>
        <w:rPr>
          <w:rFonts w:ascii="Calibri" w:cs="Calibri" w:eastAsia="Calibri" w:hAnsi="Calibri"/>
          <w:sz w:val="13"/>
          <w:szCs w:val="13"/>
          <w:color w:val="333333"/>
        </w:rPr>
      </w:pPr>
      <w:r>
        <w:rPr>
          <w:rFonts w:ascii="Calibri" w:cs="Calibri" w:eastAsia="Calibri" w:hAnsi="Calibri"/>
          <w:sz w:val="17"/>
          <w:szCs w:val="17"/>
          <w:color w:val="333333"/>
        </w:rPr>
        <w:t>The aggregate grant date fair market values of the tme-based RSUs (to our CEO) and tme-based RSAs (to our other partcipatng NEOs) reported in Column (d) as 2025 LTIP or, in the case of Mr. Keatng, tme-based RSUs, have been computed in accordance with FASB Topic 718, Compensaton — Stock Compensaton. For a discussion of the assumptons and methodologies used to value the tme-based RSUs and tme-based RSAs, see “Part II, Item 8, Financial Statements and Supplementary Data — Notes to Consolidated Financial Statements — Note 1 — Descripton of Business and Summary of Signifcant Accountng Policies — Share-Based Compensaton” and “Part II, Item 8, Financial Statements and Supplementary Data — Notes to Consolidated Financial Statements — Note 7 — Share-Based Compensaton” of the Company’s 2025 Form 10-K. All tme-based RSUs and tme-based RSAs awarded as 2025 LTIP are subject to tme-based pro rata annual vestng over three years beginning with the</w:t>
      </w:r>
    </w:p>
    <w:p>
      <w:pPr>
        <w:spacing w:after="0" w:line="14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85</w:t>
      </w:r>
    </w:p>
    <w:p>
      <w:pPr>
        <w:sectPr>
          <w:pgSz w:w="11900" w:h="16838" w:orient="portrait"/>
          <w:cols w:equalWidth="0" w:num="1">
            <w:col w:w="11100"/>
          </w:cols>
          <w:pgMar w:left="320" w:top="478"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600" w:right="40"/>
        <w:spacing w:after="0" w:line="232" w:lineRule="auto"/>
        <w:rPr>
          <w:sz w:val="20"/>
          <w:szCs w:val="20"/>
          <w:color w:val="auto"/>
        </w:rPr>
      </w:pPr>
      <w:r>
        <w:rPr>
          <w:rFonts w:ascii="Calibri" w:cs="Calibri" w:eastAsia="Calibri" w:hAnsi="Calibri"/>
          <w:sz w:val="17"/>
          <w:szCs w:val="17"/>
          <w:color w:val="333333"/>
        </w:rPr>
        <w:t xml:space="preserve">frst anniversary of the grant date. Mr. Keatng’s RSU and PSU awards vest over two years beginning with the frst anniversary of the grant date. Mr. Linton and Mr. Lu additonally received a $1,000,000 and $2,000,000 discretonary restricted stock award, respectvely, on December 19, 2025, that vest on a pro rata basis in four years, such that all unvested RSAs will be fully vested as of December 19, 2029. For additonal informaton, see the secton of this Proxy Statement captoned “Informaton About Our Executve Ofcers And Compensaton — Equity Compensaton Plans— Grants Of Plan-Based Awards For Fiscal Year Ended December 31, 2025” beginning on </w:t>
      </w:r>
      <w:r>
        <w:rPr>
          <w:rFonts w:ascii="Calibri" w:cs="Calibri" w:eastAsia="Calibri" w:hAnsi="Calibri"/>
          <w:sz w:val="17"/>
          <w:szCs w:val="17"/>
          <w:color w:val="0591DB"/>
        </w:rPr>
        <w:t>page 88</w:t>
      </w:r>
      <w:r>
        <w:rPr>
          <w:rFonts w:ascii="Calibri" w:cs="Calibri" w:eastAsia="Calibri" w:hAnsi="Calibri"/>
          <w:sz w:val="17"/>
          <w:szCs w:val="17"/>
          <w:color w:val="333333"/>
        </w:rPr>
        <w:t xml:space="preserve"> of this Proxy Statement. The following table sets forth the grant date dollar values of the tme-based RSUs and tme-based RSAs granted in 2025:</w:t>
      </w:r>
    </w:p>
    <w:p>
      <w:pPr>
        <w:spacing w:after="0" w:line="128" w:lineRule="exact"/>
        <w:rPr>
          <w:sz w:val="20"/>
          <w:szCs w:val="20"/>
          <w:color w:val="auto"/>
        </w:rPr>
      </w:pPr>
    </w:p>
    <w:tbl>
      <w:tblPr>
        <w:tblLayout w:type="fixed"/>
        <w:tblInd w:w="10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5920" w:type="dxa"/>
            <w:vAlign w:val="bottom"/>
            <w:tcBorders>
              <w:top w:val="single" w:sz="8" w:color="0591DB"/>
              <w:left w:val="single" w:sz="8" w:color="0591DB"/>
              <w:bottom w:val="single" w:sz="8" w:color="0591DB"/>
              <w:right w:val="single" w:sz="8" w:color="0591DB"/>
            </w:tcBorders>
          </w:tcPr>
          <w:p>
            <w:pPr>
              <w:ind w:left="140"/>
              <w:spacing w:after="0"/>
              <w:rPr>
                <w:sz w:val="20"/>
                <w:szCs w:val="20"/>
                <w:color w:val="auto"/>
              </w:rPr>
            </w:pPr>
            <w:r>
              <w:rPr>
                <w:rFonts w:ascii="Calibri" w:cs="Calibri" w:eastAsia="Calibri" w:hAnsi="Calibri"/>
                <w:sz w:val="21"/>
                <w:szCs w:val="21"/>
                <w:b w:val="1"/>
                <w:bCs w:val="1"/>
                <w:color w:val="0591DB"/>
              </w:rPr>
              <w:t> NAME</w:t>
            </w:r>
          </w:p>
        </w:tc>
        <w:tc>
          <w:tcPr>
            <w:tcW w:w="3240" w:type="dxa"/>
            <w:vAlign w:val="bottom"/>
            <w:tcBorders>
              <w:top w:val="single" w:sz="8" w:color="0591DB"/>
              <w:bottom w:val="single" w:sz="8" w:color="0591DB"/>
            </w:tcBorders>
          </w:tcPr>
          <w:p>
            <w:pPr>
              <w:ind w:left="1360"/>
              <w:spacing w:after="0"/>
              <w:rPr>
                <w:sz w:val="20"/>
                <w:szCs w:val="20"/>
                <w:color w:val="auto"/>
              </w:rPr>
            </w:pPr>
            <w:r>
              <w:rPr>
                <w:rFonts w:ascii="Calibri" w:cs="Calibri" w:eastAsia="Calibri" w:hAnsi="Calibri"/>
                <w:sz w:val="21"/>
                <w:szCs w:val="21"/>
                <w:b w:val="1"/>
                <w:bCs w:val="1"/>
                <w:color w:val="0591DB"/>
                <w:w w:val="96"/>
              </w:rPr>
              <w:t>TIME-BASED AWARDS</w:t>
            </w:r>
          </w:p>
        </w:tc>
        <w:tc>
          <w:tcPr>
            <w:tcW w:w="20" w:type="dxa"/>
            <w:vAlign w:val="bottom"/>
            <w:tcBorders>
              <w:top w:val="single" w:sz="8" w:color="0591DB"/>
              <w:bottom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20" w:type="dxa"/>
            <w:vAlign w:val="bottom"/>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Steven H. Gunby</w:t>
            </w:r>
          </w:p>
        </w:tc>
        <w:tc>
          <w:tcPr>
            <w:tcW w:w="3240" w:type="dxa"/>
            <w:vAlign w:val="bottom"/>
          </w:tcPr>
          <w:p>
            <w:pPr>
              <w:jc w:val="center"/>
              <w:ind w:left="1269"/>
              <w:spacing w:after="0" w:line="214" w:lineRule="exact"/>
              <w:rPr>
                <w:sz w:val="20"/>
                <w:szCs w:val="20"/>
                <w:color w:val="auto"/>
              </w:rPr>
            </w:pPr>
            <w:r>
              <w:rPr>
                <w:rFonts w:ascii="Calibri" w:cs="Calibri" w:eastAsia="Calibri" w:hAnsi="Calibri"/>
                <w:sz w:val="18"/>
                <w:szCs w:val="18"/>
                <w:color w:val="333333"/>
                <w:w w:val="97"/>
              </w:rPr>
              <w:t>$2,333,189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9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20" w:type="dxa"/>
            <w:vAlign w:val="bottom"/>
            <w:tcBorders>
              <w:left w:val="single" w:sz="8" w:color="EFF2EF"/>
              <w:right w:val="single" w:sz="8" w:color="EFF2EF"/>
            </w:tcBorders>
            <w:shd w:val="clear" w:color="auto" w:fill="EFF2EF"/>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Paul Linton</w:t>
            </w:r>
          </w:p>
        </w:tc>
        <w:tc>
          <w:tcPr>
            <w:tcW w:w="3240" w:type="dxa"/>
            <w:vAlign w:val="bottom"/>
            <w:shd w:val="clear" w:color="auto" w:fill="EFF2EF"/>
          </w:tcPr>
          <w:p>
            <w:pPr>
              <w:jc w:val="center"/>
              <w:ind w:left="1269"/>
              <w:spacing w:after="0" w:line="214" w:lineRule="exact"/>
              <w:rPr>
                <w:sz w:val="20"/>
                <w:szCs w:val="20"/>
                <w:color w:val="auto"/>
              </w:rPr>
            </w:pPr>
            <w:r>
              <w:rPr>
                <w:rFonts w:ascii="Calibri" w:cs="Calibri" w:eastAsia="Calibri" w:hAnsi="Calibri"/>
                <w:sz w:val="18"/>
                <w:szCs w:val="18"/>
                <w:color w:val="333333"/>
                <w:w w:val="97"/>
              </w:rPr>
              <w:t>$1,349,901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920" w:type="dxa"/>
            <w:vAlign w:val="bottom"/>
            <w:tcBorders>
              <w:left w:val="single" w:sz="8" w:color="EFF2EF"/>
              <w:right w:val="single" w:sz="8" w:color="EFF2EF"/>
            </w:tcBorders>
            <w:shd w:val="clear" w:color="auto" w:fill="EFF2EF"/>
          </w:tcPr>
          <w:p>
            <w:pPr>
              <w:spacing w:after="0"/>
              <w:rPr>
                <w:sz w:val="5"/>
                <w:szCs w:val="5"/>
                <w:color w:val="auto"/>
              </w:rPr>
            </w:pPr>
          </w:p>
        </w:tc>
        <w:tc>
          <w:tcPr>
            <w:tcW w:w="324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20" w:type="dxa"/>
            <w:vAlign w:val="bottom"/>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Ajay Sabherwal</w:t>
            </w:r>
          </w:p>
        </w:tc>
        <w:tc>
          <w:tcPr>
            <w:tcW w:w="3240" w:type="dxa"/>
            <w:vAlign w:val="bottom"/>
          </w:tcPr>
          <w:p>
            <w:pPr>
              <w:jc w:val="center"/>
              <w:ind w:left="1249"/>
              <w:spacing w:after="0" w:line="214" w:lineRule="exact"/>
              <w:rPr>
                <w:sz w:val="20"/>
                <w:szCs w:val="20"/>
                <w:color w:val="auto"/>
              </w:rPr>
            </w:pPr>
            <w:r>
              <w:rPr>
                <w:rFonts w:ascii="Calibri" w:cs="Calibri" w:eastAsia="Calibri" w:hAnsi="Calibri"/>
                <w:sz w:val="18"/>
                <w:szCs w:val="18"/>
                <w:color w:val="333333"/>
                <w:w w:val="96"/>
              </w:rPr>
              <w:t>$349,978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9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20" w:type="dxa"/>
            <w:vAlign w:val="bottom"/>
            <w:tcBorders>
              <w:left w:val="single" w:sz="8" w:color="EFF2EF"/>
              <w:right w:val="single" w:sz="8" w:color="EFF2EF"/>
            </w:tcBorders>
            <w:shd w:val="clear" w:color="auto" w:fill="EFF2EF"/>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Curts P. Lu</w:t>
            </w:r>
          </w:p>
        </w:tc>
        <w:tc>
          <w:tcPr>
            <w:tcW w:w="3240" w:type="dxa"/>
            <w:vAlign w:val="bottom"/>
            <w:shd w:val="clear" w:color="auto" w:fill="EFF2EF"/>
          </w:tcPr>
          <w:p>
            <w:pPr>
              <w:jc w:val="center"/>
              <w:ind w:left="1269"/>
              <w:spacing w:after="0" w:line="214" w:lineRule="exact"/>
              <w:rPr>
                <w:sz w:val="20"/>
                <w:szCs w:val="20"/>
                <w:color w:val="auto"/>
              </w:rPr>
            </w:pPr>
            <w:r>
              <w:rPr>
                <w:rFonts w:ascii="Calibri" w:cs="Calibri" w:eastAsia="Calibri" w:hAnsi="Calibri"/>
                <w:sz w:val="18"/>
                <w:szCs w:val="18"/>
                <w:color w:val="333333"/>
                <w:w w:val="97"/>
              </w:rPr>
              <w:t>$2,349,823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920" w:type="dxa"/>
            <w:vAlign w:val="bottom"/>
            <w:tcBorders>
              <w:left w:val="single" w:sz="8" w:color="EFF2EF"/>
              <w:right w:val="single" w:sz="8" w:color="EFF2EF"/>
            </w:tcBorders>
            <w:shd w:val="clear" w:color="auto" w:fill="EFF2EF"/>
          </w:tcPr>
          <w:p>
            <w:pPr>
              <w:spacing w:after="0"/>
              <w:rPr>
                <w:sz w:val="5"/>
                <w:szCs w:val="5"/>
                <w:color w:val="auto"/>
              </w:rPr>
            </w:pPr>
          </w:p>
        </w:tc>
        <w:tc>
          <w:tcPr>
            <w:tcW w:w="324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20" w:type="dxa"/>
            <w:vAlign w:val="bottom"/>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Holly Paul</w:t>
            </w:r>
          </w:p>
        </w:tc>
        <w:tc>
          <w:tcPr>
            <w:tcW w:w="3240" w:type="dxa"/>
            <w:vAlign w:val="bottom"/>
          </w:tcPr>
          <w:p>
            <w:pPr>
              <w:jc w:val="center"/>
              <w:ind w:left="1249"/>
              <w:spacing w:after="0" w:line="214" w:lineRule="exact"/>
              <w:rPr>
                <w:sz w:val="20"/>
                <w:szCs w:val="20"/>
                <w:color w:val="auto"/>
              </w:rPr>
            </w:pPr>
            <w:r>
              <w:rPr>
                <w:rFonts w:ascii="Calibri" w:cs="Calibri" w:eastAsia="Calibri" w:hAnsi="Calibri"/>
                <w:sz w:val="18"/>
                <w:szCs w:val="18"/>
                <w:color w:val="333333"/>
                <w:w w:val="96"/>
              </w:rPr>
              <w:t>$174,904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9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20" w:type="dxa"/>
            <w:vAlign w:val="bottom"/>
            <w:tcBorders>
              <w:left w:val="single" w:sz="8" w:color="EFF2EF"/>
              <w:right w:val="single" w:sz="8" w:color="EFF2EF"/>
            </w:tcBorders>
            <w:shd w:val="clear" w:color="auto" w:fill="EFF2EF"/>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Brendan J. Keatng</w:t>
            </w:r>
          </w:p>
        </w:tc>
        <w:tc>
          <w:tcPr>
            <w:tcW w:w="3240" w:type="dxa"/>
            <w:vAlign w:val="bottom"/>
            <w:shd w:val="clear" w:color="auto" w:fill="EFF2EF"/>
          </w:tcPr>
          <w:p>
            <w:pPr>
              <w:jc w:val="center"/>
              <w:ind w:left="1249"/>
              <w:spacing w:after="0" w:line="214" w:lineRule="exact"/>
              <w:rPr>
                <w:sz w:val="20"/>
                <w:szCs w:val="20"/>
                <w:color w:val="auto"/>
              </w:rPr>
            </w:pPr>
            <w:r>
              <w:rPr>
                <w:rFonts w:ascii="Calibri" w:cs="Calibri" w:eastAsia="Calibri" w:hAnsi="Calibri"/>
                <w:sz w:val="18"/>
                <w:szCs w:val="18"/>
                <w:color w:val="333333"/>
                <w:w w:val="97"/>
              </w:rPr>
              <w:t>$24,962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920" w:type="dxa"/>
            <w:vAlign w:val="bottom"/>
            <w:tcBorders>
              <w:left w:val="single" w:sz="8" w:color="EFF2EF"/>
              <w:right w:val="single" w:sz="8" w:color="EFF2EF"/>
            </w:tcBorders>
            <w:shd w:val="clear" w:color="auto" w:fill="EFF2EF"/>
          </w:tcPr>
          <w:p>
            <w:pPr>
              <w:spacing w:after="0"/>
              <w:rPr>
                <w:sz w:val="5"/>
                <w:szCs w:val="5"/>
                <w:color w:val="auto"/>
              </w:rPr>
            </w:pPr>
          </w:p>
        </w:tc>
        <w:tc>
          <w:tcPr>
            <w:tcW w:w="324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433"/>
        <w:spacing w:after="0" w:line="232" w:lineRule="auto"/>
        <w:tabs>
          <w:tab w:leader="none" w:pos="600" w:val="left"/>
        </w:tabs>
        <w:numPr>
          <w:ilvl w:val="0"/>
          <w:numId w:val="101"/>
        </w:numPr>
        <w:rPr>
          <w:rFonts w:ascii="Calibri" w:cs="Calibri" w:eastAsia="Calibri" w:hAnsi="Calibri"/>
          <w:sz w:val="13"/>
          <w:szCs w:val="13"/>
          <w:color w:val="333333"/>
        </w:rPr>
      </w:pPr>
      <w:r>
        <w:rPr>
          <w:rFonts w:ascii="Calibri" w:cs="Calibri" w:eastAsia="Calibri" w:hAnsi="Calibri"/>
          <w:sz w:val="17"/>
          <w:szCs w:val="17"/>
          <w:color w:val="333333"/>
        </w:rPr>
        <w:t xml:space="preserve">The Performance RSUs reported in Column (d) for 2025 include the target aggregate values of the Performance RSUs awarded to each NEO in 2025, based upon the probable outcome of the performance conditon based on FTI Consultng’s Relatve TSR, consistent with the estmate of aggregate compensaton costs to be recognized over the service period, excluding the efect of estmated forfeitures. Performance RSUs awarded as 2025 LTIP measure performance based on Relatve TSR over three years from January 1, 2025 through December 31, 2027 for all NEOs, except for Mr. Keatng, whose awards measure performance based on Relatve TSR over two years beginning January 1, 2025. The fair value per unit of the Performance RSUs has been calculated using a Monte Carlo simulaton method in accordance with FASB Topic 718 for equity awards with market-based conditons, which assesses probabilites of various outcomes of the performance market conditon(s). The NEOs’ Performance RSUs have been valued using the grant date fair market value of $169.81 per share (the closing price per share reported on the NYSE for the grant date of March 5, 2025) as one of the inital inputs. The resultng fair value per Performance RSU granted to (i) our CEO was $156.57, (ii) Messrs. Linton, Sabherwal and Lu and Ms. Paul was $160.65, and (iii) Mr. Keatng was $148.23. These values were used to calculate the number of Performance RSUs awarded to our CEO and other NEOs, respectvely. For a discussion of the assumptons and methodologies used to value such awards, see “Part II, Item 8, Financial Statements and Supplementary Data — Notes to Consolidated Financial Statements — Note 1 — Descripton of Business and Summary of Signifcant Accountng Policies — Share-Based Compensaton” and “Part II, Item 8, Financial Statements and Supplementary Data — Notes to Consolidated Financial Statements — Note 7 — Share-Based Compensaton” of the Company’s 2025 Form 10-K. For additonal informaton, see the secton of this Proxy Statement captoned “Informaton About Our Executve Ofcers And Compensaton — Equity Compensaton Plans — Grants Of Plan-Based Awards For Fiscal Year Ended December 31, 2025” beginning on </w:t>
      </w:r>
      <w:r>
        <w:rPr>
          <w:rFonts w:ascii="Calibri" w:cs="Calibri" w:eastAsia="Calibri" w:hAnsi="Calibri"/>
          <w:sz w:val="17"/>
          <w:szCs w:val="17"/>
          <w:color w:val="0591DB"/>
        </w:rPr>
        <w:t>page 88</w:t>
      </w:r>
      <w:r>
        <w:rPr>
          <w:rFonts w:ascii="Calibri" w:cs="Calibri" w:eastAsia="Calibri" w:hAnsi="Calibri"/>
          <w:sz w:val="17"/>
          <w:szCs w:val="17"/>
          <w:color w:val="333333"/>
        </w:rPr>
        <w:t xml:space="preserve"> of this Proxy Statement.</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86</w:t>
      </w:r>
    </w:p>
    <w:p>
      <w:pPr>
        <w:sectPr>
          <w:pgSz w:w="11900" w:h="16838" w:orient="portrait"/>
          <w:cols w:equalWidth="0" w:num="1">
            <w:col w:w="11060"/>
          </w:cols>
          <w:pgMar w:left="320" w:top="478"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following table sets forth the Performance RSUs granted to our CEO and other NEOs at target and maximum grant date dollar values:</w:t>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600" w:type="dxa"/>
            <w:vAlign w:val="bottom"/>
            <w:tcBorders>
              <w:top w:val="single" w:sz="8" w:color="0591DB"/>
              <w:left w:val="single" w:sz="8" w:color="0591DB"/>
              <w:right w:val="single" w:sz="8" w:color="0591DB"/>
            </w:tcBorders>
          </w:tcPr>
          <w:p>
            <w:pPr>
              <w:spacing w:after="0"/>
              <w:rPr>
                <w:sz w:val="19"/>
                <w:szCs w:val="19"/>
                <w:color w:val="auto"/>
              </w:rPr>
            </w:pPr>
          </w:p>
        </w:tc>
        <w:tc>
          <w:tcPr>
            <w:tcW w:w="3380" w:type="dxa"/>
            <w:vAlign w:val="bottom"/>
            <w:tcBorders>
              <w:top w:val="single" w:sz="8" w:color="0591DB"/>
              <w:right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4"/>
              </w:rPr>
              <w:t>TARGET PERFORMANCE</w:t>
            </w:r>
          </w:p>
        </w:tc>
        <w:tc>
          <w:tcPr>
            <w:tcW w:w="3920" w:type="dxa"/>
            <w:vAlign w:val="bottom"/>
            <w:tcBorders>
              <w:top w:val="single" w:sz="8" w:color="0591DB"/>
            </w:tcBorders>
          </w:tcPr>
          <w:p>
            <w:pPr>
              <w:jc w:val="center"/>
              <w:spacing w:after="0" w:line="221" w:lineRule="exact"/>
              <w:rPr>
                <w:sz w:val="20"/>
                <w:szCs w:val="20"/>
                <w:color w:val="auto"/>
              </w:rPr>
            </w:pPr>
            <w:r>
              <w:rPr>
                <w:rFonts w:ascii="Calibri" w:cs="Calibri" w:eastAsia="Calibri" w:hAnsi="Calibri"/>
                <w:sz w:val="21"/>
                <w:szCs w:val="21"/>
                <w:b w:val="1"/>
                <w:bCs w:val="1"/>
                <w:color w:val="0591DB"/>
                <w:w w:val="95"/>
              </w:rPr>
              <w:t>MAXIMUM PERFORMANCE</w:t>
            </w: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Borders>
              <w:left w:val="single" w:sz="8" w:color="0591DB"/>
              <w:right w:val="single" w:sz="8" w:color="0591DB"/>
            </w:tcBorders>
          </w:tcPr>
          <w:p>
            <w:pPr>
              <w:ind w:left="140"/>
              <w:spacing w:after="0"/>
              <w:rPr>
                <w:sz w:val="20"/>
                <w:szCs w:val="20"/>
                <w:color w:val="auto"/>
              </w:rPr>
            </w:pPr>
            <w:r>
              <w:rPr>
                <w:rFonts w:ascii="Calibri" w:cs="Calibri" w:eastAsia="Calibri" w:hAnsi="Calibri"/>
                <w:sz w:val="21"/>
                <w:szCs w:val="21"/>
                <w:b w:val="1"/>
                <w:bCs w:val="1"/>
                <w:color w:val="0591DB"/>
              </w:rPr>
              <w:t> NAME</w:t>
            </w:r>
          </w:p>
        </w:tc>
        <w:tc>
          <w:tcPr>
            <w:tcW w:w="3380" w:type="dxa"/>
            <w:vAlign w:val="bottom"/>
            <w:tcBorders>
              <w:right w:val="single" w:sz="8" w:color="0591DB"/>
            </w:tcBorders>
          </w:tcPr>
          <w:p>
            <w:pPr>
              <w:jc w:val="center"/>
              <w:ind w:left="8"/>
              <w:spacing w:after="0" w:line="244" w:lineRule="exact"/>
              <w:rPr>
                <w:sz w:val="20"/>
                <w:szCs w:val="20"/>
                <w:color w:val="auto"/>
              </w:rPr>
            </w:pPr>
            <w:r>
              <w:rPr>
                <w:rFonts w:ascii="Calibri" w:cs="Calibri" w:eastAsia="Calibri" w:hAnsi="Calibri"/>
                <w:sz w:val="21"/>
                <w:szCs w:val="21"/>
                <w:b w:val="1"/>
                <w:bCs w:val="1"/>
                <w:color w:val="0591DB"/>
                <w:w w:val="92"/>
              </w:rPr>
              <w:t>RSU VALUES</w:t>
            </w:r>
          </w:p>
        </w:tc>
        <w:tc>
          <w:tcPr>
            <w:tcW w:w="3920" w:type="dxa"/>
            <w:vAlign w:val="bottom"/>
          </w:tcPr>
          <w:p>
            <w:pPr>
              <w:jc w:val="center"/>
              <w:spacing w:after="0" w:line="244" w:lineRule="exact"/>
              <w:rPr>
                <w:sz w:val="20"/>
                <w:szCs w:val="20"/>
                <w:color w:val="auto"/>
              </w:rPr>
            </w:pPr>
            <w:r>
              <w:rPr>
                <w:rFonts w:ascii="Calibri" w:cs="Calibri" w:eastAsia="Calibri" w:hAnsi="Calibri"/>
                <w:sz w:val="21"/>
                <w:szCs w:val="21"/>
                <w:b w:val="1"/>
                <w:bCs w:val="1"/>
                <w:color w:val="0591DB"/>
                <w:w w:val="92"/>
              </w:rPr>
              <w:t>RSU VALUES</w:t>
            </w:r>
          </w:p>
        </w:tc>
        <w:tc>
          <w:tcPr>
            <w:tcW w:w="20" w:type="dxa"/>
            <w:vAlign w:val="bottom"/>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600" w:type="dxa"/>
            <w:vAlign w:val="bottom"/>
            <w:tcBorders>
              <w:left w:val="single" w:sz="8" w:color="0591DB"/>
              <w:bottom w:val="single" w:sz="8" w:color="0591DB"/>
              <w:right w:val="single" w:sz="8" w:color="0591DB"/>
            </w:tcBorders>
          </w:tcPr>
          <w:p>
            <w:pPr>
              <w:spacing w:after="0"/>
              <w:rPr>
                <w:sz w:val="8"/>
                <w:szCs w:val="8"/>
                <w:color w:val="auto"/>
              </w:rPr>
            </w:pPr>
          </w:p>
        </w:tc>
        <w:tc>
          <w:tcPr>
            <w:tcW w:w="3380" w:type="dxa"/>
            <w:vAlign w:val="bottom"/>
            <w:tcBorders>
              <w:bottom w:val="single" w:sz="8" w:color="0591DB"/>
              <w:right w:val="single" w:sz="8" w:color="0591DB"/>
            </w:tcBorders>
          </w:tcPr>
          <w:p>
            <w:pPr>
              <w:spacing w:after="0"/>
              <w:rPr>
                <w:sz w:val="8"/>
                <w:szCs w:val="8"/>
                <w:color w:val="auto"/>
              </w:rPr>
            </w:pPr>
          </w:p>
        </w:tc>
        <w:tc>
          <w:tcPr>
            <w:tcW w:w="392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00" w:type="dxa"/>
            <w:vAlign w:val="bottom"/>
          </w:tcPr>
          <w:p>
            <w:pPr>
              <w:spacing w:after="0" w:line="207"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Steven H. Gunby</w:t>
            </w:r>
          </w:p>
        </w:tc>
        <w:tc>
          <w:tcPr>
            <w:tcW w:w="3380" w:type="dxa"/>
            <w:vAlign w:val="bottom"/>
          </w:tcPr>
          <w:p>
            <w:pPr>
              <w:jc w:val="center"/>
              <w:ind w:left="8"/>
              <w:spacing w:after="0" w:line="207" w:lineRule="exact"/>
              <w:rPr>
                <w:sz w:val="20"/>
                <w:szCs w:val="20"/>
                <w:color w:val="auto"/>
              </w:rPr>
            </w:pPr>
            <w:r>
              <w:rPr>
                <w:rFonts w:ascii="Calibri" w:cs="Calibri" w:eastAsia="Calibri" w:hAnsi="Calibri"/>
                <w:sz w:val="18"/>
                <w:szCs w:val="18"/>
                <w:color w:val="333333"/>
                <w:w w:val="97"/>
              </w:rPr>
              <w:t>$4,666,569</w:t>
            </w:r>
          </w:p>
        </w:tc>
        <w:tc>
          <w:tcPr>
            <w:tcW w:w="3920" w:type="dxa"/>
            <w:vAlign w:val="bottom"/>
          </w:tcPr>
          <w:p>
            <w:pPr>
              <w:jc w:val="center"/>
              <w:ind w:left="28"/>
              <w:spacing w:after="0" w:line="207" w:lineRule="exact"/>
              <w:rPr>
                <w:sz w:val="20"/>
                <w:szCs w:val="20"/>
                <w:color w:val="auto"/>
              </w:rPr>
            </w:pPr>
            <w:r>
              <w:rPr>
                <w:rFonts w:ascii="Calibri" w:cs="Calibri" w:eastAsia="Calibri" w:hAnsi="Calibri"/>
                <w:sz w:val="18"/>
                <w:szCs w:val="18"/>
                <w:color w:val="333333"/>
                <w:w w:val="97"/>
              </w:rPr>
              <w:t>$6,999,775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6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00" w:type="dxa"/>
            <w:vAlign w:val="bottom"/>
            <w:tcBorders>
              <w:left w:val="single" w:sz="8" w:color="EFF2EF"/>
              <w:right w:val="single" w:sz="8" w:color="EFF2EF"/>
            </w:tcBorders>
            <w:shd w:val="clear" w:color="auto" w:fill="EFF2EF"/>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Paul Linton</w:t>
            </w:r>
          </w:p>
        </w:tc>
        <w:tc>
          <w:tcPr>
            <w:tcW w:w="3380" w:type="dxa"/>
            <w:vAlign w:val="bottom"/>
            <w:tcBorders>
              <w:right w:val="single" w:sz="8" w:color="EFF2EF"/>
            </w:tcBorders>
            <w:shd w:val="clear" w:color="auto" w:fill="EFF2EF"/>
          </w:tcPr>
          <w:p>
            <w:pPr>
              <w:jc w:val="center"/>
              <w:spacing w:after="0" w:line="214" w:lineRule="exact"/>
              <w:rPr>
                <w:sz w:val="20"/>
                <w:szCs w:val="20"/>
                <w:color w:val="auto"/>
              </w:rPr>
            </w:pPr>
            <w:r>
              <w:rPr>
                <w:rFonts w:ascii="Calibri" w:cs="Calibri" w:eastAsia="Calibri" w:hAnsi="Calibri"/>
                <w:sz w:val="18"/>
                <w:szCs w:val="18"/>
                <w:color w:val="333333"/>
                <w:w w:val="96"/>
              </w:rPr>
              <w:t>$524,844</w:t>
            </w:r>
          </w:p>
        </w:tc>
        <w:tc>
          <w:tcPr>
            <w:tcW w:w="3920" w:type="dxa"/>
            <w:vAlign w:val="bottom"/>
            <w:shd w:val="clear" w:color="auto" w:fill="EFF2EF"/>
          </w:tcPr>
          <w:p>
            <w:pPr>
              <w:jc w:val="center"/>
              <w:ind w:left="8"/>
              <w:spacing w:after="0" w:line="214" w:lineRule="exact"/>
              <w:rPr>
                <w:sz w:val="20"/>
                <w:szCs w:val="20"/>
                <w:color w:val="auto"/>
              </w:rPr>
            </w:pPr>
            <w:r>
              <w:rPr>
                <w:rFonts w:ascii="Calibri" w:cs="Calibri" w:eastAsia="Calibri" w:hAnsi="Calibri"/>
                <w:sz w:val="18"/>
                <w:szCs w:val="18"/>
                <w:color w:val="333333"/>
                <w:w w:val="96"/>
              </w:rPr>
              <w:t>$787,185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600" w:type="dxa"/>
            <w:vAlign w:val="bottom"/>
            <w:tcBorders>
              <w:left w:val="single" w:sz="8" w:color="EFF2EF"/>
              <w:right w:val="single" w:sz="8" w:color="EFF2EF"/>
            </w:tcBorders>
            <w:shd w:val="clear" w:color="auto" w:fill="EFF2EF"/>
          </w:tcPr>
          <w:p>
            <w:pPr>
              <w:spacing w:after="0"/>
              <w:rPr>
                <w:sz w:val="5"/>
                <w:szCs w:val="5"/>
                <w:color w:val="auto"/>
              </w:rPr>
            </w:pPr>
          </w:p>
        </w:tc>
        <w:tc>
          <w:tcPr>
            <w:tcW w:w="3380" w:type="dxa"/>
            <w:vAlign w:val="bottom"/>
            <w:tcBorders>
              <w:right w:val="single" w:sz="8" w:color="EFF2EF"/>
            </w:tcBorders>
            <w:shd w:val="clear" w:color="auto" w:fill="EFF2EF"/>
          </w:tcPr>
          <w:p>
            <w:pPr>
              <w:spacing w:after="0"/>
              <w:rPr>
                <w:sz w:val="5"/>
                <w:szCs w:val="5"/>
                <w:color w:val="auto"/>
              </w:rPr>
            </w:pPr>
          </w:p>
        </w:tc>
        <w:tc>
          <w:tcPr>
            <w:tcW w:w="39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00" w:type="dxa"/>
            <w:vAlign w:val="bottom"/>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Ajay Sabherwal</w:t>
            </w:r>
          </w:p>
        </w:tc>
        <w:tc>
          <w:tcPr>
            <w:tcW w:w="3380" w:type="dxa"/>
            <w:vAlign w:val="bottom"/>
          </w:tcPr>
          <w:p>
            <w:pPr>
              <w:jc w:val="center"/>
              <w:spacing w:after="0" w:line="214" w:lineRule="exact"/>
              <w:rPr>
                <w:sz w:val="20"/>
                <w:szCs w:val="20"/>
                <w:color w:val="auto"/>
              </w:rPr>
            </w:pPr>
            <w:r>
              <w:rPr>
                <w:rFonts w:ascii="Calibri" w:cs="Calibri" w:eastAsia="Calibri" w:hAnsi="Calibri"/>
                <w:sz w:val="18"/>
                <w:szCs w:val="18"/>
                <w:color w:val="333333"/>
                <w:w w:val="96"/>
              </w:rPr>
              <w:t>$524,844</w:t>
            </w:r>
          </w:p>
        </w:tc>
        <w:tc>
          <w:tcPr>
            <w:tcW w:w="3920" w:type="dxa"/>
            <w:vAlign w:val="bottom"/>
          </w:tcPr>
          <w:p>
            <w:pPr>
              <w:jc w:val="center"/>
              <w:ind w:left="8"/>
              <w:spacing w:after="0" w:line="214" w:lineRule="exact"/>
              <w:rPr>
                <w:sz w:val="20"/>
                <w:szCs w:val="20"/>
                <w:color w:val="auto"/>
              </w:rPr>
            </w:pPr>
            <w:r>
              <w:rPr>
                <w:rFonts w:ascii="Calibri" w:cs="Calibri" w:eastAsia="Calibri" w:hAnsi="Calibri"/>
                <w:sz w:val="18"/>
                <w:szCs w:val="18"/>
                <w:color w:val="333333"/>
                <w:w w:val="96"/>
              </w:rPr>
              <w:t>$787,185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6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00" w:type="dxa"/>
            <w:vAlign w:val="bottom"/>
            <w:tcBorders>
              <w:left w:val="single" w:sz="8" w:color="EFF2EF"/>
              <w:right w:val="single" w:sz="8" w:color="EFF2EF"/>
            </w:tcBorders>
            <w:shd w:val="clear" w:color="auto" w:fill="EFF2EF"/>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Curts P. Lu</w:t>
            </w:r>
          </w:p>
        </w:tc>
        <w:tc>
          <w:tcPr>
            <w:tcW w:w="3380" w:type="dxa"/>
            <w:vAlign w:val="bottom"/>
            <w:tcBorders>
              <w:right w:val="single" w:sz="8" w:color="EFF2EF"/>
            </w:tcBorders>
            <w:shd w:val="clear" w:color="auto" w:fill="EFF2EF"/>
          </w:tcPr>
          <w:p>
            <w:pPr>
              <w:jc w:val="center"/>
              <w:spacing w:after="0" w:line="214" w:lineRule="exact"/>
              <w:rPr>
                <w:sz w:val="20"/>
                <w:szCs w:val="20"/>
                <w:color w:val="auto"/>
              </w:rPr>
            </w:pPr>
            <w:r>
              <w:rPr>
                <w:rFonts w:ascii="Calibri" w:cs="Calibri" w:eastAsia="Calibri" w:hAnsi="Calibri"/>
                <w:sz w:val="18"/>
                <w:szCs w:val="18"/>
                <w:color w:val="333333"/>
                <w:w w:val="96"/>
              </w:rPr>
              <w:t>$524,844</w:t>
            </w:r>
          </w:p>
        </w:tc>
        <w:tc>
          <w:tcPr>
            <w:tcW w:w="3920" w:type="dxa"/>
            <w:vAlign w:val="bottom"/>
            <w:shd w:val="clear" w:color="auto" w:fill="EFF2EF"/>
          </w:tcPr>
          <w:p>
            <w:pPr>
              <w:jc w:val="center"/>
              <w:ind w:left="8"/>
              <w:spacing w:after="0" w:line="214" w:lineRule="exact"/>
              <w:rPr>
                <w:sz w:val="20"/>
                <w:szCs w:val="20"/>
                <w:color w:val="auto"/>
              </w:rPr>
            </w:pPr>
            <w:r>
              <w:rPr>
                <w:rFonts w:ascii="Calibri" w:cs="Calibri" w:eastAsia="Calibri" w:hAnsi="Calibri"/>
                <w:sz w:val="18"/>
                <w:szCs w:val="18"/>
                <w:color w:val="333333"/>
                <w:w w:val="96"/>
              </w:rPr>
              <w:t>$787,185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600" w:type="dxa"/>
            <w:vAlign w:val="bottom"/>
            <w:tcBorders>
              <w:left w:val="single" w:sz="8" w:color="EFF2EF"/>
              <w:right w:val="single" w:sz="8" w:color="EFF2EF"/>
            </w:tcBorders>
            <w:shd w:val="clear" w:color="auto" w:fill="EFF2EF"/>
          </w:tcPr>
          <w:p>
            <w:pPr>
              <w:spacing w:after="0"/>
              <w:rPr>
                <w:sz w:val="5"/>
                <w:szCs w:val="5"/>
                <w:color w:val="auto"/>
              </w:rPr>
            </w:pPr>
          </w:p>
        </w:tc>
        <w:tc>
          <w:tcPr>
            <w:tcW w:w="3380" w:type="dxa"/>
            <w:vAlign w:val="bottom"/>
            <w:tcBorders>
              <w:right w:val="single" w:sz="8" w:color="EFF2EF"/>
            </w:tcBorders>
            <w:shd w:val="clear" w:color="auto" w:fill="EFF2EF"/>
          </w:tcPr>
          <w:p>
            <w:pPr>
              <w:spacing w:after="0"/>
              <w:rPr>
                <w:sz w:val="5"/>
                <w:szCs w:val="5"/>
                <w:color w:val="auto"/>
              </w:rPr>
            </w:pPr>
          </w:p>
        </w:tc>
        <w:tc>
          <w:tcPr>
            <w:tcW w:w="39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00" w:type="dxa"/>
            <w:vAlign w:val="bottom"/>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Holly Paul</w:t>
            </w:r>
          </w:p>
        </w:tc>
        <w:tc>
          <w:tcPr>
            <w:tcW w:w="3380" w:type="dxa"/>
            <w:vAlign w:val="bottom"/>
          </w:tcPr>
          <w:p>
            <w:pPr>
              <w:jc w:val="center"/>
              <w:spacing w:after="0" w:line="214" w:lineRule="exact"/>
              <w:rPr>
                <w:sz w:val="20"/>
                <w:szCs w:val="20"/>
                <w:color w:val="auto"/>
              </w:rPr>
            </w:pPr>
            <w:r>
              <w:rPr>
                <w:rFonts w:ascii="Calibri" w:cs="Calibri" w:eastAsia="Calibri" w:hAnsi="Calibri"/>
                <w:sz w:val="18"/>
                <w:szCs w:val="18"/>
                <w:color w:val="333333"/>
                <w:w w:val="96"/>
              </w:rPr>
              <w:t>$262,342</w:t>
            </w:r>
          </w:p>
        </w:tc>
        <w:tc>
          <w:tcPr>
            <w:tcW w:w="3920" w:type="dxa"/>
            <w:vAlign w:val="bottom"/>
          </w:tcPr>
          <w:p>
            <w:pPr>
              <w:jc w:val="center"/>
              <w:ind w:left="8"/>
              <w:spacing w:after="0" w:line="214" w:lineRule="exact"/>
              <w:rPr>
                <w:sz w:val="20"/>
                <w:szCs w:val="20"/>
                <w:color w:val="auto"/>
              </w:rPr>
            </w:pPr>
            <w:r>
              <w:rPr>
                <w:rFonts w:ascii="Calibri" w:cs="Calibri" w:eastAsia="Calibri" w:hAnsi="Calibri"/>
                <w:sz w:val="18"/>
                <w:szCs w:val="18"/>
                <w:color w:val="333333"/>
                <w:w w:val="96"/>
              </w:rPr>
              <w:t>$393,432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6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00" w:type="dxa"/>
            <w:vAlign w:val="bottom"/>
            <w:tcBorders>
              <w:left w:val="single" w:sz="8" w:color="EFF2EF"/>
              <w:right w:val="single" w:sz="8" w:color="EFF2EF"/>
            </w:tcBorders>
            <w:shd w:val="clear" w:color="auto" w:fill="EFF2EF"/>
          </w:tcPr>
          <w:p>
            <w:pPr>
              <w:spacing w:after="0" w:line="214" w:lineRule="exact"/>
              <w:rPr>
                <w:sz w:val="20"/>
                <w:szCs w:val="20"/>
                <w:color w:val="auto"/>
              </w:rPr>
            </w:pPr>
            <w:r>
              <w:rPr>
                <w:rFonts w:ascii="Calibri" w:cs="Calibri" w:eastAsia="Calibri" w:hAnsi="Calibri"/>
                <w:sz w:val="18"/>
                <w:szCs w:val="18"/>
                <w:color w:val="333333"/>
              </w:rPr>
              <w:t> </w:t>
            </w:r>
            <w:r>
              <w:rPr>
                <w:rFonts w:ascii="Calibri" w:cs="Calibri" w:eastAsia="Calibri" w:hAnsi="Calibri"/>
                <w:sz w:val="16"/>
                <w:szCs w:val="16"/>
                <w:color w:val="0591DB"/>
              </w:rPr>
              <w:t>Brendan J. Keatng</w:t>
            </w:r>
          </w:p>
        </w:tc>
        <w:tc>
          <w:tcPr>
            <w:tcW w:w="3380" w:type="dxa"/>
            <w:vAlign w:val="bottom"/>
            <w:tcBorders>
              <w:right w:val="single" w:sz="8" w:color="EFF2EF"/>
            </w:tcBorders>
            <w:shd w:val="clear" w:color="auto" w:fill="EFF2EF"/>
          </w:tcPr>
          <w:p>
            <w:pPr>
              <w:jc w:val="center"/>
              <w:ind w:left="8"/>
              <w:spacing w:after="0" w:line="214" w:lineRule="exact"/>
              <w:rPr>
                <w:sz w:val="20"/>
                <w:szCs w:val="20"/>
                <w:color w:val="auto"/>
              </w:rPr>
            </w:pPr>
            <w:r>
              <w:rPr>
                <w:rFonts w:ascii="Calibri" w:cs="Calibri" w:eastAsia="Calibri" w:hAnsi="Calibri"/>
                <w:sz w:val="18"/>
                <w:szCs w:val="18"/>
                <w:color w:val="333333"/>
                <w:w w:val="94"/>
              </w:rPr>
              <w:t>$24,903</w:t>
            </w:r>
          </w:p>
        </w:tc>
        <w:tc>
          <w:tcPr>
            <w:tcW w:w="3920" w:type="dxa"/>
            <w:vAlign w:val="bottom"/>
            <w:shd w:val="clear" w:color="auto" w:fill="EFF2EF"/>
          </w:tcPr>
          <w:p>
            <w:pPr>
              <w:jc w:val="center"/>
              <w:ind w:left="8"/>
              <w:spacing w:after="0" w:line="214" w:lineRule="exact"/>
              <w:rPr>
                <w:sz w:val="20"/>
                <w:szCs w:val="20"/>
                <w:color w:val="auto"/>
              </w:rPr>
            </w:pPr>
            <w:r>
              <w:rPr>
                <w:rFonts w:ascii="Calibri" w:cs="Calibri" w:eastAsia="Calibri" w:hAnsi="Calibri"/>
                <w:sz w:val="18"/>
                <w:szCs w:val="18"/>
                <w:color w:val="333333"/>
                <w:w w:val="97"/>
              </w:rPr>
              <w:t>$37,354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600" w:type="dxa"/>
            <w:vAlign w:val="bottom"/>
            <w:tcBorders>
              <w:left w:val="single" w:sz="8" w:color="EFF2EF"/>
              <w:right w:val="single" w:sz="8" w:color="EFF2EF"/>
            </w:tcBorders>
            <w:shd w:val="clear" w:color="auto" w:fill="EFF2EF"/>
          </w:tcPr>
          <w:p>
            <w:pPr>
              <w:spacing w:after="0"/>
              <w:rPr>
                <w:sz w:val="5"/>
                <w:szCs w:val="5"/>
                <w:color w:val="auto"/>
              </w:rPr>
            </w:pPr>
          </w:p>
        </w:tc>
        <w:tc>
          <w:tcPr>
            <w:tcW w:w="3380" w:type="dxa"/>
            <w:vAlign w:val="bottom"/>
            <w:tcBorders>
              <w:right w:val="single" w:sz="8" w:color="EFF2EF"/>
            </w:tcBorders>
            <w:shd w:val="clear" w:color="auto" w:fill="EFF2EF"/>
          </w:tcPr>
          <w:p>
            <w:pPr>
              <w:spacing w:after="0"/>
              <w:rPr>
                <w:sz w:val="5"/>
                <w:szCs w:val="5"/>
                <w:color w:val="auto"/>
              </w:rPr>
            </w:pPr>
          </w:p>
        </w:tc>
        <w:tc>
          <w:tcPr>
            <w:tcW w:w="392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0" w:hanging="433"/>
        <w:spacing w:after="0"/>
        <w:tabs>
          <w:tab w:leader="none" w:pos="600" w:val="left"/>
        </w:tabs>
        <w:numPr>
          <w:ilvl w:val="0"/>
          <w:numId w:val="102"/>
        </w:numPr>
        <w:rPr>
          <w:rFonts w:ascii="Calibri" w:cs="Calibri" w:eastAsia="Calibri" w:hAnsi="Calibri"/>
          <w:sz w:val="13"/>
          <w:szCs w:val="13"/>
          <w:color w:val="333333"/>
        </w:rPr>
      </w:pPr>
      <w:r>
        <w:rPr>
          <w:rFonts w:ascii="Calibri" w:cs="Calibri" w:eastAsia="Calibri" w:hAnsi="Calibri"/>
          <w:sz w:val="17"/>
          <w:szCs w:val="17"/>
          <w:color w:val="333333"/>
        </w:rPr>
        <w:t>The “Non-Equity Incentve Plan Compensaton” reported in Column (f) includes the cash incentve compensaton awarded in 2026 as 2025 AIP.</w:t>
      </w:r>
    </w:p>
    <w:p>
      <w:pPr>
        <w:spacing w:after="0" w:line="117" w:lineRule="exact"/>
        <w:rPr>
          <w:rFonts w:ascii="Calibri" w:cs="Calibri" w:eastAsia="Calibri" w:hAnsi="Calibri"/>
          <w:sz w:val="13"/>
          <w:szCs w:val="13"/>
          <w:color w:val="333333"/>
        </w:rPr>
      </w:pPr>
    </w:p>
    <w:p>
      <w:pPr>
        <w:ind w:left="600" w:right="240" w:hanging="433"/>
        <w:spacing w:after="0" w:line="232" w:lineRule="auto"/>
        <w:tabs>
          <w:tab w:leader="none" w:pos="600" w:val="left"/>
        </w:tabs>
        <w:numPr>
          <w:ilvl w:val="0"/>
          <w:numId w:val="102"/>
        </w:numPr>
        <w:rPr>
          <w:rFonts w:ascii="Calibri" w:cs="Calibri" w:eastAsia="Calibri" w:hAnsi="Calibri"/>
          <w:sz w:val="13"/>
          <w:szCs w:val="13"/>
          <w:color w:val="333333"/>
        </w:rPr>
      </w:pPr>
      <w:r>
        <w:rPr>
          <w:rFonts w:ascii="Calibri" w:cs="Calibri" w:eastAsia="Calibri" w:hAnsi="Calibri"/>
          <w:sz w:val="17"/>
          <w:szCs w:val="17"/>
          <w:color w:val="333333"/>
        </w:rPr>
        <w:t>“All Other Compensaton” in Column (h) consists solely of matching contributons provided to the NEOs under the Company’s 401(k) Plan and excludes other benefts provided to the NEOs on the same basis provided to all full-tme U.S. employees. No NEO received perquisites aggregatng more than $10,000 in 2025.</w:t>
      </w:r>
    </w:p>
    <w:p>
      <w:pPr>
        <w:spacing w:after="0" w:line="120" w:lineRule="exact"/>
        <w:rPr>
          <w:rFonts w:ascii="Calibri" w:cs="Calibri" w:eastAsia="Calibri" w:hAnsi="Calibri"/>
          <w:sz w:val="13"/>
          <w:szCs w:val="13"/>
          <w:color w:val="333333"/>
        </w:rPr>
      </w:pPr>
    </w:p>
    <w:p>
      <w:pPr>
        <w:ind w:left="600" w:right="80" w:hanging="433"/>
        <w:spacing w:after="0" w:line="232" w:lineRule="auto"/>
        <w:tabs>
          <w:tab w:leader="none" w:pos="600" w:val="left"/>
        </w:tabs>
        <w:numPr>
          <w:ilvl w:val="0"/>
          <w:numId w:val="102"/>
        </w:numPr>
        <w:rPr>
          <w:rFonts w:ascii="Calibri" w:cs="Calibri" w:eastAsia="Calibri" w:hAnsi="Calibri"/>
          <w:sz w:val="13"/>
          <w:szCs w:val="13"/>
          <w:color w:val="333333"/>
        </w:rPr>
      </w:pPr>
      <w:r>
        <w:rPr>
          <w:rFonts w:ascii="Calibri" w:cs="Calibri" w:eastAsia="Calibri" w:hAnsi="Calibri"/>
          <w:sz w:val="17"/>
          <w:szCs w:val="17"/>
          <w:color w:val="333333"/>
        </w:rPr>
        <w:t>Column (d) includes the porton of AIP for the year ended December 31, 2024 (“2024 AIP”) that was paid to our CEO in 2025 through the award of 2,657 shares of restricted stock with a grant date fair value of $451,185 (based on the closing price per share of Common Stock of $169.81 reported on the NYSE for the grant date of March 5, 2025), which vested in full on March 6, 2026. It excludes the award of 25% of 2025 AIP paid to our CEO in 2026 through the award of 3,695 shares of restricted stock with a grant date fair value of $601,718, based on the closing price per share of Common Stock of $162.84 reported on the NYSE for the grant date of March 11, 2026, which will vest on the frst anniversary of the date of grant and will be reported as compensaton in Column (d) of the Summary Compensaton Table for the year ending December 31, 2026.</w:t>
      </w:r>
    </w:p>
    <w:p>
      <w:pPr>
        <w:spacing w:after="0" w:line="120" w:lineRule="exact"/>
        <w:rPr>
          <w:rFonts w:ascii="Calibri" w:cs="Calibri" w:eastAsia="Calibri" w:hAnsi="Calibri"/>
          <w:sz w:val="13"/>
          <w:szCs w:val="13"/>
          <w:color w:val="333333"/>
        </w:rPr>
      </w:pPr>
    </w:p>
    <w:p>
      <w:pPr>
        <w:ind w:left="600" w:right="60" w:hanging="433"/>
        <w:spacing w:after="0" w:line="232" w:lineRule="auto"/>
        <w:tabs>
          <w:tab w:leader="none" w:pos="600" w:val="left"/>
        </w:tabs>
        <w:numPr>
          <w:ilvl w:val="0"/>
          <w:numId w:val="102"/>
        </w:numPr>
        <w:rPr>
          <w:rFonts w:ascii="Calibri" w:cs="Calibri" w:eastAsia="Calibri" w:hAnsi="Calibri"/>
          <w:sz w:val="13"/>
          <w:szCs w:val="13"/>
          <w:color w:val="333333"/>
        </w:rPr>
      </w:pPr>
      <w:r>
        <w:rPr>
          <w:rFonts w:ascii="Calibri" w:cs="Calibri" w:eastAsia="Calibri" w:hAnsi="Calibri"/>
          <w:sz w:val="17"/>
          <w:szCs w:val="17"/>
          <w:color w:val="333333"/>
        </w:rPr>
        <w:t xml:space="preserve">Mr. Linton received a $700,000 cash bonus awarded on December 19, 2025, which is subject to repayment if Mr. Linton resigns his employment for any reason (other than death or disability) or is terminated for cause before the second anniversary of the payment date. For additonal informaton, see the secton of this Proxy Statement captoned “Compensaton Discussion and Analysis — 2025 Executve Compensaton Program — 2025 Discretonary Awards “ beginning on </w:t>
      </w:r>
      <w:r>
        <w:rPr>
          <w:rFonts w:ascii="Calibri" w:cs="Calibri" w:eastAsia="Calibri" w:hAnsi="Calibri"/>
          <w:sz w:val="17"/>
          <w:szCs w:val="17"/>
          <w:color w:val="0591DB"/>
        </w:rPr>
        <w:t>page 78</w:t>
      </w:r>
      <w:r>
        <w:rPr>
          <w:rFonts w:ascii="Calibri" w:cs="Calibri" w:eastAsia="Calibri" w:hAnsi="Calibri"/>
          <w:sz w:val="17"/>
          <w:szCs w:val="17"/>
          <w:color w:val="333333"/>
        </w:rPr>
        <w:t xml:space="preserve"> of this Proxy Statement.</w:t>
      </w:r>
    </w:p>
    <w:p>
      <w:pPr>
        <w:spacing w:after="0" w:line="115" w:lineRule="exact"/>
        <w:rPr>
          <w:rFonts w:ascii="Calibri" w:cs="Calibri" w:eastAsia="Calibri" w:hAnsi="Calibri"/>
          <w:sz w:val="13"/>
          <w:szCs w:val="13"/>
          <w:color w:val="333333"/>
        </w:rPr>
      </w:pPr>
    </w:p>
    <w:p>
      <w:pPr>
        <w:ind w:left="600" w:hanging="433"/>
        <w:spacing w:after="0"/>
        <w:tabs>
          <w:tab w:leader="none" w:pos="600" w:val="left"/>
        </w:tabs>
        <w:numPr>
          <w:ilvl w:val="0"/>
          <w:numId w:val="102"/>
        </w:numPr>
        <w:rPr>
          <w:rFonts w:ascii="Calibri" w:cs="Calibri" w:eastAsia="Calibri" w:hAnsi="Calibri"/>
          <w:sz w:val="13"/>
          <w:szCs w:val="13"/>
          <w:color w:val="333333"/>
        </w:rPr>
      </w:pPr>
      <w:r>
        <w:rPr>
          <w:rFonts w:ascii="Calibri" w:cs="Calibri" w:eastAsia="Calibri" w:hAnsi="Calibri"/>
          <w:sz w:val="17"/>
          <w:szCs w:val="17"/>
          <w:color w:val="333333"/>
        </w:rPr>
        <w:t>Mr. Keatng received a $277,500 discretonary bonus for his performance in 2025.</w:t>
      </w:r>
    </w:p>
    <w:p>
      <w:pPr>
        <w:spacing w:after="0" w:line="14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87</w:t>
      </w:r>
    </w:p>
    <w:p>
      <w:pPr>
        <w:sectPr>
          <w:pgSz w:w="11900" w:h="16838" w:orient="portrait"/>
          <w:cols w:equalWidth="0" w:num="1">
            <w:col w:w="11100"/>
          </w:cols>
          <w:pgMar w:left="320" w:top="478"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EQUITY COMPENSATION PLANS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Grants of Plan-Based Awards for Fiscal Year Ended December 31, 2025</w:t>
      </w:r>
    </w:p>
    <w:p>
      <w:pPr>
        <w:spacing w:after="0" w:line="212" w:lineRule="exact"/>
        <w:rPr>
          <w:sz w:val="20"/>
          <w:szCs w:val="20"/>
          <w:color w:val="auto"/>
        </w:rPr>
      </w:pPr>
    </w:p>
    <w:p>
      <w:pPr>
        <w:ind w:left="160" w:right="220"/>
        <w:spacing w:after="0" w:line="233" w:lineRule="auto"/>
        <w:rPr>
          <w:sz w:val="20"/>
          <w:szCs w:val="20"/>
          <w:color w:val="auto"/>
        </w:rPr>
      </w:pPr>
      <w:r>
        <w:rPr>
          <w:rFonts w:ascii="Calibri" w:cs="Calibri" w:eastAsia="Calibri" w:hAnsi="Calibri"/>
          <w:sz w:val="17"/>
          <w:szCs w:val="17"/>
          <w:color w:val="333333"/>
        </w:rPr>
        <w:t>The following table provides informaton on (i) performance-based cash awards granted as 2025 AIP and (ii) equity-based awards granted in 2025. There can be no assurance that the grant date fair market value of these awards will ever be realized.</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40" w:type="dxa"/>
            <w:vAlign w:val="bottom"/>
            <w:tcBorders>
              <w:right w:val="single" w:sz="8" w:color="0591DB"/>
            </w:tcBorders>
          </w:tcPr>
          <w:p>
            <w:pPr>
              <w:spacing w:after="0"/>
              <w:rPr>
                <w:sz w:val="16"/>
                <w:szCs w:val="16"/>
                <w:color w:val="auto"/>
              </w:rPr>
            </w:pPr>
          </w:p>
        </w:tc>
        <w:tc>
          <w:tcPr>
            <w:tcW w:w="2260" w:type="dxa"/>
            <w:vAlign w:val="bottom"/>
            <w:tcBorders>
              <w:top w:val="single" w:sz="8" w:color="0591DB"/>
            </w:tcBorders>
          </w:tcPr>
          <w:p>
            <w:pPr>
              <w:spacing w:after="0"/>
              <w:rPr>
                <w:sz w:val="16"/>
                <w:szCs w:val="16"/>
                <w:color w:val="auto"/>
              </w:rPr>
            </w:pPr>
          </w:p>
        </w:tc>
        <w:tc>
          <w:tcPr>
            <w:tcW w:w="120" w:type="dxa"/>
            <w:vAlign w:val="bottom"/>
            <w:tcBorders>
              <w:top w:val="single" w:sz="8" w:color="0591DB"/>
              <w:right w:val="single" w:sz="8" w:color="0591DB"/>
            </w:tcBorders>
          </w:tcPr>
          <w:p>
            <w:pPr>
              <w:spacing w:after="0"/>
              <w:rPr>
                <w:sz w:val="16"/>
                <w:szCs w:val="16"/>
                <w:color w:val="auto"/>
              </w:rPr>
            </w:pPr>
          </w:p>
        </w:tc>
        <w:tc>
          <w:tcPr>
            <w:tcW w:w="700" w:type="dxa"/>
            <w:vAlign w:val="bottom"/>
            <w:tcBorders>
              <w:top w:val="single" w:sz="8" w:color="0591DB"/>
              <w:right w:val="single" w:sz="8" w:color="0591DB"/>
            </w:tcBorders>
          </w:tcPr>
          <w:p>
            <w:pPr>
              <w:spacing w:after="0"/>
              <w:rPr>
                <w:sz w:val="16"/>
                <w:szCs w:val="16"/>
                <w:color w:val="auto"/>
              </w:rPr>
            </w:pPr>
          </w:p>
        </w:tc>
        <w:tc>
          <w:tcPr>
            <w:tcW w:w="760" w:type="dxa"/>
            <w:vAlign w:val="bottom"/>
            <w:tcBorders>
              <w:top w:val="single" w:sz="8" w:color="0591DB"/>
              <w:right w:val="single" w:sz="8" w:color="0591DB"/>
            </w:tcBorders>
          </w:tcPr>
          <w:p>
            <w:pPr>
              <w:spacing w:after="0"/>
              <w:rPr>
                <w:sz w:val="16"/>
                <w:szCs w:val="16"/>
                <w:color w:val="auto"/>
              </w:rPr>
            </w:pPr>
          </w:p>
        </w:tc>
        <w:tc>
          <w:tcPr>
            <w:tcW w:w="740" w:type="dxa"/>
            <w:vAlign w:val="bottom"/>
            <w:tcBorders>
              <w:top w:val="single" w:sz="8" w:color="0591DB"/>
            </w:tcBorders>
          </w:tcPr>
          <w:p>
            <w:pPr>
              <w:spacing w:after="0"/>
              <w:rPr>
                <w:sz w:val="16"/>
                <w:szCs w:val="16"/>
                <w:color w:val="auto"/>
              </w:rPr>
            </w:pPr>
          </w:p>
        </w:tc>
        <w:tc>
          <w:tcPr>
            <w:tcW w:w="740" w:type="dxa"/>
            <w:vAlign w:val="bottom"/>
            <w:tcBorders>
              <w:top w:val="single" w:sz="8" w:color="0591DB"/>
            </w:tcBorders>
          </w:tcPr>
          <w:p>
            <w:pPr>
              <w:spacing w:after="0"/>
              <w:rPr>
                <w:sz w:val="16"/>
                <w:szCs w:val="16"/>
                <w:color w:val="auto"/>
              </w:rPr>
            </w:pPr>
          </w:p>
        </w:tc>
        <w:tc>
          <w:tcPr>
            <w:tcW w:w="760" w:type="dxa"/>
            <w:vAlign w:val="bottom"/>
            <w:tcBorders>
              <w:top w:val="single" w:sz="8" w:color="0591DB"/>
              <w:right w:val="single" w:sz="8" w:color="0591DB"/>
            </w:tcBorders>
          </w:tcPr>
          <w:p>
            <w:pPr>
              <w:spacing w:after="0"/>
              <w:rPr>
                <w:sz w:val="16"/>
                <w:szCs w:val="16"/>
                <w:color w:val="auto"/>
              </w:rPr>
            </w:pPr>
          </w:p>
        </w:tc>
        <w:tc>
          <w:tcPr>
            <w:tcW w:w="740" w:type="dxa"/>
            <w:vAlign w:val="bottom"/>
            <w:tcBorders>
              <w:top w:val="single" w:sz="8" w:color="0591DB"/>
            </w:tcBorders>
          </w:tcPr>
          <w:p>
            <w:pPr>
              <w:spacing w:after="0"/>
              <w:rPr>
                <w:sz w:val="16"/>
                <w:szCs w:val="16"/>
                <w:color w:val="auto"/>
              </w:rPr>
            </w:pPr>
          </w:p>
        </w:tc>
        <w:tc>
          <w:tcPr>
            <w:tcW w:w="520" w:type="dxa"/>
            <w:vAlign w:val="bottom"/>
            <w:tcBorders>
              <w:top w:val="single" w:sz="8" w:color="0591DB"/>
            </w:tcBorders>
          </w:tcPr>
          <w:p>
            <w:pPr>
              <w:spacing w:after="0"/>
              <w:rPr>
                <w:sz w:val="16"/>
                <w:szCs w:val="16"/>
                <w:color w:val="auto"/>
              </w:rPr>
            </w:pPr>
          </w:p>
        </w:tc>
        <w:tc>
          <w:tcPr>
            <w:tcW w:w="80" w:type="dxa"/>
            <w:vAlign w:val="bottom"/>
            <w:tcBorders>
              <w:top w:val="single" w:sz="8" w:color="0591DB"/>
            </w:tcBorders>
          </w:tcPr>
          <w:p>
            <w:pPr>
              <w:spacing w:after="0"/>
              <w:rPr>
                <w:sz w:val="16"/>
                <w:szCs w:val="16"/>
                <w:color w:val="auto"/>
              </w:rPr>
            </w:pPr>
          </w:p>
        </w:tc>
        <w:tc>
          <w:tcPr>
            <w:tcW w:w="620" w:type="dxa"/>
            <w:vAlign w:val="bottom"/>
            <w:tcBorders>
              <w:top w:val="single" w:sz="8" w:color="0591DB"/>
              <w:right w:val="single" w:sz="8" w:color="0591DB"/>
            </w:tcBorders>
          </w:tcPr>
          <w:p>
            <w:pPr>
              <w:spacing w:after="0"/>
              <w:rPr>
                <w:sz w:val="16"/>
                <w:szCs w:val="16"/>
                <w:color w:val="auto"/>
              </w:rPr>
            </w:pPr>
          </w:p>
        </w:tc>
        <w:tc>
          <w:tcPr>
            <w:tcW w:w="700" w:type="dxa"/>
            <w:vAlign w:val="bottom"/>
            <w:tcBorders>
              <w:top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5"/>
              </w:rPr>
              <w:t>ALL OTHER</w:t>
            </w:r>
          </w:p>
        </w:tc>
        <w:tc>
          <w:tcPr>
            <w:tcW w:w="760" w:type="dxa"/>
            <w:vAlign w:val="bottom"/>
            <w:tcBorders>
              <w:top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5"/>
              </w:rPr>
              <w:t>ALL OTHER</w:t>
            </w:r>
          </w:p>
        </w:tc>
        <w:tc>
          <w:tcPr>
            <w:tcW w:w="620" w:type="dxa"/>
            <w:vAlign w:val="bottom"/>
            <w:tcBorders>
              <w:top w:val="single" w:sz="8" w:color="0591DB"/>
              <w:right w:val="single" w:sz="8" w:color="0591DB"/>
            </w:tcBorders>
          </w:tcPr>
          <w:p>
            <w:pPr>
              <w:spacing w:after="0"/>
              <w:rPr>
                <w:sz w:val="16"/>
                <w:szCs w:val="16"/>
                <w:color w:val="auto"/>
              </w:rPr>
            </w:pPr>
          </w:p>
        </w:tc>
        <w:tc>
          <w:tcPr>
            <w:tcW w:w="760" w:type="dxa"/>
            <w:vAlign w:val="bottom"/>
            <w:tcBorders>
              <w:top w:val="single" w:sz="8" w:color="0591DB"/>
            </w:tcBorders>
          </w:tcPr>
          <w:p>
            <w:pPr>
              <w:spacing w:after="0"/>
              <w:rPr>
                <w:sz w:val="16"/>
                <w:szCs w:val="16"/>
                <w:color w:val="auto"/>
              </w:rPr>
            </w:pPr>
          </w:p>
        </w:tc>
        <w:tc>
          <w:tcPr>
            <w:tcW w:w="20" w:type="dxa"/>
            <w:vAlign w:val="bottom"/>
            <w:tcBorders>
              <w:top w:val="single" w:sz="8" w:color="0591DB"/>
            </w:tcBorders>
            <w:shd w:val="clear" w:color="auto" w:fill="0591DB"/>
          </w:tcPr>
          <w:p>
            <w:pPr>
              <w:spacing w:after="0"/>
              <w:rPr>
                <w:sz w:val="16"/>
                <w:szCs w:val="16"/>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1"/>
              </w:rPr>
              <w:t>STOCK</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OPTION</w:t>
            </w:r>
          </w:p>
        </w:tc>
        <w:tc>
          <w:tcPr>
            <w:tcW w:w="620" w:type="dxa"/>
            <w:vAlign w:val="bottom"/>
            <w:tcBorders>
              <w:right w:val="single" w:sz="8" w:color="0591DB"/>
            </w:tcBorders>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5"/>
              </w:rPr>
              <w:t>GRANT</w:t>
            </w:r>
          </w:p>
        </w:tc>
        <w:tc>
          <w:tcPr>
            <w:tcW w:w="20" w:type="dxa"/>
            <w:vAlign w:val="bottom"/>
            <w:shd w:val="clear" w:color="auto" w:fill="0591DB"/>
          </w:tcPr>
          <w:p>
            <w:pPr>
              <w:spacing w:after="0"/>
              <w:rPr>
                <w:sz w:val="11"/>
                <w:szCs w:val="11"/>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4"/>
              </w:rPr>
              <w:t>AWARDS:</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4"/>
              </w:rPr>
              <w:t>AWARDS:</w:t>
            </w:r>
          </w:p>
        </w:tc>
        <w:tc>
          <w:tcPr>
            <w:tcW w:w="620" w:type="dxa"/>
            <w:vAlign w:val="bottom"/>
            <w:tcBorders>
              <w:right w:val="single" w:sz="8" w:color="0591DB"/>
            </w:tcBorders>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7"/>
              </w:rPr>
              <w:t>DATE</w:t>
            </w:r>
          </w:p>
        </w:tc>
        <w:tc>
          <w:tcPr>
            <w:tcW w:w="20" w:type="dxa"/>
            <w:vAlign w:val="bottom"/>
            <w:shd w:val="clear" w:color="auto" w:fill="0591DB"/>
          </w:tcPr>
          <w:p>
            <w:pPr>
              <w:spacing w:after="0"/>
              <w:rPr>
                <w:sz w:val="11"/>
                <w:szCs w:val="11"/>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spacing w:after="0"/>
              <w:rPr>
                <w:sz w:val="11"/>
                <w:szCs w:val="11"/>
                <w:color w:val="auto"/>
              </w:rPr>
            </w:pP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7"/>
              </w:rPr>
              <w:t>COMPENSA-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6"/>
              </w:rPr>
              <w:t>NUMBER</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6"/>
              </w:rPr>
              <w:t>NUMBER OF</w:t>
            </w:r>
          </w:p>
        </w:tc>
        <w:tc>
          <w:tcPr>
            <w:tcW w:w="62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9"/>
              </w:rPr>
              <w:t>EXERCISE</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2"/>
              </w:rPr>
              <w:t>FAIR VALUE</w:t>
            </w:r>
          </w:p>
        </w:tc>
        <w:tc>
          <w:tcPr>
            <w:tcW w:w="20" w:type="dxa"/>
            <w:vAlign w:val="bottom"/>
            <w:shd w:val="clear" w:color="auto" w:fill="0591DB"/>
          </w:tcPr>
          <w:p>
            <w:pPr>
              <w:spacing w:after="0"/>
              <w:rPr>
                <w:sz w:val="11"/>
                <w:szCs w:val="11"/>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spacing w:after="0"/>
              <w:rPr>
                <w:sz w:val="11"/>
                <w:szCs w:val="11"/>
                <w:color w:val="auto"/>
              </w:rPr>
            </w:pP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TION</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7"/>
              </w:rPr>
              <w:t>OF SHARES</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SECURITIES</w:t>
            </w:r>
          </w:p>
        </w:tc>
        <w:tc>
          <w:tcPr>
            <w:tcW w:w="62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7"/>
              </w:rPr>
              <w:t>OR BASE</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3"/>
              </w:rPr>
              <w:t>OF STOCK</w:t>
            </w:r>
          </w:p>
        </w:tc>
        <w:tc>
          <w:tcPr>
            <w:tcW w:w="20" w:type="dxa"/>
            <w:vAlign w:val="bottom"/>
            <w:shd w:val="clear" w:color="auto" w:fill="0591DB"/>
          </w:tcPr>
          <w:p>
            <w:pPr>
              <w:spacing w:after="0"/>
              <w:rPr>
                <w:sz w:val="11"/>
                <w:szCs w:val="11"/>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spacing w:after="0"/>
              <w:rPr>
                <w:sz w:val="11"/>
                <w:szCs w:val="11"/>
                <w:color w:val="auto"/>
              </w:rPr>
            </w:pP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6"/>
              </w:rPr>
              <w:t>COMMITTEE</w:t>
            </w:r>
          </w:p>
        </w:tc>
        <w:tc>
          <w:tcPr>
            <w:tcW w:w="224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4"/>
              </w:rPr>
              <w:t>ESTIMATED FUTURE PAYOUTS</w:t>
            </w:r>
          </w:p>
        </w:tc>
        <w:tc>
          <w:tcPr>
            <w:tcW w:w="1960" w:type="dxa"/>
            <w:vAlign w:val="bottom"/>
            <w:tcBorders>
              <w:right w:val="single" w:sz="8" w:color="0591DB"/>
            </w:tcBorders>
            <w:gridSpan w:val="4"/>
          </w:tcPr>
          <w:p>
            <w:pPr>
              <w:jc w:val="center"/>
              <w:spacing w:after="0" w:line="134" w:lineRule="exact"/>
              <w:rPr>
                <w:sz w:val="20"/>
                <w:szCs w:val="20"/>
                <w:color w:val="auto"/>
              </w:rPr>
            </w:pPr>
            <w:r>
              <w:rPr>
                <w:rFonts w:ascii="Calibri" w:cs="Calibri" w:eastAsia="Calibri" w:hAnsi="Calibri"/>
                <w:sz w:val="12"/>
                <w:szCs w:val="12"/>
                <w:b w:val="1"/>
                <w:bCs w:val="1"/>
                <w:color w:val="0591DB"/>
                <w:w w:val="94"/>
              </w:rPr>
              <w:t>ESTIMATED FUTURE PAYOUTS</w:t>
            </w: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3"/>
              </w:rPr>
              <w:t>OF STOCK</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UNDER-</w:t>
            </w:r>
          </w:p>
        </w:tc>
        <w:tc>
          <w:tcPr>
            <w:tcW w:w="62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3"/>
              </w:rPr>
              <w:t>PRICE OF</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6"/>
              </w:rPr>
              <w:t>AND</w:t>
            </w:r>
          </w:p>
        </w:tc>
        <w:tc>
          <w:tcPr>
            <w:tcW w:w="20" w:type="dxa"/>
            <w:vAlign w:val="bottom"/>
            <w:shd w:val="clear" w:color="auto" w:fill="0591DB"/>
          </w:tcPr>
          <w:p>
            <w:pPr>
              <w:spacing w:after="0"/>
              <w:rPr>
                <w:sz w:val="11"/>
                <w:szCs w:val="11"/>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GRANT</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APPROVAL</w:t>
            </w:r>
          </w:p>
        </w:tc>
        <w:tc>
          <w:tcPr>
            <w:tcW w:w="2240" w:type="dxa"/>
            <w:vAlign w:val="bottom"/>
            <w:tcBorders>
              <w:right w:val="single" w:sz="8" w:color="0591DB"/>
            </w:tcBorders>
            <w:gridSpan w:val="3"/>
          </w:tcPr>
          <w:p>
            <w:pPr>
              <w:jc w:val="center"/>
              <w:spacing w:after="0" w:line="134" w:lineRule="exact"/>
              <w:rPr>
                <w:sz w:val="20"/>
                <w:szCs w:val="20"/>
                <w:color w:val="auto"/>
              </w:rPr>
            </w:pPr>
            <w:r>
              <w:rPr>
                <w:rFonts w:ascii="Calibri" w:cs="Calibri" w:eastAsia="Calibri" w:hAnsi="Calibri"/>
                <w:sz w:val="12"/>
                <w:szCs w:val="12"/>
                <w:b w:val="1"/>
                <w:bCs w:val="1"/>
                <w:color w:val="0591DB"/>
                <w:w w:val="96"/>
              </w:rPr>
              <w:t>UNDER NON-EQUITY</w:t>
            </w:r>
          </w:p>
        </w:tc>
        <w:tc>
          <w:tcPr>
            <w:tcW w:w="1340" w:type="dxa"/>
            <w:vAlign w:val="bottom"/>
            <w:gridSpan w:val="3"/>
          </w:tcPr>
          <w:p>
            <w:pPr>
              <w:jc w:val="center"/>
              <w:ind w:left="552"/>
              <w:spacing w:after="0" w:line="134" w:lineRule="exact"/>
              <w:rPr>
                <w:sz w:val="20"/>
                <w:szCs w:val="20"/>
                <w:color w:val="auto"/>
              </w:rPr>
            </w:pPr>
            <w:r>
              <w:rPr>
                <w:rFonts w:ascii="Calibri" w:cs="Calibri" w:eastAsia="Calibri" w:hAnsi="Calibri"/>
                <w:sz w:val="12"/>
                <w:szCs w:val="12"/>
                <w:b w:val="1"/>
                <w:bCs w:val="1"/>
                <w:color w:val="0591DB"/>
                <w:w w:val="94"/>
              </w:rPr>
              <w:t>UNDER EQUITY</w:t>
            </w:r>
          </w:p>
        </w:tc>
        <w:tc>
          <w:tcPr>
            <w:tcW w:w="6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OR STOCK</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2"/>
              </w:rPr>
              <w:t>LYING</w:t>
            </w:r>
          </w:p>
        </w:tc>
        <w:tc>
          <w:tcPr>
            <w:tcW w:w="62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5"/>
              </w:rPr>
              <w:t>OPTION</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0591DB"/>
                <w:w w:val="95"/>
              </w:rPr>
              <w:t>OPTION</w:t>
            </w:r>
          </w:p>
        </w:tc>
        <w:tc>
          <w:tcPr>
            <w:tcW w:w="20" w:type="dxa"/>
            <w:vAlign w:val="bottom"/>
            <w:shd w:val="clear" w:color="auto" w:fill="0591DB"/>
          </w:tcPr>
          <w:p>
            <w:pPr>
              <w:spacing w:after="0"/>
              <w:rPr>
                <w:sz w:val="11"/>
                <w:szCs w:val="11"/>
                <w:color w:val="auto"/>
              </w:rPr>
            </w:pPr>
          </w:p>
        </w:tc>
      </w:tr>
      <w:tr>
        <w:trPr>
          <w:trHeight w:val="200"/>
        </w:trPr>
        <w:tc>
          <w:tcPr>
            <w:tcW w:w="40" w:type="dxa"/>
            <w:vAlign w:val="bottom"/>
            <w:tcBorders>
              <w:right w:val="single" w:sz="8" w:color="0591DB"/>
            </w:tcBorders>
          </w:tcPr>
          <w:p>
            <w:pPr>
              <w:spacing w:after="0"/>
              <w:rPr>
                <w:sz w:val="17"/>
                <w:szCs w:val="17"/>
                <w:color w:val="auto"/>
              </w:rPr>
            </w:pPr>
          </w:p>
        </w:tc>
        <w:tc>
          <w:tcPr>
            <w:tcW w:w="2380" w:type="dxa"/>
            <w:vAlign w:val="bottom"/>
            <w:tcBorders>
              <w:right w:val="single" w:sz="8" w:color="0591DB"/>
            </w:tcBorders>
            <w:gridSpan w:val="2"/>
          </w:tcPr>
          <w:p>
            <w:pPr>
              <w:ind w:left="1100"/>
              <w:spacing w:after="0"/>
              <w:rPr>
                <w:sz w:val="20"/>
                <w:szCs w:val="20"/>
                <w:color w:val="auto"/>
              </w:rPr>
            </w:pPr>
            <w:r>
              <w:rPr>
                <w:rFonts w:ascii="Calibri" w:cs="Calibri" w:eastAsia="Calibri" w:hAnsi="Calibri"/>
                <w:sz w:val="12"/>
                <w:szCs w:val="12"/>
                <w:b w:val="1"/>
                <w:bCs w:val="1"/>
                <w:color w:val="0591DB"/>
              </w:rPr>
              <w:t>NAME</w:t>
            </w:r>
          </w:p>
        </w:tc>
        <w:tc>
          <w:tcPr>
            <w:tcW w:w="7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7"/>
              </w:rPr>
              <w:t>DATE</w:t>
            </w:r>
          </w:p>
        </w:tc>
        <w:tc>
          <w:tcPr>
            <w:tcW w:w="76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89"/>
              </w:rPr>
              <w:t>DATE</w:t>
            </w:r>
          </w:p>
        </w:tc>
        <w:tc>
          <w:tcPr>
            <w:tcW w:w="2240" w:type="dxa"/>
            <w:vAlign w:val="bottom"/>
            <w:tcBorders>
              <w:right w:val="single" w:sz="8" w:color="0591DB"/>
            </w:tcBorders>
            <w:gridSpan w:val="3"/>
          </w:tcPr>
          <w:p>
            <w:pPr>
              <w:jc w:val="center"/>
              <w:spacing w:after="0" w:line="200" w:lineRule="exact"/>
              <w:rPr>
                <w:sz w:val="20"/>
                <w:szCs w:val="20"/>
                <w:color w:val="auto"/>
              </w:rPr>
            </w:pPr>
            <w:r>
              <w:rPr>
                <w:rFonts w:ascii="Calibri" w:cs="Calibri" w:eastAsia="Calibri" w:hAnsi="Calibri"/>
                <w:sz w:val="12"/>
                <w:szCs w:val="12"/>
                <w:b w:val="1"/>
                <w:bCs w:val="1"/>
                <w:color w:val="0591DB"/>
                <w:w w:val="92"/>
              </w:rPr>
              <w:t xml:space="preserve">INCENTIVE PLAN AWARDS </w:t>
            </w:r>
            <w:r>
              <w:rPr>
                <w:rFonts w:ascii="Calibri" w:cs="Calibri" w:eastAsia="Calibri" w:hAnsi="Calibri"/>
                <w:sz w:val="17"/>
                <w:szCs w:val="17"/>
                <w:b w:val="1"/>
                <w:bCs w:val="1"/>
                <w:color w:val="0591DB"/>
                <w:w w:val="92"/>
                <w:vertAlign w:val="superscript"/>
              </w:rPr>
              <w:t>(1)</w:t>
            </w:r>
          </w:p>
        </w:tc>
        <w:tc>
          <w:tcPr>
            <w:tcW w:w="1960" w:type="dxa"/>
            <w:vAlign w:val="bottom"/>
            <w:tcBorders>
              <w:right w:val="single" w:sz="8" w:color="0591DB"/>
            </w:tcBorders>
            <w:gridSpan w:val="4"/>
          </w:tcPr>
          <w:p>
            <w:pPr>
              <w:jc w:val="center"/>
              <w:spacing w:after="0" w:line="200" w:lineRule="exact"/>
              <w:rPr>
                <w:sz w:val="20"/>
                <w:szCs w:val="20"/>
                <w:color w:val="auto"/>
              </w:rPr>
            </w:pPr>
            <w:r>
              <w:rPr>
                <w:rFonts w:ascii="Calibri" w:cs="Calibri" w:eastAsia="Calibri" w:hAnsi="Calibri"/>
                <w:sz w:val="12"/>
                <w:szCs w:val="12"/>
                <w:b w:val="1"/>
                <w:bCs w:val="1"/>
                <w:color w:val="0591DB"/>
                <w:w w:val="92"/>
              </w:rPr>
              <w:t xml:space="preserve">INCENTIVE PLAN AWARDS </w:t>
            </w:r>
            <w:r>
              <w:rPr>
                <w:rFonts w:ascii="Calibri" w:cs="Calibri" w:eastAsia="Calibri" w:hAnsi="Calibri"/>
                <w:sz w:val="17"/>
                <w:szCs w:val="17"/>
                <w:b w:val="1"/>
                <w:bCs w:val="1"/>
                <w:color w:val="0591DB"/>
                <w:w w:val="92"/>
                <w:vertAlign w:val="superscript"/>
              </w:rPr>
              <w:t>(2)</w:t>
            </w:r>
          </w:p>
        </w:tc>
        <w:tc>
          <w:tcPr>
            <w:tcW w:w="7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7"/>
              </w:rPr>
              <w:t>UNITS</w:t>
            </w:r>
          </w:p>
        </w:tc>
        <w:tc>
          <w:tcPr>
            <w:tcW w:w="76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6"/>
              </w:rPr>
              <w:t>OPTIONS</w:t>
            </w:r>
          </w:p>
        </w:tc>
        <w:tc>
          <w:tcPr>
            <w:tcW w:w="62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2"/>
              </w:rPr>
              <w:t>AWARDS</w:t>
            </w:r>
          </w:p>
        </w:tc>
        <w:tc>
          <w:tcPr>
            <w:tcW w:w="760" w:type="dxa"/>
            <w:vAlign w:val="bottom"/>
          </w:tcPr>
          <w:p>
            <w:pPr>
              <w:jc w:val="center"/>
              <w:spacing w:after="0" w:line="200" w:lineRule="exact"/>
              <w:rPr>
                <w:sz w:val="20"/>
                <w:szCs w:val="20"/>
                <w:color w:val="auto"/>
              </w:rPr>
            </w:pPr>
            <w:r>
              <w:rPr>
                <w:rFonts w:ascii="Calibri" w:cs="Calibri" w:eastAsia="Calibri" w:hAnsi="Calibri"/>
                <w:sz w:val="12"/>
                <w:szCs w:val="12"/>
                <w:b w:val="1"/>
                <w:bCs w:val="1"/>
                <w:color w:val="0591DB"/>
                <w:w w:val="88"/>
              </w:rPr>
              <w:t xml:space="preserve">AWARDS </w:t>
            </w:r>
            <w:r>
              <w:rPr>
                <w:rFonts w:ascii="Calibri" w:cs="Calibri" w:eastAsia="Calibri" w:hAnsi="Calibri"/>
                <w:sz w:val="17"/>
                <w:szCs w:val="17"/>
                <w:b w:val="1"/>
                <w:bCs w:val="1"/>
                <w:color w:val="0591DB"/>
                <w:w w:val="88"/>
                <w:vertAlign w:val="superscript"/>
              </w:rPr>
              <w:t>(3)</w:t>
            </w:r>
          </w:p>
        </w:tc>
        <w:tc>
          <w:tcPr>
            <w:tcW w:w="20" w:type="dxa"/>
            <w:vAlign w:val="bottom"/>
            <w:shd w:val="clear" w:color="auto" w:fill="0591DB"/>
          </w:tcPr>
          <w:p>
            <w:pPr>
              <w:spacing w:after="0"/>
              <w:rPr>
                <w:sz w:val="17"/>
                <w:szCs w:val="17"/>
                <w:color w:val="auto"/>
              </w:rPr>
            </w:pPr>
          </w:p>
        </w:tc>
      </w:tr>
      <w:tr>
        <w:trPr>
          <w:trHeight w:val="29"/>
        </w:trPr>
        <w:tc>
          <w:tcPr>
            <w:tcW w:w="40" w:type="dxa"/>
            <w:vAlign w:val="bottom"/>
            <w:tcBorders>
              <w:right w:val="single" w:sz="8" w:color="0591DB"/>
            </w:tcBorders>
          </w:tcPr>
          <w:p>
            <w:pPr>
              <w:spacing w:after="0"/>
              <w:rPr>
                <w:sz w:val="2"/>
                <w:szCs w:val="2"/>
                <w:color w:val="auto"/>
              </w:rPr>
            </w:pPr>
          </w:p>
        </w:tc>
        <w:tc>
          <w:tcPr>
            <w:tcW w:w="2260" w:type="dxa"/>
            <w:vAlign w:val="bottom"/>
            <w:tcBorders>
              <w:bottom w:val="single" w:sz="8" w:color="0591DB"/>
            </w:tcBorders>
          </w:tcPr>
          <w:p>
            <w:pPr>
              <w:spacing w:after="0"/>
              <w:rPr>
                <w:sz w:val="2"/>
                <w:szCs w:val="2"/>
                <w:color w:val="auto"/>
              </w:rPr>
            </w:pPr>
          </w:p>
        </w:tc>
        <w:tc>
          <w:tcPr>
            <w:tcW w:w="120" w:type="dxa"/>
            <w:vAlign w:val="bottom"/>
            <w:tcBorders>
              <w:bottom w:val="single" w:sz="8" w:color="0591DB"/>
              <w:right w:val="single" w:sz="8" w:color="0591DB"/>
            </w:tcBorders>
          </w:tcPr>
          <w:p>
            <w:pPr>
              <w:spacing w:after="0"/>
              <w:rPr>
                <w:sz w:val="2"/>
                <w:szCs w:val="2"/>
                <w:color w:val="auto"/>
              </w:rPr>
            </w:pPr>
          </w:p>
        </w:tc>
        <w:tc>
          <w:tcPr>
            <w:tcW w:w="700" w:type="dxa"/>
            <w:vAlign w:val="bottom"/>
            <w:tcBorders>
              <w:bottom w:val="single" w:sz="8" w:color="0591DB"/>
              <w:right w:val="single" w:sz="8" w:color="0591DB"/>
            </w:tcBorders>
          </w:tcPr>
          <w:p>
            <w:pPr>
              <w:spacing w:after="0"/>
              <w:rPr>
                <w:sz w:val="2"/>
                <w:szCs w:val="2"/>
                <w:color w:val="auto"/>
              </w:rPr>
            </w:pPr>
          </w:p>
        </w:tc>
        <w:tc>
          <w:tcPr>
            <w:tcW w:w="760" w:type="dxa"/>
            <w:vAlign w:val="bottom"/>
            <w:tcBorders>
              <w:bottom w:val="single" w:sz="8" w:color="0591DB"/>
              <w:right w:val="single" w:sz="8" w:color="0591DB"/>
            </w:tcBorders>
          </w:tcPr>
          <w:p>
            <w:pPr>
              <w:spacing w:after="0"/>
              <w:rPr>
                <w:sz w:val="2"/>
                <w:szCs w:val="2"/>
                <w:color w:val="auto"/>
              </w:rPr>
            </w:pPr>
          </w:p>
        </w:tc>
        <w:tc>
          <w:tcPr>
            <w:tcW w:w="740" w:type="dxa"/>
            <w:vAlign w:val="bottom"/>
            <w:tcBorders>
              <w:bottom w:val="single" w:sz="8" w:color="0591DB"/>
            </w:tcBorders>
          </w:tcPr>
          <w:p>
            <w:pPr>
              <w:spacing w:after="0"/>
              <w:rPr>
                <w:sz w:val="2"/>
                <w:szCs w:val="2"/>
                <w:color w:val="auto"/>
              </w:rPr>
            </w:pPr>
          </w:p>
        </w:tc>
        <w:tc>
          <w:tcPr>
            <w:tcW w:w="740" w:type="dxa"/>
            <w:vAlign w:val="bottom"/>
            <w:tcBorders>
              <w:bottom w:val="single" w:sz="8" w:color="0591DB"/>
            </w:tcBorders>
          </w:tcPr>
          <w:p>
            <w:pPr>
              <w:spacing w:after="0"/>
              <w:rPr>
                <w:sz w:val="2"/>
                <w:szCs w:val="2"/>
                <w:color w:val="auto"/>
              </w:rPr>
            </w:pPr>
          </w:p>
        </w:tc>
        <w:tc>
          <w:tcPr>
            <w:tcW w:w="760" w:type="dxa"/>
            <w:vAlign w:val="bottom"/>
            <w:tcBorders>
              <w:bottom w:val="single" w:sz="8" w:color="0591DB"/>
              <w:right w:val="single" w:sz="8" w:color="0591DB"/>
            </w:tcBorders>
          </w:tcPr>
          <w:p>
            <w:pPr>
              <w:spacing w:after="0"/>
              <w:rPr>
                <w:sz w:val="2"/>
                <w:szCs w:val="2"/>
                <w:color w:val="auto"/>
              </w:rPr>
            </w:pPr>
          </w:p>
        </w:tc>
        <w:tc>
          <w:tcPr>
            <w:tcW w:w="740" w:type="dxa"/>
            <w:vAlign w:val="bottom"/>
            <w:tcBorders>
              <w:bottom w:val="single" w:sz="8" w:color="0591DB"/>
            </w:tcBorders>
          </w:tcPr>
          <w:p>
            <w:pPr>
              <w:spacing w:after="0"/>
              <w:rPr>
                <w:sz w:val="2"/>
                <w:szCs w:val="2"/>
                <w:color w:val="auto"/>
              </w:rPr>
            </w:pPr>
          </w:p>
        </w:tc>
        <w:tc>
          <w:tcPr>
            <w:tcW w:w="600" w:type="dxa"/>
            <w:vAlign w:val="bottom"/>
            <w:tcBorders>
              <w:bottom w:val="single" w:sz="8" w:color="0591DB"/>
            </w:tcBorders>
            <w:gridSpan w:val="2"/>
          </w:tcPr>
          <w:p>
            <w:pPr>
              <w:spacing w:after="0"/>
              <w:rPr>
                <w:sz w:val="2"/>
                <w:szCs w:val="2"/>
                <w:color w:val="auto"/>
              </w:rPr>
            </w:pPr>
          </w:p>
        </w:tc>
        <w:tc>
          <w:tcPr>
            <w:tcW w:w="620" w:type="dxa"/>
            <w:vAlign w:val="bottom"/>
            <w:tcBorders>
              <w:bottom w:val="single" w:sz="8" w:color="0591DB"/>
              <w:right w:val="single" w:sz="8" w:color="0591DB"/>
            </w:tcBorders>
          </w:tcPr>
          <w:p>
            <w:pPr>
              <w:spacing w:after="0"/>
              <w:rPr>
                <w:sz w:val="2"/>
                <w:szCs w:val="2"/>
                <w:color w:val="auto"/>
              </w:rPr>
            </w:pPr>
          </w:p>
        </w:tc>
        <w:tc>
          <w:tcPr>
            <w:tcW w:w="700" w:type="dxa"/>
            <w:vAlign w:val="bottom"/>
            <w:tcBorders>
              <w:bottom w:val="single" w:sz="8" w:color="0591DB"/>
              <w:right w:val="single" w:sz="8" w:color="0591DB"/>
            </w:tcBorders>
          </w:tcPr>
          <w:p>
            <w:pPr>
              <w:spacing w:after="0"/>
              <w:rPr>
                <w:sz w:val="2"/>
                <w:szCs w:val="2"/>
                <w:color w:val="auto"/>
              </w:rPr>
            </w:pPr>
          </w:p>
        </w:tc>
        <w:tc>
          <w:tcPr>
            <w:tcW w:w="760" w:type="dxa"/>
            <w:vAlign w:val="bottom"/>
            <w:tcBorders>
              <w:bottom w:val="single" w:sz="8" w:color="0591DB"/>
              <w:right w:val="single" w:sz="8" w:color="0591DB"/>
            </w:tcBorders>
          </w:tcPr>
          <w:p>
            <w:pPr>
              <w:spacing w:after="0"/>
              <w:rPr>
                <w:sz w:val="2"/>
                <w:szCs w:val="2"/>
                <w:color w:val="auto"/>
              </w:rPr>
            </w:pPr>
          </w:p>
        </w:tc>
        <w:tc>
          <w:tcPr>
            <w:tcW w:w="620" w:type="dxa"/>
            <w:vAlign w:val="bottom"/>
            <w:tcBorders>
              <w:bottom w:val="single" w:sz="8" w:color="0591DB"/>
              <w:right w:val="single" w:sz="8" w:color="0591DB"/>
            </w:tcBorders>
          </w:tcPr>
          <w:p>
            <w:pPr>
              <w:spacing w:after="0"/>
              <w:rPr>
                <w:sz w:val="2"/>
                <w:szCs w:val="2"/>
                <w:color w:val="auto"/>
              </w:rPr>
            </w:pPr>
          </w:p>
        </w:tc>
        <w:tc>
          <w:tcPr>
            <w:tcW w:w="76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r>
      <w:tr>
        <w:trPr>
          <w:trHeight w:val="165"/>
        </w:trPr>
        <w:tc>
          <w:tcPr>
            <w:tcW w:w="40" w:type="dxa"/>
            <w:vAlign w:val="bottom"/>
            <w:tcBorders>
              <w:right w:val="single" w:sz="8" w:color="0591DB"/>
            </w:tcBorders>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right w:val="single" w:sz="8" w:color="0591DB"/>
            </w:tcBorders>
          </w:tcPr>
          <w:p>
            <w:pPr>
              <w:spacing w:after="0"/>
              <w:rPr>
                <w:sz w:val="14"/>
                <w:szCs w:val="14"/>
                <w:color w:val="auto"/>
              </w:rPr>
            </w:pPr>
          </w:p>
        </w:tc>
        <w:tc>
          <w:tcPr>
            <w:tcW w:w="700" w:type="dxa"/>
            <w:vAlign w:val="bottom"/>
            <w:tcBorders>
              <w:right w:val="single" w:sz="8" w:color="0591DB"/>
            </w:tcBorders>
          </w:tcPr>
          <w:p>
            <w:pPr>
              <w:spacing w:after="0"/>
              <w:rPr>
                <w:sz w:val="14"/>
                <w:szCs w:val="14"/>
                <w:color w:val="auto"/>
              </w:rPr>
            </w:pPr>
          </w:p>
        </w:tc>
        <w:tc>
          <w:tcPr>
            <w:tcW w:w="760" w:type="dxa"/>
            <w:vAlign w:val="bottom"/>
            <w:tcBorders>
              <w:right w:val="single" w:sz="8" w:color="0591DB"/>
            </w:tcBorders>
          </w:tcPr>
          <w:p>
            <w:pPr>
              <w:spacing w:after="0"/>
              <w:rPr>
                <w:sz w:val="14"/>
                <w:szCs w:val="14"/>
                <w:color w:val="auto"/>
              </w:rPr>
            </w:pPr>
          </w:p>
        </w:tc>
        <w:tc>
          <w:tcPr>
            <w:tcW w:w="74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6"/>
              </w:rPr>
              <w:t>THRESHOLD</w:t>
            </w:r>
          </w:p>
        </w:tc>
        <w:tc>
          <w:tcPr>
            <w:tcW w:w="74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6"/>
              </w:rPr>
              <w:t>TARGET</w:t>
            </w:r>
          </w:p>
        </w:tc>
        <w:tc>
          <w:tcPr>
            <w:tcW w:w="76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9"/>
              </w:rPr>
              <w:t>MAXIMUM</w:t>
            </w:r>
          </w:p>
        </w:tc>
        <w:tc>
          <w:tcPr>
            <w:tcW w:w="74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6"/>
              </w:rPr>
              <w:t>THRESHOLD</w:t>
            </w:r>
          </w:p>
        </w:tc>
        <w:tc>
          <w:tcPr>
            <w:tcW w:w="52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1"/>
              </w:rPr>
              <w:t>TARGET</w:t>
            </w:r>
          </w:p>
        </w:tc>
        <w:tc>
          <w:tcPr>
            <w:tcW w:w="80" w:type="dxa"/>
            <w:vAlign w:val="bottom"/>
          </w:tcPr>
          <w:p>
            <w:pPr>
              <w:spacing w:after="0"/>
              <w:rPr>
                <w:sz w:val="14"/>
                <w:szCs w:val="14"/>
                <w:color w:val="auto"/>
              </w:rPr>
            </w:pPr>
          </w:p>
        </w:tc>
        <w:tc>
          <w:tcPr>
            <w:tcW w:w="620" w:type="dxa"/>
            <w:vAlign w:val="bottom"/>
            <w:tcBorders>
              <w:right w:val="single" w:sz="8" w:color="0591DB"/>
            </w:tcBorders>
          </w:tcPr>
          <w:p>
            <w:pPr>
              <w:jc w:val="center"/>
              <w:ind w:right="10"/>
              <w:spacing w:after="0"/>
              <w:rPr>
                <w:sz w:val="20"/>
                <w:szCs w:val="20"/>
                <w:color w:val="auto"/>
              </w:rPr>
            </w:pPr>
            <w:r>
              <w:rPr>
                <w:rFonts w:ascii="Calibri" w:cs="Calibri" w:eastAsia="Calibri" w:hAnsi="Calibri"/>
                <w:sz w:val="12"/>
                <w:szCs w:val="12"/>
                <w:b w:val="1"/>
                <w:bCs w:val="1"/>
                <w:color w:val="0591DB"/>
                <w:w w:val="95"/>
              </w:rPr>
              <w:t>MAXIMUM</w:t>
            </w:r>
          </w:p>
        </w:tc>
        <w:tc>
          <w:tcPr>
            <w:tcW w:w="700" w:type="dxa"/>
            <w:vAlign w:val="bottom"/>
            <w:tcBorders>
              <w:right w:val="single" w:sz="8" w:color="0591DB"/>
            </w:tcBorders>
          </w:tcPr>
          <w:p>
            <w:pPr>
              <w:spacing w:after="0"/>
              <w:rPr>
                <w:sz w:val="14"/>
                <w:szCs w:val="14"/>
                <w:color w:val="auto"/>
              </w:rPr>
            </w:pPr>
          </w:p>
        </w:tc>
        <w:tc>
          <w:tcPr>
            <w:tcW w:w="760" w:type="dxa"/>
            <w:vAlign w:val="bottom"/>
            <w:tcBorders>
              <w:right w:val="single" w:sz="8" w:color="0591DB"/>
            </w:tcBorders>
          </w:tcPr>
          <w:p>
            <w:pPr>
              <w:spacing w:after="0"/>
              <w:rPr>
                <w:sz w:val="14"/>
                <w:szCs w:val="14"/>
                <w:color w:val="auto"/>
              </w:rPr>
            </w:pPr>
          </w:p>
        </w:tc>
        <w:tc>
          <w:tcPr>
            <w:tcW w:w="620" w:type="dxa"/>
            <w:vAlign w:val="bottom"/>
            <w:tcBorders>
              <w:right w:val="single" w:sz="8" w:color="0591DB"/>
            </w:tcBorders>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shd w:val="clear" w:color="auto" w:fill="0591DB"/>
          </w:tcPr>
          <w:p>
            <w:pPr>
              <w:spacing w:after="0"/>
              <w:rPr>
                <w:sz w:val="14"/>
                <w:szCs w:val="14"/>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right w:val="single" w:sz="8" w:color="0591DB"/>
            </w:tcBorders>
          </w:tcPr>
          <w:p>
            <w:pPr>
              <w:spacing w:after="0"/>
              <w:rPr>
                <w:sz w:val="11"/>
                <w:szCs w:val="11"/>
                <w:color w:val="auto"/>
              </w:rPr>
            </w:pPr>
          </w:p>
        </w:tc>
        <w:tc>
          <w:tcPr>
            <w:tcW w:w="700" w:type="dxa"/>
            <w:vAlign w:val="bottom"/>
            <w:tcBorders>
              <w:right w:val="single" w:sz="8" w:color="0591DB"/>
            </w:tcBorders>
          </w:tcPr>
          <w:p>
            <w:pPr>
              <w:spacing w:after="0"/>
              <w:rPr>
                <w:sz w:val="11"/>
                <w:szCs w:val="11"/>
                <w:color w:val="auto"/>
              </w:rPr>
            </w:pPr>
          </w:p>
        </w:tc>
        <w:tc>
          <w:tcPr>
            <w:tcW w:w="760" w:type="dxa"/>
            <w:vAlign w:val="bottom"/>
            <w:tcBorders>
              <w:right w:val="single" w:sz="8" w:color="0591DB"/>
            </w:tcBorders>
          </w:tcPr>
          <w:p>
            <w:pPr>
              <w:spacing w:after="0"/>
              <w:rPr>
                <w:sz w:val="11"/>
                <w:szCs w:val="11"/>
                <w:color w:val="auto"/>
              </w:rPr>
            </w:pPr>
          </w:p>
        </w:tc>
        <w:tc>
          <w:tcPr>
            <w:tcW w:w="74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rPr>
              <w:t>($)</w:t>
            </w:r>
          </w:p>
        </w:tc>
        <w:tc>
          <w:tcPr>
            <w:tcW w:w="74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rPr>
              <w:t>($)</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88"/>
              </w:rPr>
              <w:t>($)</w:t>
            </w:r>
          </w:p>
        </w:tc>
        <w:tc>
          <w:tcPr>
            <w:tcW w:w="74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rPr>
              <w:t>(#)</w:t>
            </w:r>
          </w:p>
        </w:tc>
        <w:tc>
          <w:tcPr>
            <w:tcW w:w="52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88"/>
              </w:rPr>
              <w:t>(#)</w:t>
            </w:r>
          </w:p>
        </w:tc>
        <w:tc>
          <w:tcPr>
            <w:tcW w:w="80" w:type="dxa"/>
            <w:vAlign w:val="bottom"/>
          </w:tcPr>
          <w:p>
            <w:pPr>
              <w:spacing w:after="0"/>
              <w:rPr>
                <w:sz w:val="11"/>
                <w:szCs w:val="11"/>
                <w:color w:val="auto"/>
              </w:rPr>
            </w:pPr>
          </w:p>
        </w:tc>
        <w:tc>
          <w:tcPr>
            <w:tcW w:w="620" w:type="dxa"/>
            <w:vAlign w:val="bottom"/>
            <w:tcBorders>
              <w:right w:val="single" w:sz="8" w:color="0591DB"/>
            </w:tcBorders>
          </w:tcPr>
          <w:p>
            <w:pPr>
              <w:jc w:val="center"/>
              <w:ind w:right="10"/>
              <w:spacing w:after="0" w:line="134" w:lineRule="exact"/>
              <w:rPr>
                <w:sz w:val="20"/>
                <w:szCs w:val="20"/>
                <w:color w:val="auto"/>
              </w:rPr>
            </w:pPr>
            <w:r>
              <w:rPr>
                <w:rFonts w:ascii="Calibri" w:cs="Calibri" w:eastAsia="Calibri" w:hAnsi="Calibri"/>
                <w:sz w:val="12"/>
                <w:szCs w:val="12"/>
                <w:b w:val="1"/>
                <w:bCs w:val="1"/>
                <w:color w:val="0591DB"/>
              </w:rPr>
              <w:t>(#)</w:t>
            </w:r>
          </w:p>
        </w:tc>
        <w:tc>
          <w:tcPr>
            <w:tcW w:w="70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rPr>
              <w:t>(#)</w:t>
            </w:r>
          </w:p>
        </w:tc>
        <w:tc>
          <w:tcPr>
            <w:tcW w:w="76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88"/>
              </w:rPr>
              <w:t>(#)</w:t>
            </w:r>
          </w:p>
        </w:tc>
        <w:tc>
          <w:tcPr>
            <w:tcW w:w="620" w:type="dxa"/>
            <w:vAlign w:val="bottom"/>
            <w:tcBorders>
              <w:right w:val="single" w:sz="8" w:color="0591DB"/>
            </w:tcBorders>
          </w:tcPr>
          <w:p>
            <w:pPr>
              <w:jc w:val="center"/>
              <w:spacing w:after="0" w:line="134" w:lineRule="exact"/>
              <w:rPr>
                <w:sz w:val="20"/>
                <w:szCs w:val="20"/>
                <w:color w:val="auto"/>
              </w:rPr>
            </w:pPr>
            <w:r>
              <w:rPr>
                <w:rFonts w:ascii="Calibri" w:cs="Calibri" w:eastAsia="Calibri" w:hAnsi="Calibri"/>
                <w:sz w:val="12"/>
                <w:szCs w:val="12"/>
                <w:b w:val="1"/>
                <w:bCs w:val="1"/>
                <w:color w:val="0591DB"/>
                <w:w w:val="97"/>
              </w:rPr>
              <w:t>($/Sh)</w:t>
            </w:r>
          </w:p>
        </w:tc>
        <w:tc>
          <w:tcPr>
            <w:tcW w:w="760" w:type="dxa"/>
            <w:vAlign w:val="bottom"/>
          </w:tcPr>
          <w:p>
            <w:pPr>
              <w:spacing w:after="0"/>
              <w:rPr>
                <w:sz w:val="11"/>
                <w:szCs w:val="11"/>
                <w:color w:val="auto"/>
              </w:rPr>
            </w:pPr>
          </w:p>
        </w:tc>
        <w:tc>
          <w:tcPr>
            <w:tcW w:w="20" w:type="dxa"/>
            <w:vAlign w:val="bottom"/>
            <w:shd w:val="clear" w:color="auto" w:fill="0591DB"/>
          </w:tcPr>
          <w:p>
            <w:pPr>
              <w:spacing w:after="0"/>
              <w:rPr>
                <w:sz w:val="11"/>
                <w:szCs w:val="11"/>
                <w:color w:val="auto"/>
              </w:rPr>
            </w:pPr>
          </w:p>
        </w:tc>
      </w:tr>
      <w:tr>
        <w:trPr>
          <w:trHeight w:val="150"/>
        </w:trPr>
        <w:tc>
          <w:tcPr>
            <w:tcW w:w="40" w:type="dxa"/>
            <w:vAlign w:val="bottom"/>
            <w:tcBorders>
              <w:right w:val="single" w:sz="8" w:color="0591DB"/>
            </w:tcBorders>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Borders>
              <w:right w:val="single" w:sz="8" w:color="0591DB"/>
            </w:tcBorders>
          </w:tcPr>
          <w:p>
            <w:pPr>
              <w:spacing w:after="0"/>
              <w:rPr>
                <w:sz w:val="13"/>
                <w:szCs w:val="13"/>
                <w:color w:val="auto"/>
              </w:rPr>
            </w:pPr>
          </w:p>
        </w:tc>
        <w:tc>
          <w:tcPr>
            <w:tcW w:w="7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(a)</w:t>
            </w:r>
          </w:p>
        </w:tc>
        <w:tc>
          <w:tcPr>
            <w:tcW w:w="76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85"/>
              </w:rPr>
              <w:t>(b)</w:t>
            </w:r>
          </w:p>
        </w:tc>
        <w:tc>
          <w:tcPr>
            <w:tcW w:w="74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5"/>
              </w:rPr>
              <w:t>(c)</w:t>
            </w:r>
          </w:p>
        </w:tc>
        <w:tc>
          <w:tcPr>
            <w:tcW w:w="74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rPr>
              <w:t>(d)</w:t>
            </w:r>
          </w:p>
        </w:tc>
        <w:tc>
          <w:tcPr>
            <w:tcW w:w="76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88"/>
              </w:rPr>
              <w:t>(e)</w:t>
            </w:r>
          </w:p>
        </w:tc>
        <w:tc>
          <w:tcPr>
            <w:tcW w:w="74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88"/>
              </w:rPr>
              <w:t>(f)</w:t>
            </w:r>
          </w:p>
        </w:tc>
        <w:tc>
          <w:tcPr>
            <w:tcW w:w="52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0"/>
              </w:rPr>
              <w:t>(g)</w:t>
            </w:r>
          </w:p>
        </w:tc>
        <w:tc>
          <w:tcPr>
            <w:tcW w:w="80" w:type="dxa"/>
            <w:vAlign w:val="bottom"/>
          </w:tcPr>
          <w:p>
            <w:pPr>
              <w:spacing w:after="0"/>
              <w:rPr>
                <w:sz w:val="13"/>
                <w:szCs w:val="13"/>
                <w:color w:val="auto"/>
              </w:rPr>
            </w:pPr>
          </w:p>
        </w:tc>
        <w:tc>
          <w:tcPr>
            <w:tcW w:w="620" w:type="dxa"/>
            <w:vAlign w:val="bottom"/>
            <w:tcBorders>
              <w:right w:val="single" w:sz="8" w:color="0591DB"/>
            </w:tcBorders>
          </w:tcPr>
          <w:p>
            <w:pPr>
              <w:jc w:val="center"/>
              <w:ind w:right="10"/>
              <w:spacing w:after="0" w:line="137" w:lineRule="exact"/>
              <w:rPr>
                <w:sz w:val="20"/>
                <w:szCs w:val="20"/>
                <w:color w:val="auto"/>
              </w:rPr>
            </w:pPr>
            <w:r>
              <w:rPr>
                <w:rFonts w:ascii="Calibri" w:cs="Calibri" w:eastAsia="Calibri" w:hAnsi="Calibri"/>
                <w:sz w:val="12"/>
                <w:szCs w:val="12"/>
                <w:b w:val="1"/>
                <w:bCs w:val="1"/>
                <w:color w:val="0591DB"/>
              </w:rPr>
              <w:t>(h)</w:t>
            </w:r>
          </w:p>
        </w:tc>
        <w:tc>
          <w:tcPr>
            <w:tcW w:w="70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w w:val="95"/>
              </w:rPr>
              <w:t>(i)</w:t>
            </w:r>
          </w:p>
        </w:tc>
        <w:tc>
          <w:tcPr>
            <w:tcW w:w="760" w:type="dxa"/>
            <w:vAlign w:val="bottom"/>
            <w:tcBorders>
              <w:right w:val="single" w:sz="8" w:color="0591DB"/>
            </w:tcBorders>
          </w:tcPr>
          <w:p>
            <w:pPr>
              <w:jc w:val="center"/>
              <w:spacing w:after="0" w:line="137" w:lineRule="exact"/>
              <w:rPr>
                <w:sz w:val="20"/>
                <w:szCs w:val="20"/>
                <w:color w:val="auto"/>
              </w:rPr>
            </w:pPr>
            <w:r>
              <w:rPr>
                <w:rFonts w:ascii="Calibri" w:cs="Calibri" w:eastAsia="Calibri" w:hAnsi="Calibri"/>
                <w:sz w:val="12"/>
                <w:szCs w:val="12"/>
                <w:b w:val="1"/>
                <w:bCs w:val="1"/>
                <w:color w:val="0591DB"/>
              </w:rPr>
              <w:t>(j)</w:t>
            </w:r>
          </w:p>
        </w:tc>
        <w:tc>
          <w:tcPr>
            <w:tcW w:w="62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(k)</w:t>
            </w:r>
          </w:p>
        </w:tc>
        <w:tc>
          <w:tcPr>
            <w:tcW w:w="760" w:type="dxa"/>
            <w:vAlign w:val="bottom"/>
          </w:tcPr>
          <w:p>
            <w:pPr>
              <w:jc w:val="center"/>
              <w:spacing w:after="0"/>
              <w:rPr>
                <w:sz w:val="20"/>
                <w:szCs w:val="20"/>
                <w:color w:val="auto"/>
              </w:rPr>
            </w:pPr>
            <w:r>
              <w:rPr>
                <w:rFonts w:ascii="Calibri" w:cs="Calibri" w:eastAsia="Calibri" w:hAnsi="Calibri"/>
                <w:sz w:val="12"/>
                <w:szCs w:val="12"/>
                <w:b w:val="1"/>
                <w:bCs w:val="1"/>
                <w:color w:val="0591DB"/>
                <w:w w:val="97"/>
              </w:rPr>
              <w:t>($) (l)</w:t>
            </w:r>
          </w:p>
        </w:tc>
        <w:tc>
          <w:tcPr>
            <w:tcW w:w="20" w:type="dxa"/>
            <w:vAlign w:val="bottom"/>
            <w:shd w:val="clear" w:color="auto" w:fill="0591DB"/>
          </w:tcPr>
          <w:p>
            <w:pPr>
              <w:spacing w:after="0"/>
              <w:rPr>
                <w:sz w:val="13"/>
                <w:szCs w:val="13"/>
                <w:color w:val="auto"/>
              </w:rPr>
            </w:pPr>
          </w:p>
        </w:tc>
      </w:tr>
      <w:tr>
        <w:trPr>
          <w:trHeight w:val="79"/>
        </w:trPr>
        <w:tc>
          <w:tcPr>
            <w:tcW w:w="40" w:type="dxa"/>
            <w:vAlign w:val="bottom"/>
            <w:tcBorders>
              <w:right w:val="single" w:sz="8" w:color="0591DB"/>
            </w:tcBorders>
          </w:tcPr>
          <w:p>
            <w:pPr>
              <w:spacing w:after="0"/>
              <w:rPr>
                <w:sz w:val="6"/>
                <w:szCs w:val="6"/>
                <w:color w:val="auto"/>
              </w:rPr>
            </w:pPr>
          </w:p>
        </w:tc>
        <w:tc>
          <w:tcPr>
            <w:tcW w:w="2260" w:type="dxa"/>
            <w:vAlign w:val="bottom"/>
            <w:tcBorders>
              <w:bottom w:val="single" w:sz="8" w:color="0591DB"/>
            </w:tcBorders>
          </w:tcPr>
          <w:p>
            <w:pPr>
              <w:spacing w:after="0"/>
              <w:rPr>
                <w:sz w:val="6"/>
                <w:szCs w:val="6"/>
                <w:color w:val="auto"/>
              </w:rPr>
            </w:pPr>
          </w:p>
        </w:tc>
        <w:tc>
          <w:tcPr>
            <w:tcW w:w="120" w:type="dxa"/>
            <w:vAlign w:val="bottom"/>
            <w:tcBorders>
              <w:bottom w:val="single" w:sz="8" w:color="0591DB"/>
              <w:right w:val="single" w:sz="8" w:color="0591DB"/>
            </w:tcBorders>
          </w:tcPr>
          <w:p>
            <w:pPr>
              <w:spacing w:after="0"/>
              <w:rPr>
                <w:sz w:val="6"/>
                <w:szCs w:val="6"/>
                <w:color w:val="auto"/>
              </w:rPr>
            </w:pPr>
          </w:p>
        </w:tc>
        <w:tc>
          <w:tcPr>
            <w:tcW w:w="700" w:type="dxa"/>
            <w:vAlign w:val="bottom"/>
            <w:tcBorders>
              <w:bottom w:val="single" w:sz="8" w:color="0591DB"/>
              <w:right w:val="single" w:sz="8" w:color="0591DB"/>
            </w:tcBorders>
          </w:tcPr>
          <w:p>
            <w:pPr>
              <w:spacing w:after="0"/>
              <w:rPr>
                <w:sz w:val="6"/>
                <w:szCs w:val="6"/>
                <w:color w:val="auto"/>
              </w:rPr>
            </w:pPr>
          </w:p>
        </w:tc>
        <w:tc>
          <w:tcPr>
            <w:tcW w:w="760" w:type="dxa"/>
            <w:vAlign w:val="bottom"/>
            <w:tcBorders>
              <w:bottom w:val="single" w:sz="8" w:color="0591DB"/>
              <w:right w:val="single" w:sz="8" w:color="0591DB"/>
            </w:tcBorders>
          </w:tcPr>
          <w:p>
            <w:pPr>
              <w:spacing w:after="0"/>
              <w:rPr>
                <w:sz w:val="6"/>
                <w:szCs w:val="6"/>
                <w:color w:val="auto"/>
              </w:rPr>
            </w:pPr>
          </w:p>
        </w:tc>
        <w:tc>
          <w:tcPr>
            <w:tcW w:w="740" w:type="dxa"/>
            <w:vAlign w:val="bottom"/>
            <w:tcBorders>
              <w:bottom w:val="single" w:sz="8" w:color="0591DB"/>
              <w:right w:val="single" w:sz="8" w:color="0591DB"/>
            </w:tcBorders>
          </w:tcPr>
          <w:p>
            <w:pPr>
              <w:spacing w:after="0"/>
              <w:rPr>
                <w:sz w:val="6"/>
                <w:szCs w:val="6"/>
                <w:color w:val="auto"/>
              </w:rPr>
            </w:pPr>
          </w:p>
        </w:tc>
        <w:tc>
          <w:tcPr>
            <w:tcW w:w="740" w:type="dxa"/>
            <w:vAlign w:val="bottom"/>
            <w:tcBorders>
              <w:bottom w:val="single" w:sz="8" w:color="0591DB"/>
              <w:right w:val="single" w:sz="8" w:color="0591DB"/>
            </w:tcBorders>
          </w:tcPr>
          <w:p>
            <w:pPr>
              <w:spacing w:after="0"/>
              <w:rPr>
                <w:sz w:val="6"/>
                <w:szCs w:val="6"/>
                <w:color w:val="auto"/>
              </w:rPr>
            </w:pPr>
          </w:p>
        </w:tc>
        <w:tc>
          <w:tcPr>
            <w:tcW w:w="760" w:type="dxa"/>
            <w:vAlign w:val="bottom"/>
            <w:tcBorders>
              <w:bottom w:val="single" w:sz="8" w:color="0591DB"/>
              <w:right w:val="single" w:sz="8" w:color="0591DB"/>
            </w:tcBorders>
          </w:tcPr>
          <w:p>
            <w:pPr>
              <w:spacing w:after="0"/>
              <w:rPr>
                <w:sz w:val="6"/>
                <w:szCs w:val="6"/>
                <w:color w:val="auto"/>
              </w:rPr>
            </w:pPr>
          </w:p>
        </w:tc>
        <w:tc>
          <w:tcPr>
            <w:tcW w:w="740" w:type="dxa"/>
            <w:vAlign w:val="bottom"/>
            <w:tcBorders>
              <w:bottom w:val="single" w:sz="8" w:color="0591DB"/>
              <w:right w:val="single" w:sz="8" w:color="0591DB"/>
            </w:tcBorders>
          </w:tcPr>
          <w:p>
            <w:pPr>
              <w:spacing w:after="0"/>
              <w:rPr>
                <w:sz w:val="6"/>
                <w:szCs w:val="6"/>
                <w:color w:val="auto"/>
              </w:rPr>
            </w:pPr>
          </w:p>
        </w:tc>
        <w:tc>
          <w:tcPr>
            <w:tcW w:w="520" w:type="dxa"/>
            <w:vAlign w:val="bottom"/>
            <w:tcBorders>
              <w:bottom w:val="single" w:sz="8" w:color="0591DB"/>
              <w:right w:val="single" w:sz="8" w:color="0591DB"/>
            </w:tcBorders>
          </w:tcPr>
          <w:p>
            <w:pPr>
              <w:spacing w:after="0"/>
              <w:rPr>
                <w:sz w:val="6"/>
                <w:szCs w:val="6"/>
                <w:color w:val="auto"/>
              </w:rPr>
            </w:pPr>
          </w:p>
        </w:tc>
        <w:tc>
          <w:tcPr>
            <w:tcW w:w="80" w:type="dxa"/>
            <w:vAlign w:val="bottom"/>
            <w:tcBorders>
              <w:bottom w:val="single" w:sz="8" w:color="0591DB"/>
            </w:tcBorders>
          </w:tcPr>
          <w:p>
            <w:pPr>
              <w:spacing w:after="0"/>
              <w:rPr>
                <w:sz w:val="6"/>
                <w:szCs w:val="6"/>
                <w:color w:val="auto"/>
              </w:rPr>
            </w:pPr>
          </w:p>
        </w:tc>
        <w:tc>
          <w:tcPr>
            <w:tcW w:w="620" w:type="dxa"/>
            <w:vAlign w:val="bottom"/>
            <w:tcBorders>
              <w:bottom w:val="single" w:sz="8" w:color="0591DB"/>
              <w:right w:val="single" w:sz="8" w:color="0591DB"/>
            </w:tcBorders>
          </w:tcPr>
          <w:p>
            <w:pPr>
              <w:spacing w:after="0"/>
              <w:rPr>
                <w:sz w:val="6"/>
                <w:szCs w:val="6"/>
                <w:color w:val="auto"/>
              </w:rPr>
            </w:pPr>
          </w:p>
        </w:tc>
        <w:tc>
          <w:tcPr>
            <w:tcW w:w="700" w:type="dxa"/>
            <w:vAlign w:val="bottom"/>
            <w:tcBorders>
              <w:bottom w:val="single" w:sz="8" w:color="0591DB"/>
              <w:right w:val="single" w:sz="8" w:color="0591DB"/>
            </w:tcBorders>
          </w:tcPr>
          <w:p>
            <w:pPr>
              <w:spacing w:after="0"/>
              <w:rPr>
                <w:sz w:val="6"/>
                <w:szCs w:val="6"/>
                <w:color w:val="auto"/>
              </w:rPr>
            </w:pPr>
          </w:p>
        </w:tc>
        <w:tc>
          <w:tcPr>
            <w:tcW w:w="760" w:type="dxa"/>
            <w:vAlign w:val="bottom"/>
            <w:tcBorders>
              <w:bottom w:val="single" w:sz="8" w:color="0591DB"/>
              <w:right w:val="single" w:sz="8" w:color="0591DB"/>
            </w:tcBorders>
          </w:tcPr>
          <w:p>
            <w:pPr>
              <w:spacing w:after="0"/>
              <w:rPr>
                <w:sz w:val="6"/>
                <w:szCs w:val="6"/>
                <w:color w:val="auto"/>
              </w:rPr>
            </w:pPr>
          </w:p>
        </w:tc>
        <w:tc>
          <w:tcPr>
            <w:tcW w:w="620" w:type="dxa"/>
            <w:vAlign w:val="bottom"/>
            <w:tcBorders>
              <w:bottom w:val="single" w:sz="8" w:color="0591DB"/>
              <w:right w:val="single" w:sz="8" w:color="0591DB"/>
            </w:tcBorders>
          </w:tcPr>
          <w:p>
            <w:pPr>
              <w:spacing w:after="0"/>
              <w:rPr>
                <w:sz w:val="6"/>
                <w:szCs w:val="6"/>
                <w:color w:val="auto"/>
              </w:rPr>
            </w:pPr>
          </w:p>
        </w:tc>
        <w:tc>
          <w:tcPr>
            <w:tcW w:w="76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r>
      <w:tr>
        <w:trPr>
          <w:trHeight w:val="162"/>
        </w:trPr>
        <w:tc>
          <w:tcPr>
            <w:tcW w:w="40" w:type="dxa"/>
            <w:vAlign w:val="bottom"/>
          </w:tcPr>
          <w:p>
            <w:pPr>
              <w:spacing w:after="0"/>
              <w:rPr>
                <w:sz w:val="14"/>
                <w:szCs w:val="14"/>
                <w:color w:val="auto"/>
              </w:rPr>
            </w:pPr>
          </w:p>
        </w:tc>
        <w:tc>
          <w:tcPr>
            <w:tcW w:w="2380" w:type="dxa"/>
            <w:vAlign w:val="bottom"/>
            <w:gridSpan w:val="2"/>
          </w:tcPr>
          <w:p>
            <w:pPr>
              <w:spacing w:after="0" w:line="162" w:lineRule="exact"/>
              <w:rPr>
                <w:sz w:val="20"/>
                <w:szCs w:val="20"/>
                <w:color w:val="auto"/>
              </w:rPr>
            </w:pPr>
            <w:r>
              <w:rPr>
                <w:rFonts w:ascii="Calibri" w:cs="Calibri" w:eastAsia="Calibri" w:hAnsi="Calibri"/>
                <w:sz w:val="14"/>
                <w:szCs w:val="14"/>
                <w:b w:val="1"/>
                <w:bCs w:val="1"/>
                <w:color w:val="0591DB"/>
              </w:rPr>
              <w:t> Steven H.  Gunby</w:t>
            </w:r>
          </w:p>
        </w:tc>
        <w:tc>
          <w:tcPr>
            <w:tcW w:w="700" w:type="dxa"/>
            <w:vAlign w:val="bottom"/>
          </w:tcPr>
          <w:p>
            <w:pPr>
              <w:jc w:val="center"/>
              <w:spacing w:after="0" w:line="162" w:lineRule="exact"/>
              <w:rPr>
                <w:sz w:val="20"/>
                <w:szCs w:val="20"/>
                <w:color w:val="auto"/>
              </w:rPr>
            </w:pPr>
            <w:r>
              <w:rPr>
                <w:rFonts w:ascii="Calibri" w:cs="Calibri" w:eastAsia="Calibri" w:hAnsi="Calibri"/>
                <w:sz w:val="14"/>
                <w:szCs w:val="14"/>
                <w:color w:val="333333"/>
                <w:w w:val="99"/>
              </w:rPr>
              <w:t>2/17/25</w:t>
            </w:r>
          </w:p>
        </w:tc>
        <w:tc>
          <w:tcPr>
            <w:tcW w:w="760" w:type="dxa"/>
            <w:vAlign w:val="bottom"/>
          </w:tcPr>
          <w:p>
            <w:pPr>
              <w:jc w:val="center"/>
              <w:spacing w:after="0" w:line="162" w:lineRule="exact"/>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line="162" w:lineRule="exact"/>
              <w:rPr>
                <w:sz w:val="20"/>
                <w:szCs w:val="20"/>
                <w:color w:val="auto"/>
              </w:rPr>
            </w:pPr>
            <w:r>
              <w:rPr>
                <w:rFonts w:ascii="Calibri" w:cs="Calibri" w:eastAsia="Calibri" w:hAnsi="Calibri"/>
                <w:sz w:val="14"/>
                <w:szCs w:val="14"/>
                <w:color w:val="333333"/>
              </w:rPr>
              <w:t>1,000,000</w:t>
            </w:r>
          </w:p>
        </w:tc>
        <w:tc>
          <w:tcPr>
            <w:tcW w:w="740" w:type="dxa"/>
            <w:vAlign w:val="bottom"/>
          </w:tcPr>
          <w:p>
            <w:pPr>
              <w:jc w:val="center"/>
              <w:spacing w:after="0" w:line="162" w:lineRule="exact"/>
              <w:rPr>
                <w:sz w:val="20"/>
                <w:szCs w:val="20"/>
                <w:color w:val="auto"/>
              </w:rPr>
            </w:pPr>
            <w:r>
              <w:rPr>
                <w:rFonts w:ascii="Calibri" w:cs="Calibri" w:eastAsia="Calibri" w:hAnsi="Calibri"/>
                <w:sz w:val="14"/>
                <w:szCs w:val="14"/>
                <w:color w:val="333333"/>
              </w:rPr>
              <w:t>2,000,000</w:t>
            </w:r>
          </w:p>
        </w:tc>
        <w:tc>
          <w:tcPr>
            <w:tcW w:w="760" w:type="dxa"/>
            <w:vAlign w:val="bottom"/>
          </w:tcPr>
          <w:p>
            <w:pPr>
              <w:jc w:val="center"/>
              <w:spacing w:after="0" w:line="162" w:lineRule="exact"/>
              <w:rPr>
                <w:sz w:val="20"/>
                <w:szCs w:val="20"/>
                <w:color w:val="auto"/>
              </w:rPr>
            </w:pPr>
            <w:r>
              <w:rPr>
                <w:rFonts w:ascii="Calibri" w:cs="Calibri" w:eastAsia="Calibri" w:hAnsi="Calibri"/>
                <w:sz w:val="14"/>
                <w:szCs w:val="14"/>
                <w:color w:val="333333"/>
              </w:rPr>
              <w:t>3,000,000</w:t>
            </w:r>
          </w:p>
        </w:tc>
        <w:tc>
          <w:tcPr>
            <w:tcW w:w="740" w:type="dxa"/>
            <w:vAlign w:val="bottom"/>
          </w:tcPr>
          <w:p>
            <w:pPr>
              <w:jc w:val="center"/>
              <w:spacing w:after="0" w:line="162" w:lineRule="exact"/>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line="162" w:lineRule="exact"/>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line="162" w:lineRule="exact"/>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line="162" w:lineRule="exact"/>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line="162" w:lineRule="exact"/>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line="162" w:lineRule="exact"/>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line="162" w:lineRule="exact"/>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2,657</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9"/>
              </w:rPr>
              <w:t>451,185</w:t>
            </w:r>
          </w:p>
        </w:tc>
        <w:tc>
          <w:tcPr>
            <w:tcW w:w="2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14,902</w:t>
            </w:r>
          </w:p>
        </w:tc>
        <w:tc>
          <w:tcPr>
            <w:tcW w:w="520" w:type="dxa"/>
            <w:vAlign w:val="bottom"/>
          </w:tcPr>
          <w:p>
            <w:pPr>
              <w:jc w:val="center"/>
              <w:spacing w:after="0"/>
              <w:rPr>
                <w:sz w:val="20"/>
                <w:szCs w:val="20"/>
                <w:color w:val="auto"/>
              </w:rPr>
            </w:pPr>
            <w:r>
              <w:rPr>
                <w:rFonts w:ascii="Calibri" w:cs="Calibri" w:eastAsia="Calibri" w:hAnsi="Calibri"/>
                <w:sz w:val="14"/>
                <w:szCs w:val="14"/>
                <w:color w:val="333333"/>
              </w:rPr>
              <w:t>29,805</w:t>
            </w:r>
          </w:p>
        </w:tc>
        <w:tc>
          <w:tcPr>
            <w:tcW w:w="8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w w:val="97"/>
              </w:rPr>
              <w:t>44,707</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4,666,569</w:t>
            </w:r>
          </w:p>
        </w:tc>
        <w:tc>
          <w:tcPr>
            <w:tcW w:w="2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13,740</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2,333,189</w:t>
            </w:r>
          </w:p>
        </w:tc>
        <w:tc>
          <w:tcPr>
            <w:tcW w:w="20" w:type="dxa"/>
            <w:vAlign w:val="bottom"/>
          </w:tcPr>
          <w:p>
            <w:pPr>
              <w:spacing w:after="0"/>
              <w:rPr>
                <w:sz w:val="20"/>
                <w:szCs w:val="20"/>
                <w:color w:val="auto"/>
              </w:rPr>
            </w:pPr>
          </w:p>
        </w:tc>
      </w:tr>
      <w:tr>
        <w:trPr>
          <w:trHeight w:val="86"/>
        </w:trPr>
        <w:tc>
          <w:tcPr>
            <w:tcW w:w="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1"/>
        </w:trPr>
        <w:tc>
          <w:tcPr>
            <w:tcW w:w="40" w:type="dxa"/>
            <w:vAlign w:val="bottom"/>
            <w:tcBorders>
              <w:right w:val="single" w:sz="8" w:color="EFF2EF"/>
            </w:tcBorders>
          </w:tcPr>
          <w:p>
            <w:pPr>
              <w:spacing w:after="0"/>
              <w:rPr>
                <w:sz w:val="15"/>
                <w:szCs w:val="15"/>
                <w:color w:val="auto"/>
              </w:rPr>
            </w:pPr>
          </w:p>
        </w:tc>
        <w:tc>
          <w:tcPr>
            <w:tcW w:w="2380" w:type="dxa"/>
            <w:vAlign w:val="bottom"/>
            <w:tcBorders>
              <w:right w:val="single" w:sz="8" w:color="EFF2EF"/>
            </w:tcBorders>
            <w:gridSpan w:val="2"/>
            <w:shd w:val="clear" w:color="auto" w:fill="EFF2EF"/>
          </w:tcPr>
          <w:p>
            <w:pPr>
              <w:spacing w:after="0"/>
              <w:rPr>
                <w:sz w:val="20"/>
                <w:szCs w:val="20"/>
                <w:color w:val="auto"/>
              </w:rPr>
            </w:pPr>
            <w:r>
              <w:rPr>
                <w:rFonts w:ascii="Calibri" w:cs="Calibri" w:eastAsia="Calibri" w:hAnsi="Calibri"/>
                <w:sz w:val="14"/>
                <w:szCs w:val="14"/>
                <w:b w:val="1"/>
                <w:bCs w:val="1"/>
                <w:color w:val="0591DB"/>
              </w:rPr>
              <w:t> Paul  Linton</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9"/>
              </w:rPr>
              <w:t>2/17/25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9"/>
              </w:rPr>
              <w:t>437,500</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9"/>
              </w:rPr>
              <w:t>875,000</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1,312,500</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r>
      <w:tr>
        <w:trPr>
          <w:trHeight w:val="241"/>
        </w:trPr>
        <w:tc>
          <w:tcPr>
            <w:tcW w:w="40" w:type="dxa"/>
            <w:vAlign w:val="bottom"/>
            <w:tcBorders>
              <w:right w:val="single" w:sz="8" w:color="EFF2EF"/>
            </w:tcBorders>
          </w:tcPr>
          <w:p>
            <w:pPr>
              <w:spacing w:after="0"/>
              <w:rPr>
                <w:sz w:val="20"/>
                <w:szCs w:val="20"/>
                <w:color w:val="auto"/>
              </w:rPr>
            </w:pPr>
          </w:p>
        </w:tc>
        <w:tc>
          <w:tcPr>
            <w:tcW w:w="2260" w:type="dxa"/>
            <w:vAlign w:val="bottom"/>
            <w:shd w:val="clear" w:color="auto" w:fill="EFF2EF"/>
          </w:tcPr>
          <w:p>
            <w:pPr>
              <w:spacing w:after="0"/>
              <w:rPr>
                <w:sz w:val="20"/>
                <w:szCs w:val="20"/>
                <w:color w:val="auto"/>
              </w:rPr>
            </w:pPr>
          </w:p>
        </w:tc>
        <w:tc>
          <w:tcPr>
            <w:tcW w:w="120" w:type="dxa"/>
            <w:vAlign w:val="bottom"/>
            <w:tcBorders>
              <w:right w:val="single" w:sz="8" w:color="EFF2EF"/>
            </w:tcBorders>
            <w:shd w:val="clear" w:color="auto" w:fill="EFF2EF"/>
          </w:tcPr>
          <w:p>
            <w:pPr>
              <w:spacing w:after="0"/>
              <w:rPr>
                <w:sz w:val="20"/>
                <w:szCs w:val="20"/>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1,633</w:t>
            </w:r>
          </w:p>
        </w:tc>
        <w:tc>
          <w:tcPr>
            <w:tcW w:w="5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3,267</w:t>
            </w:r>
          </w:p>
        </w:tc>
        <w:tc>
          <w:tcPr>
            <w:tcW w:w="80" w:type="dxa"/>
            <w:vAlign w:val="bottom"/>
            <w:shd w:val="clear" w:color="auto" w:fill="EFF2EF"/>
          </w:tcPr>
          <w:p>
            <w:pPr>
              <w:spacing w:after="0"/>
              <w:rPr>
                <w:sz w:val="20"/>
                <w:szCs w:val="20"/>
                <w:color w:val="auto"/>
              </w:rPr>
            </w:pP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4,900</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524,844</w:t>
            </w:r>
          </w:p>
        </w:tc>
        <w:tc>
          <w:tcPr>
            <w:tcW w:w="20" w:type="dxa"/>
            <w:vAlign w:val="bottom"/>
          </w:tcPr>
          <w:p>
            <w:pPr>
              <w:spacing w:after="0"/>
              <w:rPr>
                <w:sz w:val="20"/>
                <w:szCs w:val="20"/>
                <w:color w:val="auto"/>
              </w:rPr>
            </w:pPr>
          </w:p>
        </w:tc>
      </w:tr>
      <w:tr>
        <w:trPr>
          <w:trHeight w:val="241"/>
        </w:trPr>
        <w:tc>
          <w:tcPr>
            <w:tcW w:w="40" w:type="dxa"/>
            <w:vAlign w:val="bottom"/>
            <w:tcBorders>
              <w:right w:val="single" w:sz="8" w:color="EFF2EF"/>
            </w:tcBorders>
          </w:tcPr>
          <w:p>
            <w:pPr>
              <w:spacing w:after="0"/>
              <w:rPr>
                <w:sz w:val="20"/>
                <w:szCs w:val="20"/>
                <w:color w:val="auto"/>
              </w:rPr>
            </w:pPr>
          </w:p>
        </w:tc>
        <w:tc>
          <w:tcPr>
            <w:tcW w:w="2260" w:type="dxa"/>
            <w:vAlign w:val="bottom"/>
            <w:shd w:val="clear" w:color="auto" w:fill="EFF2EF"/>
          </w:tcPr>
          <w:p>
            <w:pPr>
              <w:spacing w:after="0"/>
              <w:rPr>
                <w:sz w:val="20"/>
                <w:szCs w:val="20"/>
                <w:color w:val="auto"/>
              </w:rPr>
            </w:pPr>
          </w:p>
        </w:tc>
        <w:tc>
          <w:tcPr>
            <w:tcW w:w="120" w:type="dxa"/>
            <w:vAlign w:val="bottom"/>
            <w:tcBorders>
              <w:right w:val="single" w:sz="8" w:color="EFF2EF"/>
            </w:tcBorders>
            <w:shd w:val="clear" w:color="auto" w:fill="EFF2EF"/>
          </w:tcPr>
          <w:p>
            <w:pPr>
              <w:spacing w:after="0"/>
              <w:rPr>
                <w:sz w:val="20"/>
                <w:szCs w:val="20"/>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2,061</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349,978</w:t>
            </w:r>
          </w:p>
        </w:tc>
        <w:tc>
          <w:tcPr>
            <w:tcW w:w="20" w:type="dxa"/>
            <w:vAlign w:val="bottom"/>
          </w:tcPr>
          <w:p>
            <w:pPr>
              <w:spacing w:after="0"/>
              <w:rPr>
                <w:sz w:val="20"/>
                <w:szCs w:val="20"/>
                <w:color w:val="auto"/>
              </w:rPr>
            </w:pPr>
          </w:p>
        </w:tc>
      </w:tr>
      <w:tr>
        <w:trPr>
          <w:trHeight w:val="327"/>
        </w:trPr>
        <w:tc>
          <w:tcPr>
            <w:tcW w:w="40" w:type="dxa"/>
            <w:vAlign w:val="bottom"/>
            <w:tcBorders>
              <w:right w:val="single" w:sz="8" w:color="EFF2EF"/>
            </w:tcBorders>
          </w:tcPr>
          <w:p>
            <w:pPr>
              <w:spacing w:after="0"/>
              <w:rPr>
                <w:sz w:val="24"/>
                <w:szCs w:val="24"/>
                <w:color w:val="auto"/>
              </w:rPr>
            </w:pPr>
          </w:p>
        </w:tc>
        <w:tc>
          <w:tcPr>
            <w:tcW w:w="2260" w:type="dxa"/>
            <w:vAlign w:val="bottom"/>
            <w:shd w:val="clear" w:color="auto" w:fill="EFF2EF"/>
          </w:tcPr>
          <w:p>
            <w:pPr>
              <w:spacing w:after="0"/>
              <w:rPr>
                <w:sz w:val="24"/>
                <w:szCs w:val="24"/>
                <w:color w:val="auto"/>
              </w:rPr>
            </w:pPr>
          </w:p>
        </w:tc>
        <w:tc>
          <w:tcPr>
            <w:tcW w:w="120" w:type="dxa"/>
            <w:vAlign w:val="bottom"/>
            <w:tcBorders>
              <w:right w:val="single" w:sz="8" w:color="EFF2EF"/>
            </w:tcBorders>
            <w:shd w:val="clear" w:color="auto" w:fill="EFF2EF"/>
          </w:tcPr>
          <w:p>
            <w:pPr>
              <w:spacing w:after="0"/>
              <w:rPr>
                <w:sz w:val="24"/>
                <w:szCs w:val="24"/>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12/19/25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12/19/25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2"/>
              </w:rPr>
              <w:t>5,664</w:t>
            </w:r>
            <w:r>
              <w:rPr>
                <w:rFonts w:ascii="Calibri" w:cs="Calibri" w:eastAsia="Calibri" w:hAnsi="Calibri"/>
                <w:sz w:val="21"/>
                <w:szCs w:val="21"/>
                <w:color w:val="333333"/>
                <w:w w:val="92"/>
                <w:vertAlign w:val="superscript"/>
              </w:rPr>
              <w:t>(4)</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999,923</w:t>
            </w:r>
          </w:p>
        </w:tc>
        <w:tc>
          <w:tcPr>
            <w:tcW w:w="20" w:type="dxa"/>
            <w:vAlign w:val="bottom"/>
          </w:tcPr>
          <w:p>
            <w:pPr>
              <w:spacing w:after="0"/>
              <w:rPr>
                <w:sz w:val="24"/>
                <w:szCs w:val="24"/>
                <w:color w:val="auto"/>
              </w:rPr>
            </w:pPr>
          </w:p>
        </w:tc>
      </w:tr>
      <w:tr>
        <w:trPr>
          <w:trHeight w:val="181"/>
        </w:trPr>
        <w:tc>
          <w:tcPr>
            <w:tcW w:w="2420" w:type="dxa"/>
            <w:vAlign w:val="bottom"/>
            <w:gridSpan w:val="3"/>
          </w:tcPr>
          <w:p>
            <w:pPr>
              <w:spacing w:after="0"/>
              <w:rPr>
                <w:sz w:val="20"/>
                <w:szCs w:val="20"/>
                <w:color w:val="auto"/>
              </w:rPr>
            </w:pPr>
            <w:r>
              <w:rPr>
                <w:rFonts w:ascii="Calibri" w:cs="Calibri" w:eastAsia="Calibri" w:hAnsi="Calibri"/>
                <w:sz w:val="14"/>
                <w:szCs w:val="14"/>
                <w:b w:val="1"/>
                <w:bCs w:val="1"/>
                <w:color w:val="0591DB"/>
              </w:rPr>
              <w:t> Ajay  Sabherwal</w:t>
            </w:r>
          </w:p>
        </w:tc>
        <w:tc>
          <w:tcPr>
            <w:tcW w:w="700" w:type="dxa"/>
            <w:vAlign w:val="bottom"/>
          </w:tcPr>
          <w:p>
            <w:pPr>
              <w:jc w:val="center"/>
              <w:spacing w:after="0"/>
              <w:rPr>
                <w:sz w:val="20"/>
                <w:szCs w:val="20"/>
                <w:color w:val="auto"/>
              </w:rPr>
            </w:pPr>
            <w:r>
              <w:rPr>
                <w:rFonts w:ascii="Calibri" w:cs="Calibri" w:eastAsia="Calibri" w:hAnsi="Calibri"/>
                <w:sz w:val="14"/>
                <w:szCs w:val="14"/>
                <w:color w:val="333333"/>
                <w:w w:val="99"/>
              </w:rPr>
              <w:t>2/17/25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w w:val="99"/>
              </w:rPr>
              <w:t>437,500</w:t>
            </w:r>
          </w:p>
        </w:tc>
        <w:tc>
          <w:tcPr>
            <w:tcW w:w="740" w:type="dxa"/>
            <w:vAlign w:val="bottom"/>
          </w:tcPr>
          <w:p>
            <w:pPr>
              <w:jc w:val="center"/>
              <w:spacing w:after="0"/>
              <w:rPr>
                <w:sz w:val="20"/>
                <w:szCs w:val="20"/>
                <w:color w:val="auto"/>
              </w:rPr>
            </w:pPr>
            <w:r>
              <w:rPr>
                <w:rFonts w:ascii="Calibri" w:cs="Calibri" w:eastAsia="Calibri" w:hAnsi="Calibri"/>
                <w:sz w:val="14"/>
                <w:szCs w:val="14"/>
                <w:color w:val="333333"/>
                <w:w w:val="99"/>
              </w:rPr>
              <w:t>875,000</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1,312,500</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r>
      <w:tr>
        <w:trPr>
          <w:trHeight w:val="241"/>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1,633</w:t>
            </w:r>
          </w:p>
        </w:tc>
        <w:tc>
          <w:tcPr>
            <w:tcW w:w="520" w:type="dxa"/>
            <w:vAlign w:val="bottom"/>
          </w:tcPr>
          <w:p>
            <w:pPr>
              <w:jc w:val="center"/>
              <w:spacing w:after="0"/>
              <w:rPr>
                <w:sz w:val="20"/>
                <w:szCs w:val="20"/>
                <w:color w:val="auto"/>
              </w:rPr>
            </w:pPr>
            <w:r>
              <w:rPr>
                <w:rFonts w:ascii="Calibri" w:cs="Calibri" w:eastAsia="Calibri" w:hAnsi="Calibri"/>
                <w:sz w:val="14"/>
                <w:szCs w:val="14"/>
                <w:color w:val="333333"/>
              </w:rPr>
              <w:t>3,267</w:t>
            </w:r>
          </w:p>
        </w:tc>
        <w:tc>
          <w:tcPr>
            <w:tcW w:w="8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4,900</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9"/>
              </w:rPr>
              <w:t>524,844</w:t>
            </w:r>
          </w:p>
        </w:tc>
        <w:tc>
          <w:tcPr>
            <w:tcW w:w="2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2,061</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9"/>
              </w:rPr>
              <w:t>349,978</w:t>
            </w:r>
          </w:p>
        </w:tc>
        <w:tc>
          <w:tcPr>
            <w:tcW w:w="20" w:type="dxa"/>
            <w:vAlign w:val="bottom"/>
          </w:tcPr>
          <w:p>
            <w:pPr>
              <w:spacing w:after="0"/>
              <w:rPr>
                <w:sz w:val="20"/>
                <w:szCs w:val="20"/>
                <w:color w:val="auto"/>
              </w:rPr>
            </w:pPr>
          </w:p>
        </w:tc>
      </w:tr>
      <w:tr>
        <w:trPr>
          <w:trHeight w:val="86"/>
        </w:trPr>
        <w:tc>
          <w:tcPr>
            <w:tcW w:w="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1"/>
        </w:trPr>
        <w:tc>
          <w:tcPr>
            <w:tcW w:w="40" w:type="dxa"/>
            <w:vAlign w:val="bottom"/>
            <w:tcBorders>
              <w:right w:val="single" w:sz="8" w:color="EFF2EF"/>
            </w:tcBorders>
          </w:tcPr>
          <w:p>
            <w:pPr>
              <w:spacing w:after="0"/>
              <w:rPr>
                <w:sz w:val="15"/>
                <w:szCs w:val="15"/>
                <w:color w:val="auto"/>
              </w:rPr>
            </w:pPr>
          </w:p>
        </w:tc>
        <w:tc>
          <w:tcPr>
            <w:tcW w:w="2380" w:type="dxa"/>
            <w:vAlign w:val="bottom"/>
            <w:tcBorders>
              <w:right w:val="single" w:sz="8" w:color="EFF2EF"/>
            </w:tcBorders>
            <w:gridSpan w:val="2"/>
            <w:shd w:val="clear" w:color="auto" w:fill="EFF2EF"/>
          </w:tcPr>
          <w:p>
            <w:pPr>
              <w:spacing w:after="0"/>
              <w:rPr>
                <w:sz w:val="20"/>
                <w:szCs w:val="20"/>
                <w:color w:val="auto"/>
              </w:rPr>
            </w:pPr>
            <w:r>
              <w:rPr>
                <w:rFonts w:ascii="Calibri" w:cs="Calibri" w:eastAsia="Calibri" w:hAnsi="Calibri"/>
                <w:sz w:val="14"/>
                <w:szCs w:val="14"/>
                <w:b w:val="1"/>
                <w:bCs w:val="1"/>
                <w:color w:val="0591DB"/>
              </w:rPr>
              <w:t> Curts P.  Lu</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9"/>
              </w:rPr>
              <w:t>2/17/25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9"/>
              </w:rPr>
              <w:t>437,500</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9"/>
              </w:rPr>
              <w:t>875,000</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1,312,500</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r>
      <w:tr>
        <w:trPr>
          <w:trHeight w:val="241"/>
        </w:trPr>
        <w:tc>
          <w:tcPr>
            <w:tcW w:w="40" w:type="dxa"/>
            <w:vAlign w:val="bottom"/>
            <w:tcBorders>
              <w:right w:val="single" w:sz="8" w:color="EFF2EF"/>
            </w:tcBorders>
          </w:tcPr>
          <w:p>
            <w:pPr>
              <w:spacing w:after="0"/>
              <w:rPr>
                <w:sz w:val="20"/>
                <w:szCs w:val="20"/>
                <w:color w:val="auto"/>
              </w:rPr>
            </w:pPr>
          </w:p>
        </w:tc>
        <w:tc>
          <w:tcPr>
            <w:tcW w:w="2260" w:type="dxa"/>
            <w:vAlign w:val="bottom"/>
            <w:shd w:val="clear" w:color="auto" w:fill="EFF2EF"/>
          </w:tcPr>
          <w:p>
            <w:pPr>
              <w:spacing w:after="0"/>
              <w:rPr>
                <w:sz w:val="20"/>
                <w:szCs w:val="20"/>
                <w:color w:val="auto"/>
              </w:rPr>
            </w:pPr>
          </w:p>
        </w:tc>
        <w:tc>
          <w:tcPr>
            <w:tcW w:w="120" w:type="dxa"/>
            <w:vAlign w:val="bottom"/>
            <w:tcBorders>
              <w:right w:val="single" w:sz="8" w:color="EFF2EF"/>
            </w:tcBorders>
            <w:shd w:val="clear" w:color="auto" w:fill="EFF2EF"/>
          </w:tcPr>
          <w:p>
            <w:pPr>
              <w:spacing w:after="0"/>
              <w:rPr>
                <w:sz w:val="20"/>
                <w:szCs w:val="20"/>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1,633</w:t>
            </w:r>
          </w:p>
        </w:tc>
        <w:tc>
          <w:tcPr>
            <w:tcW w:w="5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3,267</w:t>
            </w:r>
          </w:p>
        </w:tc>
        <w:tc>
          <w:tcPr>
            <w:tcW w:w="80" w:type="dxa"/>
            <w:vAlign w:val="bottom"/>
            <w:shd w:val="clear" w:color="auto" w:fill="EFF2EF"/>
          </w:tcPr>
          <w:p>
            <w:pPr>
              <w:spacing w:after="0"/>
              <w:rPr>
                <w:sz w:val="20"/>
                <w:szCs w:val="20"/>
                <w:color w:val="auto"/>
              </w:rPr>
            </w:pP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4,900</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524,844</w:t>
            </w:r>
          </w:p>
        </w:tc>
        <w:tc>
          <w:tcPr>
            <w:tcW w:w="20" w:type="dxa"/>
            <w:vAlign w:val="bottom"/>
          </w:tcPr>
          <w:p>
            <w:pPr>
              <w:spacing w:after="0"/>
              <w:rPr>
                <w:sz w:val="20"/>
                <w:szCs w:val="20"/>
                <w:color w:val="auto"/>
              </w:rPr>
            </w:pPr>
          </w:p>
        </w:tc>
      </w:tr>
      <w:tr>
        <w:trPr>
          <w:trHeight w:val="241"/>
        </w:trPr>
        <w:tc>
          <w:tcPr>
            <w:tcW w:w="40" w:type="dxa"/>
            <w:vAlign w:val="bottom"/>
            <w:tcBorders>
              <w:right w:val="single" w:sz="8" w:color="EFF2EF"/>
            </w:tcBorders>
          </w:tcPr>
          <w:p>
            <w:pPr>
              <w:spacing w:after="0"/>
              <w:rPr>
                <w:sz w:val="20"/>
                <w:szCs w:val="20"/>
                <w:color w:val="auto"/>
              </w:rPr>
            </w:pPr>
          </w:p>
        </w:tc>
        <w:tc>
          <w:tcPr>
            <w:tcW w:w="2260" w:type="dxa"/>
            <w:vAlign w:val="bottom"/>
            <w:shd w:val="clear" w:color="auto" w:fill="EFF2EF"/>
          </w:tcPr>
          <w:p>
            <w:pPr>
              <w:spacing w:after="0"/>
              <w:rPr>
                <w:sz w:val="20"/>
                <w:szCs w:val="20"/>
                <w:color w:val="auto"/>
              </w:rPr>
            </w:pPr>
          </w:p>
        </w:tc>
        <w:tc>
          <w:tcPr>
            <w:tcW w:w="120" w:type="dxa"/>
            <w:vAlign w:val="bottom"/>
            <w:tcBorders>
              <w:right w:val="single" w:sz="8" w:color="EFF2EF"/>
            </w:tcBorders>
            <w:shd w:val="clear" w:color="auto" w:fill="EFF2EF"/>
          </w:tcPr>
          <w:p>
            <w:pPr>
              <w:spacing w:after="0"/>
              <w:rPr>
                <w:sz w:val="20"/>
                <w:szCs w:val="20"/>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2,061</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349,978</w:t>
            </w:r>
          </w:p>
        </w:tc>
        <w:tc>
          <w:tcPr>
            <w:tcW w:w="20" w:type="dxa"/>
            <w:vAlign w:val="bottom"/>
          </w:tcPr>
          <w:p>
            <w:pPr>
              <w:spacing w:after="0"/>
              <w:rPr>
                <w:sz w:val="20"/>
                <w:szCs w:val="20"/>
                <w:color w:val="auto"/>
              </w:rPr>
            </w:pPr>
          </w:p>
        </w:tc>
      </w:tr>
      <w:tr>
        <w:trPr>
          <w:trHeight w:val="327"/>
        </w:trPr>
        <w:tc>
          <w:tcPr>
            <w:tcW w:w="40" w:type="dxa"/>
            <w:vAlign w:val="bottom"/>
            <w:tcBorders>
              <w:right w:val="single" w:sz="8" w:color="EFF2EF"/>
            </w:tcBorders>
          </w:tcPr>
          <w:p>
            <w:pPr>
              <w:spacing w:after="0"/>
              <w:rPr>
                <w:sz w:val="24"/>
                <w:szCs w:val="24"/>
                <w:color w:val="auto"/>
              </w:rPr>
            </w:pPr>
          </w:p>
        </w:tc>
        <w:tc>
          <w:tcPr>
            <w:tcW w:w="2260" w:type="dxa"/>
            <w:vAlign w:val="bottom"/>
            <w:shd w:val="clear" w:color="auto" w:fill="EFF2EF"/>
          </w:tcPr>
          <w:p>
            <w:pPr>
              <w:spacing w:after="0"/>
              <w:rPr>
                <w:sz w:val="24"/>
                <w:szCs w:val="24"/>
                <w:color w:val="auto"/>
              </w:rPr>
            </w:pPr>
          </w:p>
        </w:tc>
        <w:tc>
          <w:tcPr>
            <w:tcW w:w="120" w:type="dxa"/>
            <w:vAlign w:val="bottom"/>
            <w:tcBorders>
              <w:right w:val="single" w:sz="8" w:color="EFF2EF"/>
            </w:tcBorders>
            <w:shd w:val="clear" w:color="auto" w:fill="EFF2EF"/>
          </w:tcPr>
          <w:p>
            <w:pPr>
              <w:spacing w:after="0"/>
              <w:rPr>
                <w:sz w:val="24"/>
                <w:szCs w:val="24"/>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12/19/25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12/19/25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5"/>
              </w:rPr>
              <w:t>11,328</w:t>
            </w:r>
            <w:r>
              <w:rPr>
                <w:rFonts w:ascii="Calibri" w:cs="Calibri" w:eastAsia="Calibri" w:hAnsi="Calibri"/>
                <w:sz w:val="21"/>
                <w:szCs w:val="21"/>
                <w:color w:val="333333"/>
                <w:w w:val="95"/>
                <w:vertAlign w:val="superscript"/>
              </w:rPr>
              <w:t>(4)</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1,999,845</w:t>
            </w:r>
          </w:p>
        </w:tc>
        <w:tc>
          <w:tcPr>
            <w:tcW w:w="20" w:type="dxa"/>
            <w:vAlign w:val="bottom"/>
          </w:tcPr>
          <w:p>
            <w:pPr>
              <w:spacing w:after="0"/>
              <w:rPr>
                <w:sz w:val="24"/>
                <w:szCs w:val="24"/>
                <w:color w:val="auto"/>
              </w:rPr>
            </w:pPr>
          </w:p>
        </w:tc>
      </w:tr>
      <w:tr>
        <w:trPr>
          <w:trHeight w:val="181"/>
        </w:trPr>
        <w:tc>
          <w:tcPr>
            <w:tcW w:w="2420" w:type="dxa"/>
            <w:vAlign w:val="bottom"/>
            <w:gridSpan w:val="3"/>
          </w:tcPr>
          <w:p>
            <w:pPr>
              <w:spacing w:after="0"/>
              <w:rPr>
                <w:sz w:val="20"/>
                <w:szCs w:val="20"/>
                <w:color w:val="auto"/>
              </w:rPr>
            </w:pPr>
            <w:r>
              <w:rPr>
                <w:rFonts w:ascii="Calibri" w:cs="Calibri" w:eastAsia="Calibri" w:hAnsi="Calibri"/>
                <w:sz w:val="14"/>
                <w:szCs w:val="14"/>
                <w:b w:val="1"/>
                <w:bCs w:val="1"/>
                <w:color w:val="0591DB"/>
              </w:rPr>
              <w:t> Holly Paul</w:t>
            </w:r>
          </w:p>
        </w:tc>
        <w:tc>
          <w:tcPr>
            <w:tcW w:w="700" w:type="dxa"/>
            <w:vAlign w:val="bottom"/>
          </w:tcPr>
          <w:p>
            <w:pPr>
              <w:jc w:val="center"/>
              <w:spacing w:after="0"/>
              <w:rPr>
                <w:sz w:val="20"/>
                <w:szCs w:val="20"/>
                <w:color w:val="auto"/>
              </w:rPr>
            </w:pPr>
            <w:r>
              <w:rPr>
                <w:rFonts w:ascii="Calibri" w:cs="Calibri" w:eastAsia="Calibri" w:hAnsi="Calibri"/>
                <w:sz w:val="14"/>
                <w:szCs w:val="14"/>
                <w:color w:val="333333"/>
                <w:w w:val="99"/>
              </w:rPr>
              <w:t>2/17/25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w w:val="99"/>
              </w:rPr>
              <w:t>218,750</w:t>
            </w:r>
          </w:p>
        </w:tc>
        <w:tc>
          <w:tcPr>
            <w:tcW w:w="740" w:type="dxa"/>
            <w:vAlign w:val="bottom"/>
          </w:tcPr>
          <w:p>
            <w:pPr>
              <w:jc w:val="center"/>
              <w:spacing w:after="0"/>
              <w:rPr>
                <w:sz w:val="20"/>
                <w:szCs w:val="20"/>
                <w:color w:val="auto"/>
              </w:rPr>
            </w:pPr>
            <w:r>
              <w:rPr>
                <w:rFonts w:ascii="Calibri" w:cs="Calibri" w:eastAsia="Calibri" w:hAnsi="Calibri"/>
                <w:sz w:val="14"/>
                <w:szCs w:val="14"/>
                <w:color w:val="333333"/>
                <w:w w:val="99"/>
              </w:rPr>
              <w:t>437,500</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656,250</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r>
      <w:tr>
        <w:trPr>
          <w:trHeight w:val="241"/>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816</w:t>
            </w:r>
          </w:p>
        </w:tc>
        <w:tc>
          <w:tcPr>
            <w:tcW w:w="520" w:type="dxa"/>
            <w:vAlign w:val="bottom"/>
          </w:tcPr>
          <w:p>
            <w:pPr>
              <w:jc w:val="center"/>
              <w:spacing w:after="0"/>
              <w:rPr>
                <w:sz w:val="20"/>
                <w:szCs w:val="20"/>
                <w:color w:val="auto"/>
              </w:rPr>
            </w:pPr>
            <w:r>
              <w:rPr>
                <w:rFonts w:ascii="Calibri" w:cs="Calibri" w:eastAsia="Calibri" w:hAnsi="Calibri"/>
                <w:sz w:val="14"/>
                <w:szCs w:val="14"/>
                <w:color w:val="333333"/>
              </w:rPr>
              <w:t>1,633</w:t>
            </w:r>
          </w:p>
        </w:tc>
        <w:tc>
          <w:tcPr>
            <w:tcW w:w="8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2,449</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9"/>
              </w:rPr>
              <w:t>262,342</w:t>
            </w:r>
          </w:p>
        </w:tc>
        <w:tc>
          <w:tcPr>
            <w:tcW w:w="20" w:type="dxa"/>
            <w:vAlign w:val="bottom"/>
          </w:tcPr>
          <w:p>
            <w:pPr>
              <w:spacing w:after="0"/>
              <w:rPr>
                <w:sz w:val="20"/>
                <w:szCs w:val="20"/>
                <w:color w:val="auto"/>
              </w:rPr>
            </w:pPr>
          </w:p>
        </w:tc>
      </w:tr>
      <w:tr>
        <w:trPr>
          <w:trHeight w:val="241"/>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Pr>
          <w:p>
            <w:pPr>
              <w:jc w:val="center"/>
              <w:spacing w:after="0"/>
              <w:rPr>
                <w:sz w:val="20"/>
                <w:szCs w:val="20"/>
                <w:color w:val="auto"/>
              </w:rPr>
            </w:pPr>
            <w:r>
              <w:rPr>
                <w:rFonts w:ascii="Calibri" w:cs="Calibri" w:eastAsia="Calibri" w:hAnsi="Calibri"/>
                <w:sz w:val="14"/>
                <w:szCs w:val="14"/>
                <w:color w:val="333333"/>
              </w:rPr>
              <w:t>1,030</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Pr>
          <w:p>
            <w:pPr>
              <w:jc w:val="center"/>
              <w:spacing w:after="0"/>
              <w:rPr>
                <w:sz w:val="20"/>
                <w:szCs w:val="20"/>
                <w:color w:val="auto"/>
              </w:rPr>
            </w:pPr>
            <w:r>
              <w:rPr>
                <w:rFonts w:ascii="Calibri" w:cs="Calibri" w:eastAsia="Calibri" w:hAnsi="Calibri"/>
                <w:sz w:val="14"/>
                <w:szCs w:val="14"/>
                <w:color w:val="333333"/>
                <w:w w:val="99"/>
              </w:rPr>
              <w:t>174,904</w:t>
            </w:r>
          </w:p>
        </w:tc>
        <w:tc>
          <w:tcPr>
            <w:tcW w:w="20" w:type="dxa"/>
            <w:vAlign w:val="bottom"/>
          </w:tcPr>
          <w:p>
            <w:pPr>
              <w:spacing w:after="0"/>
              <w:rPr>
                <w:sz w:val="20"/>
                <w:szCs w:val="20"/>
                <w:color w:val="auto"/>
              </w:rPr>
            </w:pPr>
          </w:p>
        </w:tc>
      </w:tr>
      <w:tr>
        <w:trPr>
          <w:trHeight w:val="86"/>
        </w:trPr>
        <w:tc>
          <w:tcPr>
            <w:tcW w:w="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1"/>
        </w:trPr>
        <w:tc>
          <w:tcPr>
            <w:tcW w:w="40" w:type="dxa"/>
            <w:vAlign w:val="bottom"/>
            <w:tcBorders>
              <w:right w:val="single" w:sz="8" w:color="EFF2EF"/>
            </w:tcBorders>
          </w:tcPr>
          <w:p>
            <w:pPr>
              <w:spacing w:after="0"/>
              <w:rPr>
                <w:sz w:val="15"/>
                <w:szCs w:val="15"/>
                <w:color w:val="auto"/>
              </w:rPr>
            </w:pPr>
          </w:p>
        </w:tc>
        <w:tc>
          <w:tcPr>
            <w:tcW w:w="2380" w:type="dxa"/>
            <w:vAlign w:val="bottom"/>
            <w:tcBorders>
              <w:right w:val="single" w:sz="8" w:color="EFF2EF"/>
            </w:tcBorders>
            <w:gridSpan w:val="2"/>
            <w:shd w:val="clear" w:color="auto" w:fill="EFF2EF"/>
          </w:tcPr>
          <w:p>
            <w:pPr>
              <w:spacing w:after="0"/>
              <w:rPr>
                <w:sz w:val="20"/>
                <w:szCs w:val="20"/>
                <w:color w:val="auto"/>
              </w:rPr>
            </w:pPr>
            <w:r>
              <w:rPr>
                <w:rFonts w:ascii="Calibri" w:cs="Calibri" w:eastAsia="Calibri" w:hAnsi="Calibri"/>
                <w:sz w:val="14"/>
                <w:szCs w:val="14"/>
                <w:b w:val="1"/>
                <w:bCs w:val="1"/>
                <w:color w:val="0591DB"/>
              </w:rPr>
              <w:t> Brendan J.  Keatng</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8"/>
              </w:rPr>
              <w:t>84</w:t>
            </w:r>
          </w:p>
        </w:tc>
        <w:tc>
          <w:tcPr>
            <w:tcW w:w="5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168</w:t>
            </w:r>
          </w:p>
        </w:tc>
        <w:tc>
          <w:tcPr>
            <w:tcW w:w="80" w:type="dxa"/>
            <w:vAlign w:val="bottom"/>
            <w:shd w:val="clear" w:color="auto" w:fill="EFF2EF"/>
          </w:tcPr>
          <w:p>
            <w:pPr>
              <w:spacing w:after="0"/>
              <w:rPr>
                <w:sz w:val="15"/>
                <w:szCs w:val="15"/>
                <w:color w:val="auto"/>
              </w:rPr>
            </w:pP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252</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24,903</w:t>
            </w:r>
          </w:p>
        </w:tc>
        <w:tc>
          <w:tcPr>
            <w:tcW w:w="20" w:type="dxa"/>
            <w:vAlign w:val="bottom"/>
          </w:tcPr>
          <w:p>
            <w:pPr>
              <w:spacing w:after="0"/>
              <w:rPr>
                <w:sz w:val="15"/>
                <w:szCs w:val="15"/>
                <w:color w:val="auto"/>
              </w:rPr>
            </w:pPr>
          </w:p>
        </w:tc>
      </w:tr>
      <w:tr>
        <w:trPr>
          <w:trHeight w:val="241"/>
        </w:trPr>
        <w:tc>
          <w:tcPr>
            <w:tcW w:w="40" w:type="dxa"/>
            <w:vAlign w:val="bottom"/>
            <w:tcBorders>
              <w:right w:val="single" w:sz="8" w:color="EFF2EF"/>
            </w:tcBorders>
          </w:tcPr>
          <w:p>
            <w:pPr>
              <w:spacing w:after="0"/>
              <w:rPr>
                <w:sz w:val="20"/>
                <w:szCs w:val="20"/>
                <w:color w:val="auto"/>
              </w:rPr>
            </w:pPr>
          </w:p>
        </w:tc>
        <w:tc>
          <w:tcPr>
            <w:tcW w:w="2260" w:type="dxa"/>
            <w:vAlign w:val="bottom"/>
            <w:shd w:val="clear" w:color="auto" w:fill="EFF2EF"/>
          </w:tcPr>
          <w:p>
            <w:pPr>
              <w:spacing w:after="0"/>
              <w:rPr>
                <w:sz w:val="20"/>
                <w:szCs w:val="20"/>
                <w:color w:val="auto"/>
              </w:rPr>
            </w:pPr>
          </w:p>
        </w:tc>
        <w:tc>
          <w:tcPr>
            <w:tcW w:w="120" w:type="dxa"/>
            <w:vAlign w:val="bottom"/>
            <w:tcBorders>
              <w:right w:val="single" w:sz="8" w:color="EFF2EF"/>
            </w:tcBorders>
            <w:shd w:val="clear" w:color="auto" w:fill="EFF2EF"/>
          </w:tcPr>
          <w:p>
            <w:pPr>
              <w:spacing w:after="0"/>
              <w:rPr>
                <w:sz w:val="20"/>
                <w:szCs w:val="20"/>
                <w:color w:val="auto"/>
              </w:rPr>
            </w:pP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3/5/25</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2/17/25</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7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600" w:type="dxa"/>
            <w:vAlign w:val="bottom"/>
            <w:gridSpan w:val="2"/>
            <w:shd w:val="clear" w:color="auto" w:fill="EFF2EF"/>
          </w:tcPr>
          <w:p>
            <w:pPr>
              <w:jc w:val="center"/>
              <w:ind w:right="80"/>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ind w:right="10"/>
              <w:spacing w:after="0"/>
              <w:rPr>
                <w:sz w:val="20"/>
                <w:szCs w:val="20"/>
                <w:color w:val="auto"/>
              </w:rPr>
            </w:pPr>
            <w:r>
              <w:rPr>
                <w:rFonts w:ascii="Calibri" w:cs="Calibri" w:eastAsia="Calibri" w:hAnsi="Calibri"/>
                <w:sz w:val="14"/>
                <w:szCs w:val="14"/>
                <w:color w:val="333333"/>
              </w:rPr>
              <w:t>—</w:t>
            </w:r>
          </w:p>
        </w:tc>
        <w:tc>
          <w:tcPr>
            <w:tcW w:w="70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147</w:t>
            </w:r>
          </w:p>
        </w:tc>
        <w:tc>
          <w:tcPr>
            <w:tcW w:w="76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62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7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24,962</w:t>
            </w:r>
          </w:p>
        </w:tc>
        <w:tc>
          <w:tcPr>
            <w:tcW w:w="20" w:type="dxa"/>
            <w:vAlign w:val="bottom"/>
          </w:tcPr>
          <w:p>
            <w:pPr>
              <w:spacing w:after="0"/>
              <w:rPr>
                <w:sz w:val="20"/>
                <w:szCs w:val="20"/>
                <w:color w:val="auto"/>
              </w:rPr>
            </w:pPr>
          </w:p>
        </w:tc>
      </w:tr>
      <w:tr>
        <w:trPr>
          <w:trHeight w:val="86"/>
        </w:trPr>
        <w:tc>
          <w:tcPr>
            <w:tcW w:w="40" w:type="dxa"/>
            <w:vAlign w:val="bottom"/>
            <w:tcBorders>
              <w:right w:val="single" w:sz="8" w:color="EFF2EF"/>
            </w:tcBorders>
          </w:tcPr>
          <w:p>
            <w:pPr>
              <w:spacing w:after="0"/>
              <w:rPr>
                <w:sz w:val="7"/>
                <w:szCs w:val="7"/>
                <w:color w:val="auto"/>
              </w:rPr>
            </w:pPr>
          </w:p>
        </w:tc>
        <w:tc>
          <w:tcPr>
            <w:tcW w:w="2260" w:type="dxa"/>
            <w:vAlign w:val="bottom"/>
            <w:shd w:val="clear" w:color="auto" w:fill="EFF2EF"/>
          </w:tcPr>
          <w:p>
            <w:pPr>
              <w:spacing w:after="0"/>
              <w:rPr>
                <w:sz w:val="7"/>
                <w:szCs w:val="7"/>
                <w:color w:val="auto"/>
              </w:rPr>
            </w:pPr>
          </w:p>
        </w:tc>
        <w:tc>
          <w:tcPr>
            <w:tcW w:w="120" w:type="dxa"/>
            <w:vAlign w:val="bottom"/>
            <w:tcBorders>
              <w:right w:val="single" w:sz="8" w:color="EFF2EF"/>
            </w:tcBorders>
            <w:shd w:val="clear" w:color="auto" w:fill="EFF2EF"/>
          </w:tcPr>
          <w:p>
            <w:pPr>
              <w:spacing w:after="0"/>
              <w:rPr>
                <w:sz w:val="7"/>
                <w:szCs w:val="7"/>
                <w:color w:val="auto"/>
              </w:rPr>
            </w:pPr>
          </w:p>
        </w:tc>
        <w:tc>
          <w:tcPr>
            <w:tcW w:w="70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740" w:type="dxa"/>
            <w:vAlign w:val="bottom"/>
            <w:tcBorders>
              <w:right w:val="single" w:sz="8" w:color="EFF2EF"/>
            </w:tcBorders>
            <w:shd w:val="clear" w:color="auto" w:fill="EFF2EF"/>
          </w:tcPr>
          <w:p>
            <w:pPr>
              <w:spacing w:after="0"/>
              <w:rPr>
                <w:sz w:val="7"/>
                <w:szCs w:val="7"/>
                <w:color w:val="auto"/>
              </w:rPr>
            </w:pPr>
          </w:p>
        </w:tc>
        <w:tc>
          <w:tcPr>
            <w:tcW w:w="74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740" w:type="dxa"/>
            <w:vAlign w:val="bottom"/>
            <w:tcBorders>
              <w:right w:val="single" w:sz="8" w:color="EFF2EF"/>
            </w:tcBorders>
            <w:shd w:val="clear" w:color="auto" w:fill="EFF2EF"/>
          </w:tcPr>
          <w:p>
            <w:pPr>
              <w:spacing w:after="0"/>
              <w:rPr>
                <w:sz w:val="7"/>
                <w:szCs w:val="7"/>
                <w:color w:val="auto"/>
              </w:rPr>
            </w:pPr>
          </w:p>
        </w:tc>
        <w:tc>
          <w:tcPr>
            <w:tcW w:w="520" w:type="dxa"/>
            <w:vAlign w:val="bottom"/>
            <w:tcBorders>
              <w:right w:val="single" w:sz="8" w:color="EFF2EF"/>
            </w:tcBorders>
            <w:shd w:val="clear" w:color="auto" w:fill="EFF2EF"/>
          </w:tcPr>
          <w:p>
            <w:pPr>
              <w:spacing w:after="0"/>
              <w:rPr>
                <w:sz w:val="7"/>
                <w:szCs w:val="7"/>
                <w:color w:val="auto"/>
              </w:rPr>
            </w:pPr>
          </w:p>
        </w:tc>
        <w:tc>
          <w:tcPr>
            <w:tcW w:w="80" w:type="dxa"/>
            <w:vAlign w:val="bottom"/>
            <w:shd w:val="clear" w:color="auto" w:fill="EFF2EF"/>
          </w:tcPr>
          <w:p>
            <w:pPr>
              <w:spacing w:after="0"/>
              <w:rPr>
                <w:sz w:val="7"/>
                <w:szCs w:val="7"/>
                <w:color w:val="auto"/>
              </w:rPr>
            </w:pPr>
          </w:p>
        </w:tc>
        <w:tc>
          <w:tcPr>
            <w:tcW w:w="620" w:type="dxa"/>
            <w:vAlign w:val="bottom"/>
            <w:tcBorders>
              <w:right w:val="single" w:sz="8" w:color="EFF2EF"/>
            </w:tcBorders>
            <w:shd w:val="clear" w:color="auto" w:fill="EFF2EF"/>
          </w:tcPr>
          <w:p>
            <w:pPr>
              <w:spacing w:after="0"/>
              <w:rPr>
                <w:sz w:val="7"/>
                <w:szCs w:val="7"/>
                <w:color w:val="auto"/>
              </w:rPr>
            </w:pPr>
          </w:p>
        </w:tc>
        <w:tc>
          <w:tcPr>
            <w:tcW w:w="700" w:type="dxa"/>
            <w:vAlign w:val="bottom"/>
            <w:tcBorders>
              <w:right w:val="single" w:sz="8" w:color="EFF2EF"/>
            </w:tcBorders>
            <w:shd w:val="clear" w:color="auto" w:fill="EFF2EF"/>
          </w:tcPr>
          <w:p>
            <w:pPr>
              <w:spacing w:after="0"/>
              <w:rPr>
                <w:sz w:val="7"/>
                <w:szCs w:val="7"/>
                <w:color w:val="auto"/>
              </w:rPr>
            </w:pPr>
          </w:p>
        </w:tc>
        <w:tc>
          <w:tcPr>
            <w:tcW w:w="760" w:type="dxa"/>
            <w:vAlign w:val="bottom"/>
            <w:tcBorders>
              <w:right w:val="single" w:sz="8" w:color="EFF2EF"/>
            </w:tcBorders>
            <w:shd w:val="clear" w:color="auto" w:fill="EFF2EF"/>
          </w:tcPr>
          <w:p>
            <w:pPr>
              <w:spacing w:after="0"/>
              <w:rPr>
                <w:sz w:val="7"/>
                <w:szCs w:val="7"/>
                <w:color w:val="auto"/>
              </w:rPr>
            </w:pPr>
          </w:p>
        </w:tc>
        <w:tc>
          <w:tcPr>
            <w:tcW w:w="620" w:type="dxa"/>
            <w:vAlign w:val="bottom"/>
            <w:tcBorders>
              <w:right w:val="single" w:sz="8" w:color="EFF2EF"/>
            </w:tcBorders>
            <w:shd w:val="clear" w:color="auto" w:fill="EFF2EF"/>
          </w:tcPr>
          <w:p>
            <w:pPr>
              <w:spacing w:after="0"/>
              <w:rPr>
                <w:sz w:val="7"/>
                <w:szCs w:val="7"/>
                <w:color w:val="auto"/>
              </w:rPr>
            </w:pPr>
          </w:p>
        </w:tc>
        <w:tc>
          <w:tcPr>
            <w:tcW w:w="760" w:type="dxa"/>
            <w:vAlign w:val="bottom"/>
            <w:shd w:val="clear" w:color="auto" w:fill="EFF2EF"/>
          </w:tcPr>
          <w:p>
            <w:pPr>
              <w:spacing w:after="0"/>
              <w:rPr>
                <w:sz w:val="7"/>
                <w:szCs w:val="7"/>
                <w:color w:val="auto"/>
              </w:rPr>
            </w:pPr>
          </w:p>
        </w:tc>
        <w:tc>
          <w:tcPr>
            <w:tcW w:w="20" w:type="dxa"/>
            <w:vAlign w:val="bottom"/>
          </w:tcPr>
          <w:p>
            <w:pPr>
              <w:spacing w:after="0"/>
              <w:rPr>
                <w:sz w:val="7"/>
                <w:szCs w:val="7"/>
                <w:color w:val="auto"/>
              </w:rPr>
            </w:pPr>
          </w:p>
        </w:tc>
      </w:tr>
      <w:tr>
        <w:trPr>
          <w:trHeight w:val="134"/>
        </w:trPr>
        <w:tc>
          <w:tcPr>
            <w:tcW w:w="40" w:type="dxa"/>
            <w:vAlign w:val="bottom"/>
          </w:tcPr>
          <w:p>
            <w:pPr>
              <w:spacing w:after="0"/>
              <w:rPr>
                <w:sz w:val="11"/>
                <w:szCs w:val="11"/>
                <w:color w:val="auto"/>
              </w:rPr>
            </w:pPr>
          </w:p>
        </w:tc>
        <w:tc>
          <w:tcPr>
            <w:tcW w:w="2260" w:type="dxa"/>
            <w:vAlign w:val="bottom"/>
            <w:tcBorders>
              <w:bottom w:val="single" w:sz="8" w:color="333333"/>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3" w:lineRule="exact"/>
        <w:rPr>
          <w:sz w:val="20"/>
          <w:szCs w:val="20"/>
          <w:color w:val="auto"/>
        </w:rPr>
      </w:pPr>
    </w:p>
    <w:p>
      <w:pPr>
        <w:ind w:left="600" w:right="320" w:hanging="433"/>
        <w:spacing w:after="0" w:line="233" w:lineRule="auto"/>
        <w:tabs>
          <w:tab w:leader="none" w:pos="600" w:val="left"/>
        </w:tabs>
        <w:numPr>
          <w:ilvl w:val="0"/>
          <w:numId w:val="103"/>
        </w:numPr>
        <w:rPr>
          <w:rFonts w:ascii="Calibri" w:cs="Calibri" w:eastAsia="Calibri" w:hAnsi="Calibri"/>
          <w:sz w:val="13"/>
          <w:szCs w:val="13"/>
          <w:color w:val="333333"/>
        </w:rPr>
      </w:pPr>
      <w:r>
        <w:rPr>
          <w:rFonts w:ascii="Calibri" w:cs="Calibri" w:eastAsia="Calibri" w:hAnsi="Calibri"/>
          <w:sz w:val="17"/>
          <w:szCs w:val="17"/>
          <w:color w:val="333333"/>
        </w:rPr>
        <w:t>2025 AIP payments were based on (i) Adjusted EPS results of $8.83, as reported in the Company’s 2025 Form 10-K, (ii) Adjusted EBITDA results of $463.6 million and (iii) the individual performance of our CEO and our</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88</w:t>
      </w:r>
    </w:p>
    <w:p>
      <w:pPr>
        <w:sectPr>
          <w:pgSz w:w="11900" w:h="16838" w:orient="portrait"/>
          <w:cols w:equalWidth="0" w:num="1">
            <w:col w:w="11100"/>
          </w:cols>
          <w:pgMar w:left="320" w:top="478"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600" w:right="320"/>
        <w:spacing w:after="0" w:line="233" w:lineRule="auto"/>
        <w:rPr>
          <w:sz w:val="20"/>
          <w:szCs w:val="20"/>
          <w:color w:val="auto"/>
        </w:rPr>
      </w:pPr>
      <w:r>
        <w:rPr>
          <w:rFonts w:ascii="Calibri" w:cs="Calibri" w:eastAsia="Calibri" w:hAnsi="Calibri"/>
          <w:sz w:val="17"/>
          <w:szCs w:val="17"/>
          <w:color w:val="333333"/>
        </w:rPr>
        <w:t>CFO, CSTO, GC and CHRO. Based on the above fnancial and individual performance results, aggregate 2025 AIP to our CEO and each of the other partcipatng NEOs was as follows:</w:t>
      </w:r>
    </w:p>
    <w:p>
      <w:pPr>
        <w:spacing w:after="0" w:line="126" w:lineRule="exact"/>
        <w:rPr>
          <w:sz w:val="20"/>
          <w:szCs w:val="20"/>
          <w:color w:val="auto"/>
        </w:rPr>
      </w:pPr>
    </w:p>
    <w:tbl>
      <w:tblPr>
        <w:tblLayout w:type="fixed"/>
        <w:tblInd w:w="104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7700" w:type="dxa"/>
            <w:vAlign w:val="bottom"/>
            <w:tcBorders>
              <w:top w:val="single" w:sz="8" w:color="0591DB"/>
              <w:left w:val="single" w:sz="8" w:color="0591DB"/>
              <w:right w:val="single" w:sz="8" w:color="0591DB"/>
            </w:tcBorders>
            <w:gridSpan w:val="2"/>
          </w:tcPr>
          <w:p>
            <w:pPr>
              <w:ind w:left="140"/>
              <w:spacing w:after="0"/>
              <w:rPr>
                <w:sz w:val="20"/>
                <w:szCs w:val="20"/>
                <w:color w:val="auto"/>
              </w:rPr>
            </w:pPr>
            <w:r>
              <w:rPr>
                <w:rFonts w:ascii="Calibri" w:cs="Calibri" w:eastAsia="Calibri" w:hAnsi="Calibri"/>
                <w:sz w:val="21"/>
                <w:szCs w:val="21"/>
                <w:b w:val="1"/>
                <w:bCs w:val="1"/>
                <w:color w:val="0591DB"/>
              </w:rPr>
              <w:t> NAME</w:t>
            </w:r>
          </w:p>
        </w:tc>
        <w:tc>
          <w:tcPr>
            <w:tcW w:w="1460" w:type="dxa"/>
            <w:vAlign w:val="bottom"/>
            <w:tcBorders>
              <w:top w:val="single" w:sz="8" w:color="0591DB"/>
            </w:tcBorders>
          </w:tcPr>
          <w:p>
            <w:pPr>
              <w:jc w:val="center"/>
              <w:ind w:left="93"/>
              <w:spacing w:after="0"/>
              <w:rPr>
                <w:sz w:val="20"/>
                <w:szCs w:val="20"/>
                <w:color w:val="auto"/>
              </w:rPr>
            </w:pPr>
            <w:r>
              <w:rPr>
                <w:rFonts w:ascii="Calibri" w:cs="Calibri" w:eastAsia="Calibri" w:hAnsi="Calibri"/>
                <w:sz w:val="21"/>
                <w:szCs w:val="21"/>
                <w:b w:val="1"/>
                <w:bCs w:val="1"/>
                <w:color w:val="0591DB"/>
                <w:w w:val="91"/>
              </w:rPr>
              <w:t xml:space="preserve">TOTAL </w:t>
            </w:r>
            <w:r>
              <w:rPr>
                <w:rFonts w:ascii="Calibri" w:cs="Calibri" w:eastAsia="Calibri" w:hAnsi="Calibri"/>
                <w:sz w:val="15"/>
                <w:szCs w:val="15"/>
                <w:b w:val="1"/>
                <w:bCs w:val="1"/>
                <w:color w:val="0591DB"/>
                <w:w w:val="91"/>
              </w:rPr>
              <w:t>(i)</w:t>
            </w:r>
          </w:p>
        </w:tc>
        <w:tc>
          <w:tcPr>
            <w:tcW w:w="20" w:type="dxa"/>
            <w:vAlign w:val="bottom"/>
            <w:tcBorders>
              <w:top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Borders>
              <w:left w:val="single" w:sz="8" w:color="0591DB"/>
              <w:bottom w:val="single" w:sz="8" w:color="0591DB"/>
            </w:tcBorders>
          </w:tcPr>
          <w:p>
            <w:pPr>
              <w:spacing w:after="0"/>
              <w:rPr>
                <w:sz w:val="5"/>
                <w:szCs w:val="5"/>
                <w:color w:val="auto"/>
              </w:rPr>
            </w:pPr>
          </w:p>
        </w:tc>
        <w:tc>
          <w:tcPr>
            <w:tcW w:w="5420" w:type="dxa"/>
            <w:vAlign w:val="bottom"/>
            <w:tcBorders>
              <w:bottom w:val="single" w:sz="8" w:color="0591DB"/>
              <w:right w:val="single" w:sz="8" w:color="0591DB"/>
            </w:tcBorders>
          </w:tcPr>
          <w:p>
            <w:pPr>
              <w:spacing w:after="0"/>
              <w:rPr>
                <w:sz w:val="5"/>
                <w:szCs w:val="5"/>
                <w:color w:val="auto"/>
              </w:rPr>
            </w:pPr>
          </w:p>
        </w:tc>
        <w:tc>
          <w:tcPr>
            <w:tcW w:w="1460" w:type="dxa"/>
            <w:vAlign w:val="bottom"/>
            <w:tcBorders>
              <w:bottom w:val="single" w:sz="8" w:color="0591DB"/>
            </w:tcBorders>
          </w:tcPr>
          <w:p>
            <w:pPr>
              <w:spacing w:after="0"/>
              <w:rPr>
                <w:sz w:val="5"/>
                <w:szCs w:val="5"/>
                <w:color w:val="auto"/>
              </w:rPr>
            </w:pPr>
          </w:p>
        </w:tc>
        <w:tc>
          <w:tcPr>
            <w:tcW w:w="20" w:type="dxa"/>
            <w:vAlign w:val="bottom"/>
            <w:tcBorders>
              <w:bottom w:val="single" w:sz="8" w:color="0591DB"/>
            </w:tcBorders>
            <w:shd w:val="clear" w:color="auto" w:fill="0591DB"/>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00" w:type="dxa"/>
            <w:vAlign w:val="bottom"/>
            <w:gridSpan w:val="2"/>
          </w:tcPr>
          <w:p>
            <w:pPr>
              <w:spacing w:after="0" w:line="197"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Steven H. Gunby</w:t>
            </w:r>
          </w:p>
        </w:tc>
        <w:tc>
          <w:tcPr>
            <w:tcW w:w="1460" w:type="dxa"/>
            <w:vAlign w:val="bottom"/>
          </w:tcPr>
          <w:p>
            <w:pPr>
              <w:jc w:val="center"/>
              <w:ind w:left="133"/>
              <w:spacing w:after="0" w:line="197" w:lineRule="exact"/>
              <w:rPr>
                <w:sz w:val="20"/>
                <w:szCs w:val="20"/>
                <w:color w:val="auto"/>
              </w:rPr>
            </w:pPr>
            <w:r>
              <w:rPr>
                <w:rFonts w:ascii="Calibri" w:cs="Calibri" w:eastAsia="Calibri" w:hAnsi="Calibri"/>
                <w:sz w:val="17"/>
                <w:szCs w:val="17"/>
                <w:color w:val="333333"/>
              </w:rPr>
              <w:t>$2,406,870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Pr>
          <w:p>
            <w:pPr>
              <w:spacing w:after="0"/>
              <w:rPr>
                <w:sz w:val="5"/>
                <w:szCs w:val="5"/>
                <w:color w:val="auto"/>
              </w:rPr>
            </w:pPr>
          </w:p>
        </w:tc>
        <w:tc>
          <w:tcPr>
            <w:tcW w:w="5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tcBorders>
              <w:left w:val="single" w:sz="8" w:color="EFF2EF"/>
              <w:right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Paul Linton</w:t>
            </w:r>
          </w:p>
        </w:tc>
        <w:tc>
          <w:tcPr>
            <w:tcW w:w="1460" w:type="dxa"/>
            <w:vAlign w:val="bottom"/>
            <w:shd w:val="clear" w:color="auto" w:fill="EFF2EF"/>
          </w:tcPr>
          <w:p>
            <w:pPr>
              <w:jc w:val="center"/>
              <w:ind w:left="153"/>
              <w:spacing w:after="0" w:line="203" w:lineRule="exact"/>
              <w:rPr>
                <w:sz w:val="20"/>
                <w:szCs w:val="20"/>
                <w:color w:val="auto"/>
              </w:rPr>
            </w:pPr>
            <w:r>
              <w:rPr>
                <w:rFonts w:ascii="Calibri" w:cs="Calibri" w:eastAsia="Calibri" w:hAnsi="Calibri"/>
                <w:sz w:val="17"/>
                <w:szCs w:val="17"/>
                <w:color w:val="333333"/>
              </w:rPr>
              <w:t>1,057,533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Borders>
              <w:left w:val="single" w:sz="8" w:color="EFF2EF"/>
            </w:tcBorders>
            <w:shd w:val="clear" w:color="auto" w:fill="EFF2EF"/>
          </w:tcPr>
          <w:p>
            <w:pPr>
              <w:spacing w:after="0"/>
              <w:rPr>
                <w:sz w:val="5"/>
                <w:szCs w:val="5"/>
                <w:color w:val="auto"/>
              </w:rPr>
            </w:pPr>
          </w:p>
        </w:tc>
        <w:tc>
          <w:tcPr>
            <w:tcW w:w="5420" w:type="dxa"/>
            <w:vAlign w:val="bottom"/>
            <w:tcBorders>
              <w:right w:val="single" w:sz="8" w:color="EFF2EF"/>
            </w:tcBorders>
            <w:shd w:val="clear" w:color="auto" w:fill="EFF2EF"/>
          </w:tcPr>
          <w:p>
            <w:pPr>
              <w:spacing w:after="0"/>
              <w:rPr>
                <w:sz w:val="5"/>
                <w:szCs w:val="5"/>
                <w:color w:val="auto"/>
              </w:rPr>
            </w:pPr>
          </w:p>
        </w:tc>
        <w:tc>
          <w:tcPr>
            <w:tcW w:w="146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gridSpan w:val="2"/>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Ajay Sabherwal</w:t>
            </w:r>
          </w:p>
        </w:tc>
        <w:tc>
          <w:tcPr>
            <w:tcW w:w="1460" w:type="dxa"/>
            <w:vAlign w:val="bottom"/>
          </w:tcPr>
          <w:p>
            <w:pPr>
              <w:jc w:val="center"/>
              <w:ind w:left="133"/>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Pr>
          <w:p>
            <w:pPr>
              <w:spacing w:after="0"/>
              <w:rPr>
                <w:sz w:val="5"/>
                <w:szCs w:val="5"/>
                <w:color w:val="auto"/>
              </w:rPr>
            </w:pPr>
          </w:p>
        </w:tc>
        <w:tc>
          <w:tcPr>
            <w:tcW w:w="5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tcBorders>
              <w:left w:val="single" w:sz="8" w:color="EFF2EF"/>
              <w:right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Curts P. Lu</w:t>
            </w:r>
          </w:p>
        </w:tc>
        <w:tc>
          <w:tcPr>
            <w:tcW w:w="1460" w:type="dxa"/>
            <w:vAlign w:val="bottom"/>
            <w:shd w:val="clear" w:color="auto" w:fill="EFF2EF"/>
          </w:tcPr>
          <w:p>
            <w:pPr>
              <w:jc w:val="center"/>
              <w:ind w:left="153"/>
              <w:spacing w:after="0" w:line="203" w:lineRule="exact"/>
              <w:rPr>
                <w:sz w:val="20"/>
                <w:szCs w:val="20"/>
                <w:color w:val="auto"/>
              </w:rPr>
            </w:pPr>
            <w:r>
              <w:rPr>
                <w:rFonts w:ascii="Calibri" w:cs="Calibri" w:eastAsia="Calibri" w:hAnsi="Calibri"/>
                <w:sz w:val="17"/>
                <w:szCs w:val="17"/>
                <w:color w:val="333333"/>
              </w:rPr>
              <w:t>1,057,533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Borders>
              <w:left w:val="single" w:sz="8" w:color="EFF2EF"/>
            </w:tcBorders>
            <w:shd w:val="clear" w:color="auto" w:fill="EFF2EF"/>
          </w:tcPr>
          <w:p>
            <w:pPr>
              <w:spacing w:after="0"/>
              <w:rPr>
                <w:sz w:val="5"/>
                <w:szCs w:val="5"/>
                <w:color w:val="auto"/>
              </w:rPr>
            </w:pPr>
          </w:p>
        </w:tc>
        <w:tc>
          <w:tcPr>
            <w:tcW w:w="5420" w:type="dxa"/>
            <w:vAlign w:val="bottom"/>
            <w:tcBorders>
              <w:right w:val="single" w:sz="8" w:color="EFF2EF"/>
            </w:tcBorders>
            <w:shd w:val="clear" w:color="auto" w:fill="EFF2EF"/>
          </w:tcPr>
          <w:p>
            <w:pPr>
              <w:spacing w:after="0"/>
              <w:rPr>
                <w:sz w:val="5"/>
                <w:szCs w:val="5"/>
                <w:color w:val="auto"/>
              </w:rPr>
            </w:pPr>
          </w:p>
        </w:tc>
        <w:tc>
          <w:tcPr>
            <w:tcW w:w="146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gridSpan w:val="2"/>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Holly Paul</w:t>
            </w:r>
          </w:p>
        </w:tc>
        <w:tc>
          <w:tcPr>
            <w:tcW w:w="1460" w:type="dxa"/>
            <w:vAlign w:val="bottom"/>
          </w:tcPr>
          <w:p>
            <w:pPr>
              <w:jc w:val="center"/>
              <w:ind w:left="133"/>
              <w:spacing w:after="0" w:line="203" w:lineRule="exact"/>
              <w:rPr>
                <w:sz w:val="20"/>
                <w:szCs w:val="20"/>
                <w:color w:val="auto"/>
              </w:rPr>
            </w:pPr>
            <w:r>
              <w:rPr>
                <w:rFonts w:ascii="Calibri" w:cs="Calibri" w:eastAsia="Calibri" w:hAnsi="Calibri"/>
                <w:sz w:val="17"/>
                <w:szCs w:val="17"/>
                <w:color w:val="333333"/>
                <w:w w:val="99"/>
              </w:rPr>
              <w:t>528,767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Pr>
          <w:p>
            <w:pPr>
              <w:spacing w:after="0"/>
              <w:rPr>
                <w:sz w:val="5"/>
                <w:szCs w:val="5"/>
                <w:color w:val="auto"/>
              </w:rPr>
            </w:pPr>
          </w:p>
        </w:tc>
        <w:tc>
          <w:tcPr>
            <w:tcW w:w="5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00" w:type="dxa"/>
            <w:vAlign w:val="bottom"/>
            <w:tcBorders>
              <w:left w:val="single" w:sz="8" w:color="EFF2EF"/>
              <w:right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Brendan J. Keatng</w:t>
            </w:r>
          </w:p>
        </w:tc>
        <w:tc>
          <w:tcPr>
            <w:tcW w:w="1460" w:type="dxa"/>
            <w:vAlign w:val="bottom"/>
            <w:shd w:val="clear" w:color="auto" w:fill="EFF2EF"/>
          </w:tcPr>
          <w:p>
            <w:pPr>
              <w:jc w:val="center"/>
              <w:ind w:left="133"/>
              <w:spacing w:after="0" w:line="203" w:lineRule="exact"/>
              <w:rPr>
                <w:sz w:val="20"/>
                <w:szCs w:val="20"/>
                <w:color w:val="auto"/>
              </w:rPr>
            </w:pPr>
            <w:r>
              <w:rPr>
                <w:rFonts w:ascii="Calibri" w:cs="Calibri" w:eastAsia="Calibri" w:hAnsi="Calibri"/>
                <w:sz w:val="17"/>
                <w:szCs w:val="17"/>
                <w:color w:val="333333"/>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80" w:type="dxa"/>
            <w:vAlign w:val="bottom"/>
            <w:tcBorders>
              <w:left w:val="single" w:sz="8" w:color="EFF2EF"/>
            </w:tcBorders>
            <w:shd w:val="clear" w:color="auto" w:fill="EFF2EF"/>
          </w:tcPr>
          <w:p>
            <w:pPr>
              <w:spacing w:after="0"/>
              <w:rPr>
                <w:sz w:val="5"/>
                <w:szCs w:val="5"/>
                <w:color w:val="auto"/>
              </w:rPr>
            </w:pPr>
          </w:p>
        </w:tc>
        <w:tc>
          <w:tcPr>
            <w:tcW w:w="5420" w:type="dxa"/>
            <w:vAlign w:val="bottom"/>
            <w:tcBorders>
              <w:right w:val="single" w:sz="8" w:color="EFF2EF"/>
            </w:tcBorders>
            <w:shd w:val="clear" w:color="auto" w:fill="EFF2EF"/>
          </w:tcPr>
          <w:p>
            <w:pPr>
              <w:spacing w:after="0"/>
              <w:rPr>
                <w:sz w:val="5"/>
                <w:szCs w:val="5"/>
                <w:color w:val="auto"/>
              </w:rPr>
            </w:pPr>
          </w:p>
        </w:tc>
        <w:tc>
          <w:tcPr>
            <w:tcW w:w="146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333333"/>
            </w:tcBorders>
          </w:tcPr>
          <w:p>
            <w:pPr>
              <w:spacing w:after="0"/>
              <w:rPr>
                <w:sz w:val="11"/>
                <w:szCs w:val="11"/>
                <w:color w:val="auto"/>
              </w:rPr>
            </w:pPr>
          </w:p>
        </w:tc>
        <w:tc>
          <w:tcPr>
            <w:tcW w:w="2280" w:type="dxa"/>
            <w:vAlign w:val="bottom"/>
            <w:tcBorders>
              <w:bottom w:val="single" w:sz="8" w:color="333333"/>
            </w:tcBorders>
          </w:tcPr>
          <w:p>
            <w:pPr>
              <w:spacing w:after="0"/>
              <w:rPr>
                <w:sz w:val="11"/>
                <w:szCs w:val="11"/>
                <w:color w:val="auto"/>
              </w:rPr>
            </w:pPr>
          </w:p>
        </w:tc>
        <w:tc>
          <w:tcPr>
            <w:tcW w:w="5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580" w:right="120" w:hanging="543"/>
        <w:spacing w:after="0" w:line="232" w:lineRule="auto"/>
        <w:tabs>
          <w:tab w:leader="none" w:pos="1580" w:val="left"/>
        </w:tabs>
        <w:numPr>
          <w:ilvl w:val="1"/>
          <w:numId w:val="104"/>
        </w:numPr>
        <w:rPr>
          <w:rFonts w:ascii="Calibri" w:cs="Calibri" w:eastAsia="Calibri" w:hAnsi="Calibri"/>
          <w:sz w:val="13"/>
          <w:szCs w:val="13"/>
          <w:color w:val="333333"/>
        </w:rPr>
      </w:pPr>
      <w:r>
        <w:rPr>
          <w:rFonts w:ascii="Calibri" w:cs="Calibri" w:eastAsia="Calibri" w:hAnsi="Calibri"/>
          <w:sz w:val="17"/>
          <w:szCs w:val="17"/>
          <w:color w:val="333333"/>
        </w:rPr>
        <w:t>2025 AIP for the CEO was paid 75% in cash and 25% through the award of 3,695 shares of restricted stock with a grant date fair value of approximately $601,718 based on the closing price per share of Common Stock of $162.84 reported on the NYSE for the grant date of March 11, 2026, which will vest on the frst anniversary of the date of grant and will be reported as compensaton in the Summary Compensaton Table for the year ending December 31, 2026. 2025 AIP for the other partcipatng NEOs was paid 100% in cash.</w:t>
      </w:r>
    </w:p>
    <w:p>
      <w:pPr>
        <w:spacing w:after="0" w:line="120" w:lineRule="exact"/>
        <w:rPr>
          <w:rFonts w:ascii="Calibri" w:cs="Calibri" w:eastAsia="Calibri" w:hAnsi="Calibri"/>
          <w:sz w:val="13"/>
          <w:szCs w:val="13"/>
          <w:color w:val="333333"/>
        </w:rPr>
      </w:pPr>
    </w:p>
    <w:p>
      <w:pPr>
        <w:ind w:left="600" w:right="20" w:hanging="433"/>
        <w:spacing w:after="0" w:line="232" w:lineRule="auto"/>
        <w:tabs>
          <w:tab w:leader="none" w:pos="600" w:val="left"/>
        </w:tabs>
        <w:numPr>
          <w:ilvl w:val="0"/>
          <w:numId w:val="105"/>
        </w:numPr>
        <w:rPr>
          <w:rFonts w:ascii="Calibri" w:cs="Calibri" w:eastAsia="Calibri" w:hAnsi="Calibri"/>
          <w:sz w:val="13"/>
          <w:szCs w:val="13"/>
          <w:color w:val="333333"/>
        </w:rPr>
      </w:pPr>
      <w:r>
        <w:rPr>
          <w:rFonts w:ascii="Calibri" w:cs="Calibri" w:eastAsia="Calibri" w:hAnsi="Calibri"/>
          <w:sz w:val="17"/>
          <w:szCs w:val="17"/>
          <w:color w:val="333333"/>
        </w:rPr>
        <w:t>Columns (f), (g) and (h) include the number of the Performance RSUs awarded to our CEO and other NEOs in 2025 based upon the threshold, target and maximum outcomes of the performance conditon based on Relatve TSR, consistent with the estmate of aggregate compensaton costs to be recognized over the service period, excluding the efect of estmated forfeitures. Performance RSUs awarded as 2025 LTIP measure performance based on Relatve TSR over three years beginning January 1, 2025 and ending December 31, 2027, except for Mr. Keatng, whose awards measure performance based on Relatve TSR over two years beginning January 1, 2025. The fair value per unit of all Performance RSUs has been calculated using a Monte Carlo simulaton method in accordance with FASB Topic 718 for equity awards with market-based conditons. The NEOs’ Performance RSUs have been valued using the grant date fair market value of $169.81 (the closing price per share reported on the NYSE for the grant date of March 5, 2025) as one of the inital inputs. The resultng fair values per Performance RSU granted to (i) our CEO was $156.57, (ii) Messrs. Linton, Sabherwal and Lu and Ms. Paul was $160.65 and (iii) Mr. Keatng was $148.23. These values were used to calculate the number of Performance RSUs awarded to our CEO and other NEOs, respectvely, in 2025.</w:t>
      </w:r>
    </w:p>
    <w:p>
      <w:pPr>
        <w:spacing w:after="0" w:line="120" w:lineRule="exact"/>
        <w:rPr>
          <w:rFonts w:ascii="Calibri" w:cs="Calibri" w:eastAsia="Calibri" w:hAnsi="Calibri"/>
          <w:sz w:val="13"/>
          <w:szCs w:val="13"/>
          <w:color w:val="333333"/>
        </w:rPr>
      </w:pPr>
    </w:p>
    <w:p>
      <w:pPr>
        <w:ind w:left="600" w:hanging="433"/>
        <w:spacing w:after="0" w:line="232" w:lineRule="auto"/>
        <w:tabs>
          <w:tab w:leader="none" w:pos="600" w:val="left"/>
        </w:tabs>
        <w:numPr>
          <w:ilvl w:val="0"/>
          <w:numId w:val="105"/>
        </w:numPr>
        <w:rPr>
          <w:rFonts w:ascii="Calibri" w:cs="Calibri" w:eastAsia="Calibri" w:hAnsi="Calibri"/>
          <w:sz w:val="13"/>
          <w:szCs w:val="13"/>
          <w:color w:val="333333"/>
        </w:rPr>
      </w:pPr>
      <w:r>
        <w:rPr>
          <w:rFonts w:ascii="Calibri" w:cs="Calibri" w:eastAsia="Calibri" w:hAnsi="Calibri"/>
          <w:sz w:val="17"/>
          <w:szCs w:val="17"/>
          <w:color w:val="333333"/>
        </w:rPr>
        <w:t>Column (l) reports the aggregate grant date fair values of the Performance RSUs as described above and the tme-based RSUs awarded to our CEO and Chief Accountng Ofcer and tme-based RSAs awarded to the other NEOs in 2025 in accordance with FASB Topic 718. Column (l) also reports the grant date fair values of tme-based RSAs awarded to Mr. Linton and Mr. Lu, who received a $1,000,000 and $2,000,000 discretonary restricted stock award, respectvely, on December 19, 2025, that vest on a pro rata basis in four years, such that all unvested RSAs will be fully vested as of December 19, 2029. For a discussion of the assumptons and methodologies used to value these awards, see the discussion of stock awards contained in “Part II, Item 8, Financial Statements and Supplementary Data — Notes to Consolidated Financial Statements — Note 1 — Descripton of Business and Summary of Signifcant Accountng Policies — Share-Based Compensaton” and “Part II, Item 8, Financial Statements and Supplementary Data — Notes to Consolidated Financial Statements — Note 7 — Share-Based Compensaton” of the Company’s 2025 Form 10-K.</w:t>
      </w:r>
    </w:p>
    <w:p>
      <w:pPr>
        <w:spacing w:after="0" w:line="120" w:lineRule="exact"/>
        <w:rPr>
          <w:rFonts w:ascii="Calibri" w:cs="Calibri" w:eastAsia="Calibri" w:hAnsi="Calibri"/>
          <w:sz w:val="13"/>
          <w:szCs w:val="13"/>
          <w:color w:val="333333"/>
        </w:rPr>
      </w:pPr>
    </w:p>
    <w:p>
      <w:pPr>
        <w:ind w:left="600" w:right="340" w:hanging="433"/>
        <w:spacing w:after="0" w:line="233" w:lineRule="auto"/>
        <w:tabs>
          <w:tab w:leader="none" w:pos="600" w:val="left"/>
        </w:tabs>
        <w:numPr>
          <w:ilvl w:val="0"/>
          <w:numId w:val="105"/>
        </w:numPr>
        <w:rPr>
          <w:rFonts w:ascii="Calibri" w:cs="Calibri" w:eastAsia="Calibri" w:hAnsi="Calibri"/>
          <w:sz w:val="13"/>
          <w:szCs w:val="13"/>
          <w:color w:val="333333"/>
        </w:rPr>
      </w:pPr>
      <w:r>
        <w:rPr>
          <w:rFonts w:ascii="Calibri" w:cs="Calibri" w:eastAsia="Calibri" w:hAnsi="Calibri"/>
          <w:sz w:val="17"/>
          <w:szCs w:val="17"/>
          <w:color w:val="333333"/>
        </w:rPr>
        <w:t>The Compensaton Commitee awarded Mr. Linton and Mr. Lu discretonary equity awards in December 2025 in recogniton of each’s tenure and signifcant contributons in 2025. For additonal informaton, see the secton of</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89</w:t>
      </w:r>
    </w:p>
    <w:p>
      <w:pPr>
        <w:sectPr>
          <w:pgSz w:w="11900" w:h="16838" w:orient="portrait"/>
          <w:cols w:equalWidth="0" w:num="1">
            <w:col w:w="11080"/>
          </w:cols>
          <w:pgMar w:left="320" w:top="478"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600" w:right="240"/>
        <w:spacing w:after="0" w:line="233" w:lineRule="auto"/>
        <w:rPr>
          <w:sz w:val="20"/>
          <w:szCs w:val="20"/>
          <w:color w:val="auto"/>
        </w:rPr>
      </w:pPr>
      <w:r>
        <w:rPr>
          <w:rFonts w:ascii="Calibri" w:cs="Calibri" w:eastAsia="Calibri" w:hAnsi="Calibri"/>
          <w:sz w:val="17"/>
          <w:szCs w:val="17"/>
          <w:color w:val="333333"/>
        </w:rPr>
        <w:t xml:space="preserve">this Proxy Statement captoned “Compensaton Discussion and Analysis — 2025 Executve Compensaton Program — 2025 Discretonary Awards “ beginning on </w:t>
      </w:r>
      <w:r>
        <w:rPr>
          <w:rFonts w:ascii="Calibri" w:cs="Calibri" w:eastAsia="Calibri" w:hAnsi="Calibri"/>
          <w:sz w:val="17"/>
          <w:szCs w:val="17"/>
          <w:color w:val="0591DB"/>
        </w:rPr>
        <w:t>page 78</w:t>
      </w:r>
      <w:r>
        <w:rPr>
          <w:rFonts w:ascii="Calibri" w:cs="Calibri" w:eastAsia="Calibri" w:hAnsi="Calibri"/>
          <w:sz w:val="17"/>
          <w:szCs w:val="17"/>
          <w:color w:val="333333"/>
        </w:rPr>
        <w:t xml:space="preserve"> of this Proxy Statement.</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Outstanding Equity Awards at Fiscal Year End</w:t>
      </w:r>
    </w:p>
    <w:p>
      <w:pPr>
        <w:spacing w:after="0" w:line="212" w:lineRule="exact"/>
        <w:rPr>
          <w:sz w:val="20"/>
          <w:szCs w:val="20"/>
          <w:color w:val="auto"/>
        </w:rPr>
      </w:pPr>
    </w:p>
    <w:p>
      <w:pPr>
        <w:ind w:left="160" w:right="120"/>
        <w:spacing w:after="0" w:line="233" w:lineRule="auto"/>
        <w:rPr>
          <w:sz w:val="20"/>
          <w:szCs w:val="20"/>
          <w:color w:val="auto"/>
        </w:rPr>
      </w:pPr>
      <w:r>
        <w:rPr>
          <w:rFonts w:ascii="Calibri" w:cs="Calibri" w:eastAsia="Calibri" w:hAnsi="Calibri"/>
          <w:sz w:val="17"/>
          <w:szCs w:val="17"/>
          <w:color w:val="333333"/>
        </w:rPr>
        <w:t>The following table shows the number of shares covered or used as references for (i) exercisable and unexercisable stock optons, (ii) unvested RSUs, RSAs and Performance RSUs, (iii) full-value cash units and (iv) cash-based performance units, if held by our NEOs on December 31, 2025:</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60" w:type="dxa"/>
            <w:vAlign w:val="bottom"/>
            <w:tcBorders>
              <w:top w:val="single" w:sz="8" w:color="0591DB"/>
              <w:left w:val="single" w:sz="8" w:color="0591DB"/>
              <w:right w:val="single" w:sz="8" w:color="0591DB"/>
            </w:tcBorders>
          </w:tcPr>
          <w:p>
            <w:pPr>
              <w:spacing w:after="0"/>
              <w:rPr>
                <w:sz w:val="17"/>
                <w:szCs w:val="17"/>
                <w:color w:val="auto"/>
              </w:rPr>
            </w:pPr>
          </w:p>
        </w:tc>
        <w:tc>
          <w:tcPr>
            <w:tcW w:w="1080" w:type="dxa"/>
            <w:vAlign w:val="bottom"/>
            <w:tcBorders>
              <w:top w:val="single" w:sz="8" w:color="0591DB"/>
              <w:right w:val="single" w:sz="8" w:color="0591DB"/>
            </w:tcBorders>
          </w:tcPr>
          <w:p>
            <w:pPr>
              <w:spacing w:after="0"/>
              <w:rPr>
                <w:sz w:val="17"/>
                <w:szCs w:val="17"/>
                <w:color w:val="auto"/>
              </w:rPr>
            </w:pPr>
          </w:p>
        </w:tc>
        <w:tc>
          <w:tcPr>
            <w:tcW w:w="1180" w:type="dxa"/>
            <w:vAlign w:val="bottom"/>
            <w:tcBorders>
              <w:top w:val="single" w:sz="8" w:color="0591DB"/>
              <w:right w:val="single" w:sz="8" w:color="0591DB"/>
            </w:tcBorders>
          </w:tcPr>
          <w:p>
            <w:pPr>
              <w:spacing w:after="0"/>
              <w:rPr>
                <w:sz w:val="17"/>
                <w:szCs w:val="17"/>
                <w:color w:val="auto"/>
              </w:rPr>
            </w:pPr>
          </w:p>
        </w:tc>
        <w:tc>
          <w:tcPr>
            <w:tcW w:w="1080" w:type="dxa"/>
            <w:vAlign w:val="bottom"/>
            <w:tcBorders>
              <w:top w:val="single" w:sz="8" w:color="0591DB"/>
              <w:right w:val="single" w:sz="8" w:color="0591DB"/>
            </w:tcBorders>
          </w:tcPr>
          <w:p>
            <w:pPr>
              <w:spacing w:after="0"/>
              <w:rPr>
                <w:sz w:val="17"/>
                <w:szCs w:val="17"/>
                <w:color w:val="auto"/>
              </w:rPr>
            </w:pPr>
          </w:p>
        </w:tc>
        <w:tc>
          <w:tcPr>
            <w:tcW w:w="780" w:type="dxa"/>
            <w:vAlign w:val="bottom"/>
            <w:tcBorders>
              <w:top w:val="single" w:sz="8" w:color="0591DB"/>
              <w:right w:val="single" w:sz="8" w:color="0591DB"/>
            </w:tcBorders>
          </w:tcPr>
          <w:p>
            <w:pPr>
              <w:spacing w:after="0"/>
              <w:rPr>
                <w:sz w:val="17"/>
                <w:szCs w:val="17"/>
                <w:color w:val="auto"/>
              </w:rPr>
            </w:pPr>
          </w:p>
        </w:tc>
        <w:tc>
          <w:tcPr>
            <w:tcW w:w="980" w:type="dxa"/>
            <w:vAlign w:val="bottom"/>
            <w:tcBorders>
              <w:top w:val="single" w:sz="8" w:color="0591DB"/>
              <w:right w:val="single" w:sz="8" w:color="0591DB"/>
            </w:tcBorders>
          </w:tcPr>
          <w:p>
            <w:pPr>
              <w:spacing w:after="0"/>
              <w:rPr>
                <w:sz w:val="17"/>
                <w:szCs w:val="17"/>
                <w:color w:val="auto"/>
              </w:rPr>
            </w:pPr>
          </w:p>
        </w:tc>
        <w:tc>
          <w:tcPr>
            <w:tcW w:w="1000" w:type="dxa"/>
            <w:vAlign w:val="bottom"/>
            <w:tcBorders>
              <w:top w:val="single" w:sz="8" w:color="0591DB"/>
              <w:right w:val="single" w:sz="8" w:color="0591DB"/>
            </w:tcBorders>
          </w:tcPr>
          <w:p>
            <w:pPr>
              <w:spacing w:after="0"/>
              <w:rPr>
                <w:sz w:val="17"/>
                <w:szCs w:val="17"/>
                <w:color w:val="auto"/>
              </w:rPr>
            </w:pPr>
          </w:p>
        </w:tc>
        <w:tc>
          <w:tcPr>
            <w:tcW w:w="980" w:type="dxa"/>
            <w:vAlign w:val="bottom"/>
            <w:tcBorders>
              <w:top w:val="single" w:sz="8" w:color="0591DB"/>
              <w:right w:val="single" w:sz="8" w:color="0591DB"/>
            </w:tcBorders>
          </w:tcPr>
          <w:p>
            <w:pPr>
              <w:spacing w:after="0"/>
              <w:rPr>
                <w:sz w:val="17"/>
                <w:szCs w:val="17"/>
                <w:color w:val="auto"/>
              </w:rPr>
            </w:pPr>
          </w:p>
        </w:tc>
        <w:tc>
          <w:tcPr>
            <w:tcW w:w="620" w:type="dxa"/>
            <w:vAlign w:val="bottom"/>
            <w:tcBorders>
              <w:top w:val="single" w:sz="8" w:color="0591DB"/>
            </w:tcBorders>
          </w:tcPr>
          <w:p>
            <w:pPr>
              <w:spacing w:after="0"/>
              <w:rPr>
                <w:sz w:val="17"/>
                <w:szCs w:val="17"/>
                <w:color w:val="auto"/>
              </w:rPr>
            </w:pPr>
          </w:p>
        </w:tc>
        <w:tc>
          <w:tcPr>
            <w:tcW w:w="380" w:type="dxa"/>
            <w:vAlign w:val="bottom"/>
            <w:tcBorders>
              <w:top w:val="single" w:sz="8" w:color="0591DB"/>
              <w:right w:val="single" w:sz="8" w:color="0591DB"/>
            </w:tcBorders>
          </w:tcPr>
          <w:p>
            <w:pPr>
              <w:spacing w:after="0"/>
              <w:rPr>
                <w:sz w:val="17"/>
                <w:szCs w:val="17"/>
                <w:color w:val="auto"/>
              </w:rPr>
            </w:pPr>
          </w:p>
        </w:tc>
        <w:tc>
          <w:tcPr>
            <w:tcW w:w="960" w:type="dxa"/>
            <w:vAlign w:val="bottom"/>
            <w:tcBorders>
              <w:top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EQUITY</w:t>
            </w:r>
          </w:p>
        </w:tc>
        <w:tc>
          <w:tcPr>
            <w:tcW w:w="20" w:type="dxa"/>
            <w:vAlign w:val="bottom"/>
            <w:tcBorders>
              <w:top w:val="single" w:sz="8" w:color="0591DB"/>
            </w:tcBorders>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Borders>
              <w:right w:val="single" w:sz="8" w:color="0591DB"/>
            </w:tcBorders>
          </w:tcPr>
          <w:p>
            <w:pPr>
              <w:spacing w:after="0"/>
              <w:rPr>
                <w:sz w:val="12"/>
                <w:szCs w:val="12"/>
                <w:color w:val="auto"/>
              </w:rPr>
            </w:pP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INCENTIVE</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gridSpan w:val="2"/>
          </w:tcPr>
          <w:p>
            <w:pPr>
              <w:jc w:val="center"/>
              <w:spacing w:after="0"/>
              <w:rPr>
                <w:sz w:val="20"/>
                <w:szCs w:val="20"/>
                <w:color w:val="auto"/>
              </w:rPr>
            </w:pPr>
            <w:r>
              <w:rPr>
                <w:rFonts w:ascii="Calibri" w:cs="Calibri" w:eastAsia="Calibri" w:hAnsi="Calibri"/>
                <w:sz w:val="12"/>
                <w:szCs w:val="12"/>
                <w:b w:val="1"/>
                <w:bCs w:val="1"/>
                <w:color w:val="0591DB"/>
              </w:rPr>
              <w:t>EQUITY</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PLAN</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INCENTIVE</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AWARDS:</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EQUITY</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PLAN</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MARKET OR</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INCENTIVE</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gridSpan w:val="2"/>
          </w:tcPr>
          <w:p>
            <w:pPr>
              <w:jc w:val="center"/>
              <w:spacing w:after="0"/>
              <w:rPr>
                <w:sz w:val="20"/>
                <w:szCs w:val="20"/>
                <w:color w:val="auto"/>
              </w:rPr>
            </w:pPr>
            <w:r>
              <w:rPr>
                <w:rFonts w:ascii="Calibri" w:cs="Calibri" w:eastAsia="Calibri" w:hAnsi="Calibri"/>
                <w:sz w:val="12"/>
                <w:szCs w:val="12"/>
                <w:b w:val="1"/>
                <w:bCs w:val="1"/>
                <w:color w:val="0591DB"/>
              </w:rPr>
              <w:t>AWARDS:</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PAYOUT</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PLAN</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NUMBER OF</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VALUE OF</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w w:val="98"/>
              </w:rPr>
              <w:t>AWARDS:</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NUMBER</w:t>
            </w:r>
          </w:p>
        </w:tc>
        <w:tc>
          <w:tcPr>
            <w:tcW w:w="9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MARKET</w:t>
            </w: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UNEARNED</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UNEARNED</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NUMBER OF</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OF SHARES</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VALUE OF</w:t>
            </w: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SHARES,</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SHARES,</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NUMBER OF</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NUMBER OF</w:t>
            </w:r>
          </w:p>
        </w:tc>
        <w:tc>
          <w:tcPr>
            <w:tcW w:w="1080" w:type="dxa"/>
            <w:vAlign w:val="bottom"/>
            <w:tcBorders>
              <w:right w:val="single" w:sz="8" w:color="0591DB"/>
            </w:tcBorders>
          </w:tcPr>
          <w:p>
            <w:pPr>
              <w:jc w:val="center"/>
              <w:ind w:left="29"/>
              <w:spacing w:after="0"/>
              <w:rPr>
                <w:sz w:val="20"/>
                <w:szCs w:val="20"/>
                <w:color w:val="auto"/>
              </w:rPr>
            </w:pPr>
            <w:r>
              <w:rPr>
                <w:rFonts w:ascii="Calibri" w:cs="Calibri" w:eastAsia="Calibri" w:hAnsi="Calibri"/>
                <w:sz w:val="12"/>
                <w:szCs w:val="12"/>
                <w:b w:val="1"/>
                <w:bCs w:val="1"/>
                <w:color w:val="0591DB"/>
              </w:rPr>
              <w:t>SECURITIES</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OR</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SHARES OR</w:t>
            </w:r>
          </w:p>
        </w:tc>
        <w:tc>
          <w:tcPr>
            <w:tcW w:w="1000" w:type="dxa"/>
            <w:vAlign w:val="bottom"/>
            <w:tcBorders>
              <w:right w:val="single" w:sz="8" w:color="0591DB"/>
            </w:tcBorders>
            <w:gridSpan w:val="2"/>
          </w:tcPr>
          <w:p>
            <w:pPr>
              <w:jc w:val="center"/>
              <w:spacing w:after="0"/>
              <w:rPr>
                <w:sz w:val="20"/>
                <w:szCs w:val="20"/>
                <w:color w:val="auto"/>
              </w:rPr>
            </w:pPr>
            <w:r>
              <w:rPr>
                <w:rFonts w:ascii="Calibri" w:cs="Calibri" w:eastAsia="Calibri" w:hAnsi="Calibri"/>
                <w:sz w:val="12"/>
                <w:szCs w:val="12"/>
                <w:b w:val="1"/>
                <w:bCs w:val="1"/>
                <w:color w:val="0591DB"/>
              </w:rPr>
              <w:t>UNITS OR</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UNITS OR</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SECURITIES</w:t>
            </w:r>
          </w:p>
        </w:tc>
        <w:tc>
          <w:tcPr>
            <w:tcW w:w="11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SECURITIES</w:t>
            </w: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UNDERLYING</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UNITS OF</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UNITS OF</w:t>
            </w: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OTHER</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w w:val="99"/>
              </w:rPr>
              <w:t>OTHER</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9"/>
              </w:rPr>
              <w:t>UNDERLYING</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UNDERLYING</w:t>
            </w: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UNEXERCISED</w:t>
            </w:r>
          </w:p>
        </w:tc>
        <w:tc>
          <w:tcPr>
            <w:tcW w:w="780" w:type="dxa"/>
            <w:vAlign w:val="bottom"/>
            <w:tcBorders>
              <w:right w:val="single" w:sz="8" w:color="0591DB"/>
            </w:tcBorders>
          </w:tcPr>
          <w:p>
            <w:pPr>
              <w:jc w:val="center"/>
              <w:ind w:left="7"/>
              <w:spacing w:after="0"/>
              <w:rPr>
                <w:sz w:val="20"/>
                <w:szCs w:val="20"/>
                <w:color w:val="auto"/>
              </w:rPr>
            </w:pPr>
            <w:r>
              <w:rPr>
                <w:rFonts w:ascii="Calibri" w:cs="Calibri" w:eastAsia="Calibri" w:hAnsi="Calibri"/>
                <w:sz w:val="12"/>
                <w:szCs w:val="12"/>
                <w:b w:val="1"/>
                <w:bCs w:val="1"/>
                <w:color w:val="0591DB"/>
              </w:rPr>
              <w:t>OPTION</w:t>
            </w:r>
          </w:p>
        </w:tc>
        <w:tc>
          <w:tcPr>
            <w:tcW w:w="980" w:type="dxa"/>
            <w:vAlign w:val="bottom"/>
            <w:tcBorders>
              <w:right w:val="single" w:sz="8" w:color="0591DB"/>
            </w:tcBorders>
          </w:tcPr>
          <w:p>
            <w:pPr>
              <w:jc w:val="center"/>
              <w:ind w:left="6"/>
              <w:spacing w:after="0"/>
              <w:rPr>
                <w:sz w:val="20"/>
                <w:szCs w:val="20"/>
                <w:color w:val="auto"/>
              </w:rPr>
            </w:pPr>
            <w:r>
              <w:rPr>
                <w:rFonts w:ascii="Calibri" w:cs="Calibri" w:eastAsia="Calibri" w:hAnsi="Calibri"/>
                <w:sz w:val="12"/>
                <w:szCs w:val="12"/>
                <w:b w:val="1"/>
                <w:bCs w:val="1"/>
                <w:color w:val="0591DB"/>
              </w:rPr>
              <w:t>OPTION</w:t>
            </w:r>
          </w:p>
        </w:tc>
        <w:tc>
          <w:tcPr>
            <w:tcW w:w="100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STOCK THAT</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w w:val="99"/>
              </w:rPr>
              <w:t>STOCK THAT</w:t>
            </w:r>
          </w:p>
        </w:tc>
        <w:tc>
          <w:tcPr>
            <w:tcW w:w="1000" w:type="dxa"/>
            <w:vAlign w:val="bottom"/>
            <w:tcBorders>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RIGHTS THAT</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RIGHTS THAT</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UNEXERCISED</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UNEXERCISED</w:t>
            </w: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UNEARNED</w:t>
            </w:r>
          </w:p>
        </w:tc>
        <w:tc>
          <w:tcPr>
            <w:tcW w:w="780" w:type="dxa"/>
            <w:vAlign w:val="bottom"/>
            <w:tcBorders>
              <w:right w:val="single" w:sz="8" w:color="0591DB"/>
            </w:tcBorders>
          </w:tcPr>
          <w:p>
            <w:pPr>
              <w:jc w:val="center"/>
              <w:ind w:left="27"/>
              <w:spacing w:after="0"/>
              <w:rPr>
                <w:sz w:val="20"/>
                <w:szCs w:val="20"/>
                <w:color w:val="auto"/>
              </w:rPr>
            </w:pPr>
            <w:r>
              <w:rPr>
                <w:rFonts w:ascii="Calibri" w:cs="Calibri" w:eastAsia="Calibri" w:hAnsi="Calibri"/>
                <w:sz w:val="12"/>
                <w:szCs w:val="12"/>
                <w:b w:val="1"/>
                <w:bCs w:val="1"/>
                <w:color w:val="0591DB"/>
              </w:rPr>
              <w:t>EXERCISE</w:t>
            </w:r>
          </w:p>
        </w:tc>
        <w:tc>
          <w:tcPr>
            <w:tcW w:w="980" w:type="dxa"/>
            <w:vAlign w:val="bottom"/>
            <w:tcBorders>
              <w:right w:val="single" w:sz="8" w:color="0591DB"/>
            </w:tcBorders>
          </w:tcPr>
          <w:p>
            <w:pPr>
              <w:jc w:val="center"/>
              <w:ind w:left="6"/>
              <w:spacing w:after="0"/>
              <w:rPr>
                <w:sz w:val="20"/>
                <w:szCs w:val="20"/>
                <w:color w:val="auto"/>
              </w:rPr>
            </w:pPr>
            <w:r>
              <w:rPr>
                <w:rFonts w:ascii="Calibri" w:cs="Calibri" w:eastAsia="Calibri" w:hAnsi="Calibri"/>
                <w:sz w:val="12"/>
                <w:szCs w:val="12"/>
                <w:b w:val="1"/>
                <w:bCs w:val="1"/>
                <w:color w:val="0591DB"/>
              </w:rPr>
              <w:t>EXPIRATION</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HAVE NOT</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HAVE NOT</w:t>
            </w:r>
          </w:p>
        </w:tc>
        <w:tc>
          <w:tcPr>
            <w:tcW w:w="1000" w:type="dxa"/>
            <w:vAlign w:val="bottom"/>
            <w:tcBorders>
              <w:right w:val="single" w:sz="8" w:color="0591DB"/>
            </w:tcBorders>
            <w:gridSpan w:val="2"/>
          </w:tcPr>
          <w:p>
            <w:pPr>
              <w:jc w:val="center"/>
              <w:spacing w:after="0"/>
              <w:rPr>
                <w:sz w:val="20"/>
                <w:szCs w:val="20"/>
                <w:color w:val="auto"/>
              </w:rPr>
            </w:pPr>
            <w:r>
              <w:rPr>
                <w:rFonts w:ascii="Calibri" w:cs="Calibri" w:eastAsia="Calibri" w:hAnsi="Calibri"/>
                <w:sz w:val="12"/>
                <w:szCs w:val="12"/>
                <w:b w:val="1"/>
                <w:bCs w:val="1"/>
                <w:color w:val="0591DB"/>
              </w:rPr>
              <w:t>HAVE NOT</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HAVE NOT</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tcBorders>
              <w:left w:val="single" w:sz="8" w:color="0591DB"/>
              <w:bottom w:val="single" w:sz="8" w:color="0591DB"/>
              <w:right w:val="single" w:sz="8" w:color="0591DB"/>
            </w:tcBorders>
          </w:tcPr>
          <w:p>
            <w:pPr>
              <w:ind w:left="140"/>
              <w:spacing w:after="0"/>
              <w:rPr>
                <w:sz w:val="20"/>
                <w:szCs w:val="20"/>
                <w:color w:val="auto"/>
              </w:rPr>
            </w:pPr>
            <w:r>
              <w:rPr>
                <w:rFonts w:ascii="Calibri" w:cs="Calibri" w:eastAsia="Calibri" w:hAnsi="Calibri"/>
                <w:sz w:val="12"/>
                <w:szCs w:val="12"/>
                <w:b w:val="1"/>
                <w:bCs w:val="1"/>
                <w:color w:val="0591DB"/>
              </w:rPr>
              <w:t> NAME</w:t>
            </w:r>
          </w:p>
        </w:tc>
        <w:tc>
          <w:tcPr>
            <w:tcW w:w="108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OPTIONS</w:t>
            </w:r>
          </w:p>
        </w:tc>
        <w:tc>
          <w:tcPr>
            <w:tcW w:w="118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OPTIONS</w:t>
            </w:r>
          </w:p>
        </w:tc>
        <w:tc>
          <w:tcPr>
            <w:tcW w:w="1080" w:type="dxa"/>
            <w:vAlign w:val="bottom"/>
            <w:tcBorders>
              <w:bottom w:val="single" w:sz="8" w:color="0591DB"/>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OPTIONS</w:t>
            </w:r>
          </w:p>
        </w:tc>
        <w:tc>
          <w:tcPr>
            <w:tcW w:w="780" w:type="dxa"/>
            <w:vAlign w:val="bottom"/>
            <w:tcBorders>
              <w:bottom w:val="single" w:sz="8" w:color="0591DB"/>
              <w:right w:val="single" w:sz="8" w:color="0591DB"/>
            </w:tcBorders>
          </w:tcPr>
          <w:p>
            <w:pPr>
              <w:jc w:val="center"/>
              <w:ind w:left="7"/>
              <w:spacing w:after="0"/>
              <w:rPr>
                <w:sz w:val="20"/>
                <w:szCs w:val="20"/>
                <w:color w:val="auto"/>
              </w:rPr>
            </w:pPr>
            <w:r>
              <w:rPr>
                <w:rFonts w:ascii="Calibri" w:cs="Calibri" w:eastAsia="Calibri" w:hAnsi="Calibri"/>
                <w:sz w:val="12"/>
                <w:szCs w:val="12"/>
                <w:b w:val="1"/>
                <w:bCs w:val="1"/>
                <w:color w:val="0591DB"/>
              </w:rPr>
              <w:t>PRICE</w:t>
            </w:r>
          </w:p>
        </w:tc>
        <w:tc>
          <w:tcPr>
            <w:tcW w:w="980" w:type="dxa"/>
            <w:vAlign w:val="bottom"/>
            <w:tcBorders>
              <w:bottom w:val="single" w:sz="8" w:color="0591DB"/>
              <w:right w:val="single" w:sz="8" w:color="0591DB"/>
            </w:tcBorders>
          </w:tcPr>
          <w:p>
            <w:pPr>
              <w:jc w:val="center"/>
              <w:ind w:left="6"/>
              <w:spacing w:after="0"/>
              <w:rPr>
                <w:sz w:val="20"/>
                <w:szCs w:val="20"/>
                <w:color w:val="auto"/>
              </w:rPr>
            </w:pPr>
            <w:r>
              <w:rPr>
                <w:rFonts w:ascii="Calibri" w:cs="Calibri" w:eastAsia="Calibri" w:hAnsi="Calibri"/>
                <w:sz w:val="12"/>
                <w:szCs w:val="12"/>
                <w:b w:val="1"/>
                <w:bCs w:val="1"/>
                <w:color w:val="0591DB"/>
                <w:w w:val="97"/>
              </w:rPr>
              <w:t>DATE</w:t>
            </w:r>
          </w:p>
        </w:tc>
        <w:tc>
          <w:tcPr>
            <w:tcW w:w="1000" w:type="dxa"/>
            <w:vAlign w:val="bottom"/>
            <w:tcBorders>
              <w:bottom w:val="single" w:sz="8" w:color="0591DB"/>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VESTED</w:t>
            </w:r>
          </w:p>
        </w:tc>
        <w:tc>
          <w:tcPr>
            <w:tcW w:w="980" w:type="dxa"/>
            <w:vAlign w:val="bottom"/>
            <w:tcBorders>
              <w:bottom w:val="single" w:sz="8" w:color="0591DB"/>
              <w:right w:val="single" w:sz="8" w:color="0591DB"/>
            </w:tcBorders>
          </w:tcPr>
          <w:p>
            <w:pPr>
              <w:jc w:val="center"/>
              <w:spacing w:after="0" w:line="218" w:lineRule="exact"/>
              <w:rPr>
                <w:sz w:val="20"/>
                <w:szCs w:val="20"/>
                <w:color w:val="auto"/>
              </w:rPr>
            </w:pPr>
            <w:r>
              <w:rPr>
                <w:rFonts w:ascii="Calibri" w:cs="Calibri" w:eastAsia="Calibri" w:hAnsi="Calibri"/>
                <w:sz w:val="12"/>
                <w:szCs w:val="12"/>
                <w:b w:val="1"/>
                <w:bCs w:val="1"/>
                <w:color w:val="0591DB"/>
                <w:w w:val="95"/>
              </w:rPr>
              <w:t xml:space="preserve">VESTED </w:t>
            </w:r>
            <w:r>
              <w:rPr>
                <w:rFonts w:ascii="Calibri" w:cs="Calibri" w:eastAsia="Calibri" w:hAnsi="Calibri"/>
                <w:sz w:val="18"/>
                <w:szCs w:val="18"/>
                <w:b w:val="1"/>
                <w:bCs w:val="1"/>
                <w:color w:val="0591DB"/>
                <w:w w:val="95"/>
                <w:vertAlign w:val="superscript"/>
              </w:rPr>
              <w:t>(1)</w:t>
            </w:r>
          </w:p>
        </w:tc>
        <w:tc>
          <w:tcPr>
            <w:tcW w:w="1000" w:type="dxa"/>
            <w:vAlign w:val="bottom"/>
            <w:tcBorders>
              <w:bottom w:val="single" w:sz="8" w:color="0591DB"/>
              <w:right w:val="single" w:sz="8" w:color="0591DB"/>
            </w:tcBorders>
            <w:gridSpan w:val="2"/>
          </w:tcPr>
          <w:p>
            <w:pPr>
              <w:jc w:val="center"/>
              <w:ind w:left="9"/>
              <w:spacing w:after="0"/>
              <w:rPr>
                <w:sz w:val="20"/>
                <w:szCs w:val="20"/>
                <w:color w:val="auto"/>
              </w:rPr>
            </w:pPr>
            <w:r>
              <w:rPr>
                <w:rFonts w:ascii="Calibri" w:cs="Calibri" w:eastAsia="Calibri" w:hAnsi="Calibri"/>
                <w:sz w:val="12"/>
                <w:szCs w:val="12"/>
                <w:b w:val="1"/>
                <w:bCs w:val="1"/>
                <w:color w:val="0591DB"/>
              </w:rPr>
              <w:t>VESTED</w:t>
            </w:r>
          </w:p>
        </w:tc>
        <w:tc>
          <w:tcPr>
            <w:tcW w:w="960" w:type="dxa"/>
            <w:vAlign w:val="bottom"/>
            <w:tcBorders>
              <w:bottom w:val="single" w:sz="8" w:color="0591DB"/>
            </w:tcBorders>
          </w:tcPr>
          <w:p>
            <w:pPr>
              <w:jc w:val="center"/>
              <w:spacing w:after="0" w:line="218" w:lineRule="exact"/>
              <w:rPr>
                <w:sz w:val="20"/>
                <w:szCs w:val="20"/>
                <w:color w:val="auto"/>
              </w:rPr>
            </w:pPr>
            <w:r>
              <w:rPr>
                <w:rFonts w:ascii="Calibri" w:cs="Calibri" w:eastAsia="Calibri" w:hAnsi="Calibri"/>
                <w:sz w:val="12"/>
                <w:szCs w:val="12"/>
                <w:b w:val="1"/>
                <w:bCs w:val="1"/>
                <w:color w:val="0591DB"/>
                <w:w w:val="99"/>
              </w:rPr>
              <w:t xml:space="preserve">VESTED </w:t>
            </w:r>
            <w:r>
              <w:rPr>
                <w:rFonts w:ascii="Calibri" w:cs="Calibri" w:eastAsia="Calibri" w:hAnsi="Calibri"/>
                <w:sz w:val="18"/>
                <w:szCs w:val="18"/>
                <w:b w:val="1"/>
                <w:bCs w:val="1"/>
                <w:color w:val="0591DB"/>
                <w:w w:val="99"/>
                <w:vertAlign w:val="superscript"/>
              </w:rPr>
              <w:t>(1)</w:t>
            </w:r>
          </w:p>
        </w:tc>
        <w:tc>
          <w:tcPr>
            <w:tcW w:w="20" w:type="dxa"/>
            <w:vAlign w:val="bottom"/>
            <w:tcBorders>
              <w:bottom w:val="single" w:sz="8" w:color="0591DB"/>
            </w:tcBorders>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left w:val="single" w:sz="8" w:color="0591DB"/>
              <w:right w:val="single" w:sz="8" w:color="0591DB"/>
            </w:tcBorders>
          </w:tcPr>
          <w:p>
            <w:pPr>
              <w:spacing w:after="0"/>
              <w:rPr>
                <w:sz w:val="16"/>
                <w:szCs w:val="16"/>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w:t>
            </w:r>
          </w:p>
        </w:tc>
        <w:tc>
          <w:tcPr>
            <w:tcW w:w="11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w:t>
            </w:r>
          </w:p>
        </w:tc>
        <w:tc>
          <w:tcPr>
            <w:tcW w:w="1080" w:type="dxa"/>
            <w:vAlign w:val="bottom"/>
            <w:tcBorders>
              <w:right w:val="single" w:sz="8" w:color="0591DB"/>
            </w:tcBorders>
          </w:tcPr>
          <w:p>
            <w:pPr>
              <w:spacing w:after="0"/>
              <w:rPr>
                <w:sz w:val="16"/>
                <w:szCs w:val="16"/>
                <w:color w:val="auto"/>
              </w:rPr>
            </w:pPr>
          </w:p>
        </w:tc>
        <w:tc>
          <w:tcPr>
            <w:tcW w:w="780" w:type="dxa"/>
            <w:vAlign w:val="bottom"/>
            <w:tcBorders>
              <w:right w:val="single" w:sz="8" w:color="0591DB"/>
            </w:tcBorders>
          </w:tcPr>
          <w:p>
            <w:pPr>
              <w:spacing w:after="0"/>
              <w:rPr>
                <w:sz w:val="16"/>
                <w:szCs w:val="16"/>
                <w:color w:val="auto"/>
              </w:rPr>
            </w:pPr>
          </w:p>
        </w:tc>
        <w:tc>
          <w:tcPr>
            <w:tcW w:w="980" w:type="dxa"/>
            <w:vAlign w:val="bottom"/>
            <w:tcBorders>
              <w:right w:val="single" w:sz="8" w:color="0591DB"/>
            </w:tcBorders>
          </w:tcPr>
          <w:p>
            <w:pPr>
              <w:spacing w:after="0"/>
              <w:rPr>
                <w:sz w:val="16"/>
                <w:szCs w:val="16"/>
                <w:color w:val="auto"/>
              </w:rPr>
            </w:pPr>
          </w:p>
        </w:tc>
        <w:tc>
          <w:tcPr>
            <w:tcW w:w="1000" w:type="dxa"/>
            <w:vAlign w:val="bottom"/>
            <w:tcBorders>
              <w:right w:val="single" w:sz="8" w:color="0591DB"/>
            </w:tcBorders>
          </w:tcPr>
          <w:p>
            <w:pPr>
              <w:spacing w:after="0"/>
              <w:rPr>
                <w:sz w:val="16"/>
                <w:szCs w:val="16"/>
                <w:color w:val="auto"/>
              </w:rPr>
            </w:pPr>
          </w:p>
        </w:tc>
        <w:tc>
          <w:tcPr>
            <w:tcW w:w="980" w:type="dxa"/>
            <w:vAlign w:val="bottom"/>
            <w:tcBorders>
              <w:right w:val="single" w:sz="8" w:color="0591DB"/>
            </w:tcBorders>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Borders>
              <w:right w:val="single" w:sz="8" w:color="0591DB"/>
            </w:tcBorders>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6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EXERCISABLE</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UNEXERCISABLE</w:t>
            </w:r>
          </w:p>
        </w:tc>
        <w:tc>
          <w:tcPr>
            <w:tcW w:w="1080" w:type="dxa"/>
            <w:vAlign w:val="bottom"/>
            <w:tcBorders>
              <w:right w:val="single" w:sz="8" w:color="0591DB"/>
            </w:tcBorders>
          </w:tcPr>
          <w:p>
            <w:pPr>
              <w:jc w:val="center"/>
              <w:ind w:left="29"/>
              <w:spacing w:after="0"/>
              <w:rPr>
                <w:sz w:val="20"/>
                <w:szCs w:val="20"/>
                <w:color w:val="auto"/>
              </w:rPr>
            </w:pPr>
            <w:r>
              <w:rPr>
                <w:rFonts w:ascii="Calibri" w:cs="Calibri" w:eastAsia="Calibri" w:hAnsi="Calibri"/>
                <w:sz w:val="12"/>
                <w:szCs w:val="12"/>
                <w:b w:val="1"/>
                <w:bCs w:val="1"/>
                <w:color w:val="0591DB"/>
              </w:rPr>
              <w:t>(#)</w:t>
            </w:r>
          </w:p>
        </w:tc>
        <w:tc>
          <w:tcPr>
            <w:tcW w:w="780" w:type="dxa"/>
            <w:vAlign w:val="bottom"/>
            <w:tcBorders>
              <w:right w:val="single" w:sz="8" w:color="0591DB"/>
            </w:tcBorders>
          </w:tcPr>
          <w:p>
            <w:pPr>
              <w:jc w:val="center"/>
              <w:ind w:left="27"/>
              <w:spacing w:after="0"/>
              <w:rPr>
                <w:sz w:val="20"/>
                <w:szCs w:val="20"/>
                <w:color w:val="auto"/>
              </w:rPr>
            </w:pPr>
            <w:r>
              <w:rPr>
                <w:rFonts w:ascii="Calibri" w:cs="Calibri" w:eastAsia="Calibri" w:hAnsi="Calibri"/>
                <w:sz w:val="12"/>
                <w:szCs w:val="12"/>
                <w:b w:val="1"/>
                <w:bCs w:val="1"/>
                <w:color w:val="0591DB"/>
              </w:rPr>
              <w:t>($/Sh)</w:t>
            </w: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w:t>
            </w:r>
          </w:p>
        </w:tc>
        <w:tc>
          <w:tcPr>
            <w:tcW w:w="620" w:type="dxa"/>
            <w:vAlign w:val="bottom"/>
          </w:tcPr>
          <w:p>
            <w:pPr>
              <w:jc w:val="right"/>
              <w:spacing w:after="0"/>
              <w:rPr>
                <w:sz w:val="20"/>
                <w:szCs w:val="20"/>
                <w:color w:val="auto"/>
              </w:rPr>
            </w:pPr>
            <w:r>
              <w:rPr>
                <w:rFonts w:ascii="Calibri" w:cs="Calibri" w:eastAsia="Calibri" w:hAnsi="Calibri"/>
                <w:sz w:val="12"/>
                <w:szCs w:val="12"/>
                <w:b w:val="1"/>
                <w:bCs w:val="1"/>
                <w:color w:val="0591DB"/>
              </w:rPr>
              <w:t>(#)</w:t>
            </w:r>
          </w:p>
        </w:tc>
        <w:tc>
          <w:tcPr>
            <w:tcW w:w="380" w:type="dxa"/>
            <w:vAlign w:val="bottom"/>
            <w:tcBorders>
              <w:right w:val="single" w:sz="8" w:color="0591DB"/>
            </w:tcBorders>
          </w:tcPr>
          <w:p>
            <w:pPr>
              <w:spacing w:after="0"/>
              <w:rPr>
                <w:sz w:val="12"/>
                <w:szCs w:val="12"/>
                <w:color w:val="auto"/>
              </w:rPr>
            </w:pP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60" w:type="dxa"/>
            <w:vAlign w:val="bottom"/>
            <w:tcBorders>
              <w:left w:val="single" w:sz="8" w:color="0591DB"/>
              <w:right w:val="single" w:sz="8" w:color="0591DB"/>
            </w:tcBorders>
          </w:tcPr>
          <w:p>
            <w:pPr>
              <w:spacing w:after="0"/>
              <w:rPr>
                <w:sz w:val="13"/>
                <w:szCs w:val="13"/>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(a)</w:t>
            </w:r>
          </w:p>
        </w:tc>
        <w:tc>
          <w:tcPr>
            <w:tcW w:w="11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(b)</w:t>
            </w:r>
          </w:p>
        </w:tc>
        <w:tc>
          <w:tcPr>
            <w:tcW w:w="10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w w:val="95"/>
              </w:rPr>
              <w:t>(c)</w:t>
            </w:r>
          </w:p>
        </w:tc>
        <w:tc>
          <w:tcPr>
            <w:tcW w:w="780" w:type="dxa"/>
            <w:vAlign w:val="bottom"/>
            <w:tcBorders>
              <w:right w:val="single" w:sz="8" w:color="0591DB"/>
            </w:tcBorders>
          </w:tcPr>
          <w:p>
            <w:pPr>
              <w:jc w:val="center"/>
              <w:ind w:left="7"/>
              <w:spacing w:after="0"/>
              <w:rPr>
                <w:sz w:val="20"/>
                <w:szCs w:val="20"/>
                <w:color w:val="auto"/>
              </w:rPr>
            </w:pPr>
            <w:r>
              <w:rPr>
                <w:rFonts w:ascii="Calibri" w:cs="Calibri" w:eastAsia="Calibri" w:hAnsi="Calibri"/>
                <w:sz w:val="12"/>
                <w:szCs w:val="12"/>
                <w:b w:val="1"/>
                <w:bCs w:val="1"/>
                <w:color w:val="0591DB"/>
              </w:rPr>
              <w:t>(d)</w:t>
            </w:r>
          </w:p>
        </w:tc>
        <w:tc>
          <w:tcPr>
            <w:tcW w:w="980" w:type="dxa"/>
            <w:vAlign w:val="bottom"/>
            <w:tcBorders>
              <w:right w:val="single" w:sz="8" w:color="0591DB"/>
            </w:tcBorders>
          </w:tcPr>
          <w:p>
            <w:pPr>
              <w:jc w:val="center"/>
              <w:ind w:left="6"/>
              <w:spacing w:after="0"/>
              <w:rPr>
                <w:sz w:val="20"/>
                <w:szCs w:val="20"/>
                <w:color w:val="auto"/>
              </w:rPr>
            </w:pPr>
            <w:r>
              <w:rPr>
                <w:rFonts w:ascii="Calibri" w:cs="Calibri" w:eastAsia="Calibri" w:hAnsi="Calibri"/>
                <w:sz w:val="12"/>
                <w:szCs w:val="12"/>
                <w:b w:val="1"/>
                <w:bCs w:val="1"/>
                <w:color w:val="0591DB"/>
              </w:rPr>
              <w:t>(e)</w:t>
            </w:r>
          </w:p>
        </w:tc>
        <w:tc>
          <w:tcPr>
            <w:tcW w:w="100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(f)</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(g)</w:t>
            </w:r>
          </w:p>
        </w:tc>
        <w:tc>
          <w:tcPr>
            <w:tcW w:w="620" w:type="dxa"/>
            <w:vAlign w:val="bottom"/>
          </w:tcPr>
          <w:p>
            <w:pPr>
              <w:jc w:val="center"/>
              <w:ind w:left="369"/>
              <w:spacing w:after="0"/>
              <w:rPr>
                <w:sz w:val="20"/>
                <w:szCs w:val="20"/>
                <w:color w:val="auto"/>
              </w:rPr>
            </w:pPr>
            <w:r>
              <w:rPr>
                <w:rFonts w:ascii="Calibri" w:cs="Calibri" w:eastAsia="Calibri" w:hAnsi="Calibri"/>
                <w:sz w:val="12"/>
                <w:szCs w:val="12"/>
                <w:b w:val="1"/>
                <w:bCs w:val="1"/>
                <w:color w:val="0591DB"/>
              </w:rPr>
              <w:t>(h)</w:t>
            </w:r>
          </w:p>
        </w:tc>
        <w:tc>
          <w:tcPr>
            <w:tcW w:w="380" w:type="dxa"/>
            <w:vAlign w:val="bottom"/>
            <w:tcBorders>
              <w:right w:val="single" w:sz="8" w:color="0591DB"/>
            </w:tcBorders>
          </w:tcPr>
          <w:p>
            <w:pPr>
              <w:spacing w:after="0"/>
              <w:rPr>
                <w:sz w:val="13"/>
                <w:szCs w:val="13"/>
                <w:color w:val="auto"/>
              </w:rPr>
            </w:pP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w w:val="95"/>
              </w:rPr>
              <w:t>(i)</w:t>
            </w:r>
          </w:p>
        </w:tc>
        <w:tc>
          <w:tcPr>
            <w:tcW w:w="20" w:type="dxa"/>
            <w:vAlign w:val="bottom"/>
            <w:shd w:val="clear" w:color="auto" w:fill="0591DB"/>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1860" w:type="dxa"/>
            <w:vAlign w:val="bottom"/>
            <w:tcBorders>
              <w:left w:val="single" w:sz="8" w:color="0591DB"/>
              <w:bottom w:val="single" w:sz="8" w:color="0591DB"/>
              <w:right w:val="single" w:sz="8" w:color="0591DB"/>
            </w:tcBorders>
          </w:tcPr>
          <w:p>
            <w:pPr>
              <w:spacing w:after="0"/>
              <w:rPr>
                <w:sz w:val="6"/>
                <w:szCs w:val="6"/>
                <w:color w:val="auto"/>
              </w:rPr>
            </w:pPr>
          </w:p>
        </w:tc>
        <w:tc>
          <w:tcPr>
            <w:tcW w:w="1080" w:type="dxa"/>
            <w:vAlign w:val="bottom"/>
            <w:tcBorders>
              <w:bottom w:val="single" w:sz="8" w:color="0591DB"/>
              <w:right w:val="single" w:sz="8" w:color="0591DB"/>
            </w:tcBorders>
          </w:tcPr>
          <w:p>
            <w:pPr>
              <w:spacing w:after="0"/>
              <w:rPr>
                <w:sz w:val="6"/>
                <w:szCs w:val="6"/>
                <w:color w:val="auto"/>
              </w:rPr>
            </w:pPr>
          </w:p>
        </w:tc>
        <w:tc>
          <w:tcPr>
            <w:tcW w:w="1180" w:type="dxa"/>
            <w:vAlign w:val="bottom"/>
            <w:tcBorders>
              <w:bottom w:val="single" w:sz="8" w:color="0591DB"/>
              <w:right w:val="single" w:sz="8" w:color="0591DB"/>
            </w:tcBorders>
          </w:tcPr>
          <w:p>
            <w:pPr>
              <w:spacing w:after="0"/>
              <w:rPr>
                <w:sz w:val="6"/>
                <w:szCs w:val="6"/>
                <w:color w:val="auto"/>
              </w:rPr>
            </w:pPr>
          </w:p>
        </w:tc>
        <w:tc>
          <w:tcPr>
            <w:tcW w:w="1080" w:type="dxa"/>
            <w:vAlign w:val="bottom"/>
            <w:tcBorders>
              <w:bottom w:val="single" w:sz="8" w:color="0591DB"/>
              <w:right w:val="single" w:sz="8" w:color="0591DB"/>
            </w:tcBorders>
          </w:tcPr>
          <w:p>
            <w:pPr>
              <w:spacing w:after="0"/>
              <w:rPr>
                <w:sz w:val="6"/>
                <w:szCs w:val="6"/>
                <w:color w:val="auto"/>
              </w:rPr>
            </w:pPr>
          </w:p>
        </w:tc>
        <w:tc>
          <w:tcPr>
            <w:tcW w:w="780" w:type="dxa"/>
            <w:vAlign w:val="bottom"/>
            <w:tcBorders>
              <w:bottom w:val="single" w:sz="8" w:color="0591DB"/>
              <w:right w:val="single" w:sz="8" w:color="0591DB"/>
            </w:tcBorders>
          </w:tcPr>
          <w:p>
            <w:pPr>
              <w:spacing w:after="0"/>
              <w:rPr>
                <w:sz w:val="6"/>
                <w:szCs w:val="6"/>
                <w:color w:val="auto"/>
              </w:rPr>
            </w:pPr>
          </w:p>
        </w:tc>
        <w:tc>
          <w:tcPr>
            <w:tcW w:w="980" w:type="dxa"/>
            <w:vAlign w:val="bottom"/>
            <w:tcBorders>
              <w:bottom w:val="single" w:sz="8" w:color="0591DB"/>
              <w:right w:val="single" w:sz="8" w:color="0591DB"/>
            </w:tcBorders>
          </w:tcPr>
          <w:p>
            <w:pPr>
              <w:spacing w:after="0"/>
              <w:rPr>
                <w:sz w:val="6"/>
                <w:szCs w:val="6"/>
                <w:color w:val="auto"/>
              </w:rPr>
            </w:pPr>
          </w:p>
        </w:tc>
        <w:tc>
          <w:tcPr>
            <w:tcW w:w="1000" w:type="dxa"/>
            <w:vAlign w:val="bottom"/>
            <w:tcBorders>
              <w:bottom w:val="single" w:sz="8" w:color="0591DB"/>
              <w:right w:val="single" w:sz="8" w:color="0591DB"/>
            </w:tcBorders>
          </w:tcPr>
          <w:p>
            <w:pPr>
              <w:spacing w:after="0"/>
              <w:rPr>
                <w:sz w:val="6"/>
                <w:szCs w:val="6"/>
                <w:color w:val="auto"/>
              </w:rPr>
            </w:pPr>
          </w:p>
        </w:tc>
        <w:tc>
          <w:tcPr>
            <w:tcW w:w="980" w:type="dxa"/>
            <w:vAlign w:val="bottom"/>
            <w:tcBorders>
              <w:bottom w:val="single" w:sz="8" w:color="0591DB"/>
              <w:right w:val="single" w:sz="8" w:color="0591DB"/>
            </w:tcBorders>
          </w:tcPr>
          <w:p>
            <w:pPr>
              <w:spacing w:after="0"/>
              <w:rPr>
                <w:sz w:val="6"/>
                <w:szCs w:val="6"/>
                <w:color w:val="auto"/>
              </w:rPr>
            </w:pPr>
          </w:p>
        </w:tc>
        <w:tc>
          <w:tcPr>
            <w:tcW w:w="620" w:type="dxa"/>
            <w:vAlign w:val="bottom"/>
            <w:tcBorders>
              <w:bottom w:val="single" w:sz="8" w:color="0591DB"/>
            </w:tcBorders>
          </w:tcPr>
          <w:p>
            <w:pPr>
              <w:spacing w:after="0"/>
              <w:rPr>
                <w:sz w:val="6"/>
                <w:szCs w:val="6"/>
                <w:color w:val="auto"/>
              </w:rPr>
            </w:pPr>
          </w:p>
        </w:tc>
        <w:tc>
          <w:tcPr>
            <w:tcW w:w="380" w:type="dxa"/>
            <w:vAlign w:val="bottom"/>
            <w:tcBorders>
              <w:bottom w:val="single" w:sz="8" w:color="0591DB"/>
              <w:right w:val="single" w:sz="8" w:color="0591DB"/>
            </w:tcBorders>
          </w:tcPr>
          <w:p>
            <w:pPr>
              <w:spacing w:after="0"/>
              <w:rPr>
                <w:sz w:val="6"/>
                <w:szCs w:val="6"/>
                <w:color w:val="auto"/>
              </w:rPr>
            </w:pPr>
          </w:p>
        </w:tc>
        <w:tc>
          <w:tcPr>
            <w:tcW w:w="96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860" w:type="dxa"/>
            <w:vAlign w:val="bottom"/>
          </w:tcPr>
          <w:p>
            <w:pPr>
              <w:spacing w:after="0" w:line="158" w:lineRule="exact"/>
              <w:rPr>
                <w:sz w:val="20"/>
                <w:szCs w:val="20"/>
                <w:color w:val="auto"/>
              </w:rPr>
            </w:pPr>
            <w:r>
              <w:rPr>
                <w:rFonts w:ascii="Calibri" w:cs="Calibri" w:eastAsia="Calibri" w:hAnsi="Calibri"/>
                <w:sz w:val="15"/>
                <w:szCs w:val="15"/>
                <w:b w:val="1"/>
                <w:bCs w:val="1"/>
                <w:color w:val="0591DB"/>
              </w:rPr>
              <w:t> Steven H. Gunby</w:t>
            </w:r>
          </w:p>
        </w:tc>
        <w:tc>
          <w:tcPr>
            <w:tcW w:w="1080" w:type="dxa"/>
            <w:vAlign w:val="bottom"/>
          </w:tcPr>
          <w:p>
            <w:pPr>
              <w:jc w:val="center"/>
              <w:spacing w:after="0" w:line="157" w:lineRule="exact"/>
              <w:rPr>
                <w:sz w:val="20"/>
                <w:szCs w:val="20"/>
                <w:color w:val="auto"/>
              </w:rPr>
            </w:pPr>
            <w:r>
              <w:rPr>
                <w:rFonts w:ascii="Calibri" w:cs="Calibri" w:eastAsia="Calibri" w:hAnsi="Calibri"/>
                <w:sz w:val="12"/>
                <w:szCs w:val="12"/>
                <w:color w:val="333333"/>
              </w:rPr>
              <w:t xml:space="preserve">2,477 </w:t>
            </w:r>
            <w:r>
              <w:rPr>
                <w:rFonts w:ascii="Calibri" w:cs="Calibri" w:eastAsia="Calibri" w:hAnsi="Calibri"/>
                <w:sz w:val="17"/>
                <w:szCs w:val="17"/>
                <w:color w:val="333333"/>
                <w:vertAlign w:val="superscript"/>
              </w:rPr>
              <w:t>(2)</w:t>
            </w:r>
          </w:p>
        </w:tc>
        <w:tc>
          <w:tcPr>
            <w:tcW w:w="1180" w:type="dxa"/>
            <w:vAlign w:val="bottom"/>
          </w:tcPr>
          <w:p>
            <w:pPr>
              <w:jc w:val="center"/>
              <w:ind w:left="8"/>
              <w:spacing w:after="0" w:line="158"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58"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58" w:lineRule="exact"/>
              <w:rPr>
                <w:sz w:val="20"/>
                <w:szCs w:val="20"/>
                <w:color w:val="auto"/>
              </w:rPr>
            </w:pPr>
            <w:r>
              <w:rPr>
                <w:rFonts w:ascii="Calibri" w:cs="Calibri" w:eastAsia="Calibri" w:hAnsi="Calibri"/>
                <w:sz w:val="15"/>
                <w:szCs w:val="15"/>
                <w:color w:val="333333"/>
                <w:w w:val="99"/>
              </w:rPr>
              <w:t>40.36</w:t>
            </w:r>
          </w:p>
        </w:tc>
        <w:tc>
          <w:tcPr>
            <w:tcW w:w="980" w:type="dxa"/>
            <w:vAlign w:val="bottom"/>
          </w:tcPr>
          <w:p>
            <w:pPr>
              <w:jc w:val="center"/>
              <w:ind w:left="6"/>
              <w:spacing w:after="0" w:line="158" w:lineRule="exact"/>
              <w:rPr>
                <w:sz w:val="20"/>
                <w:szCs w:val="20"/>
                <w:color w:val="auto"/>
              </w:rPr>
            </w:pPr>
            <w:r>
              <w:rPr>
                <w:rFonts w:ascii="Calibri" w:cs="Calibri" w:eastAsia="Calibri" w:hAnsi="Calibri"/>
                <w:sz w:val="15"/>
                <w:szCs w:val="15"/>
                <w:color w:val="333333"/>
              </w:rPr>
              <w:t>3/6/2027</w:t>
            </w:r>
          </w:p>
        </w:tc>
        <w:tc>
          <w:tcPr>
            <w:tcW w:w="1000" w:type="dxa"/>
            <w:vAlign w:val="bottom"/>
          </w:tcPr>
          <w:p>
            <w:pPr>
              <w:jc w:val="center"/>
              <w:ind w:left="10"/>
              <w:spacing w:after="0" w:line="158" w:lineRule="exact"/>
              <w:rPr>
                <w:sz w:val="20"/>
                <w:szCs w:val="20"/>
                <w:color w:val="auto"/>
              </w:rPr>
            </w:pPr>
            <w:r>
              <w:rPr>
                <w:rFonts w:ascii="Calibri" w:cs="Calibri" w:eastAsia="Calibri" w:hAnsi="Calibri"/>
                <w:sz w:val="15"/>
                <w:szCs w:val="15"/>
                <w:color w:val="333333"/>
              </w:rPr>
              <w:t>0</w:t>
            </w:r>
          </w:p>
        </w:tc>
        <w:tc>
          <w:tcPr>
            <w:tcW w:w="980" w:type="dxa"/>
            <w:vAlign w:val="bottom"/>
          </w:tcPr>
          <w:p>
            <w:pPr>
              <w:jc w:val="center"/>
              <w:ind w:left="8"/>
              <w:spacing w:after="0" w:line="158" w:lineRule="exact"/>
              <w:rPr>
                <w:sz w:val="20"/>
                <w:szCs w:val="20"/>
                <w:color w:val="auto"/>
              </w:rPr>
            </w:pPr>
            <w:r>
              <w:rPr>
                <w:rFonts w:ascii="Calibri" w:cs="Calibri" w:eastAsia="Calibri" w:hAnsi="Calibri"/>
                <w:sz w:val="15"/>
                <w:szCs w:val="15"/>
                <w:color w:val="333333"/>
              </w:rPr>
              <w:t>—</w:t>
            </w:r>
          </w:p>
        </w:tc>
        <w:tc>
          <w:tcPr>
            <w:tcW w:w="620" w:type="dxa"/>
            <w:vAlign w:val="bottom"/>
          </w:tcPr>
          <w:p>
            <w:pPr>
              <w:jc w:val="right"/>
              <w:spacing w:after="0" w:line="158"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3"/>
                <w:szCs w:val="13"/>
                <w:color w:val="auto"/>
              </w:rPr>
            </w:pPr>
          </w:p>
        </w:tc>
        <w:tc>
          <w:tcPr>
            <w:tcW w:w="960" w:type="dxa"/>
            <w:vAlign w:val="bottom"/>
          </w:tcPr>
          <w:p>
            <w:pPr>
              <w:jc w:val="center"/>
              <w:ind w:left="30"/>
              <w:spacing w:after="0" w:line="158"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8" w:lineRule="exact"/>
              <w:rPr>
                <w:sz w:val="20"/>
                <w:szCs w:val="20"/>
                <w:color w:val="auto"/>
              </w:rPr>
            </w:pPr>
            <w:r>
              <w:rPr>
                <w:rFonts w:ascii="Calibri" w:cs="Calibri" w:eastAsia="Calibri" w:hAnsi="Calibri"/>
                <w:sz w:val="14"/>
                <w:szCs w:val="14"/>
                <w:color w:val="333333"/>
              </w:rPr>
              <w:t xml:space="preserve">3,690 </w:t>
            </w:r>
            <w:r>
              <w:rPr>
                <w:rFonts w:ascii="Calibri" w:cs="Calibri" w:eastAsia="Calibri" w:hAnsi="Calibri"/>
                <w:sz w:val="20"/>
                <w:szCs w:val="20"/>
                <w:color w:val="333333"/>
                <w:vertAlign w:val="superscript"/>
              </w:rPr>
              <w:t>(3)</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630,363</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0"/>
              <w:spacing w:after="0" w:line="188" w:lineRule="exact"/>
              <w:rPr>
                <w:sz w:val="20"/>
                <w:szCs w:val="20"/>
                <w:color w:val="auto"/>
              </w:rPr>
            </w:pPr>
            <w:r>
              <w:rPr>
                <w:rFonts w:ascii="Calibri" w:cs="Calibri" w:eastAsia="Calibri" w:hAnsi="Calibri"/>
                <w:sz w:val="14"/>
                <w:szCs w:val="14"/>
                <w:color w:val="333333"/>
              </w:rPr>
              <w:t xml:space="preserve">12,197 </w:t>
            </w:r>
            <w:r>
              <w:rPr>
                <w:rFonts w:ascii="Calibri" w:cs="Calibri" w:eastAsia="Calibri" w:hAnsi="Calibri"/>
                <w:sz w:val="20"/>
                <w:szCs w:val="20"/>
                <w:color w:val="333333"/>
                <w:vertAlign w:val="superscript"/>
              </w:rPr>
              <w:t>(10)</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2,083,614</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8" w:lineRule="exact"/>
              <w:rPr>
                <w:sz w:val="20"/>
                <w:szCs w:val="20"/>
                <w:color w:val="auto"/>
              </w:rPr>
            </w:pPr>
            <w:r>
              <w:rPr>
                <w:rFonts w:ascii="Calibri" w:cs="Calibri" w:eastAsia="Calibri" w:hAnsi="Calibri"/>
                <w:sz w:val="14"/>
                <w:szCs w:val="14"/>
                <w:color w:val="333333"/>
              </w:rPr>
              <w:t xml:space="preserve">2,657 </w:t>
            </w:r>
            <w:r>
              <w:rPr>
                <w:rFonts w:ascii="Calibri" w:cs="Calibri" w:eastAsia="Calibri" w:hAnsi="Calibri"/>
                <w:sz w:val="20"/>
                <w:szCs w:val="20"/>
                <w:color w:val="333333"/>
                <w:vertAlign w:val="superscript"/>
              </w:rPr>
              <w:t>(5)</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453,895</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8" w:lineRule="exact"/>
              <w:rPr>
                <w:sz w:val="20"/>
                <w:szCs w:val="20"/>
                <w:color w:val="auto"/>
              </w:rPr>
            </w:pPr>
            <w:r>
              <w:rPr>
                <w:rFonts w:ascii="Calibri" w:cs="Calibri" w:eastAsia="Calibri" w:hAnsi="Calibri"/>
                <w:sz w:val="14"/>
                <w:szCs w:val="14"/>
                <w:color w:val="333333"/>
              </w:rPr>
              <w:t xml:space="preserve">6,457 </w:t>
            </w:r>
            <w:r>
              <w:rPr>
                <w:rFonts w:ascii="Calibri" w:cs="Calibri" w:eastAsia="Calibri" w:hAnsi="Calibri"/>
                <w:sz w:val="20"/>
                <w:szCs w:val="20"/>
                <w:color w:val="333333"/>
                <w:vertAlign w:val="superscript"/>
              </w:rPr>
              <w:t>(6)</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1,103,049</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gridSpan w:val="2"/>
          </w:tcPr>
          <w:p>
            <w:pPr>
              <w:jc w:val="center"/>
              <w:ind w:left="9"/>
              <w:spacing w:after="0" w:line="188" w:lineRule="exact"/>
              <w:rPr>
                <w:sz w:val="20"/>
                <w:szCs w:val="20"/>
                <w:color w:val="auto"/>
              </w:rPr>
            </w:pPr>
            <w:r>
              <w:rPr>
                <w:rFonts w:ascii="Calibri" w:cs="Calibri" w:eastAsia="Calibri" w:hAnsi="Calibri"/>
                <w:sz w:val="14"/>
                <w:szCs w:val="14"/>
                <w:color w:val="333333"/>
              </w:rPr>
              <w:t xml:space="preserve">20,041 </w:t>
            </w:r>
            <w:r>
              <w:rPr>
                <w:rFonts w:ascii="Calibri" w:cs="Calibri" w:eastAsia="Calibri" w:hAnsi="Calibri"/>
                <w:sz w:val="20"/>
                <w:szCs w:val="20"/>
                <w:color w:val="333333"/>
                <w:vertAlign w:val="superscript"/>
              </w:rPr>
              <w:t>(11)</w:t>
            </w: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3,423,604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8" w:lineRule="exact"/>
              <w:rPr>
                <w:sz w:val="20"/>
                <w:szCs w:val="20"/>
                <w:color w:val="auto"/>
              </w:rPr>
            </w:pPr>
            <w:r>
              <w:rPr>
                <w:rFonts w:ascii="Calibri" w:cs="Calibri" w:eastAsia="Calibri" w:hAnsi="Calibri"/>
                <w:sz w:val="14"/>
                <w:szCs w:val="14"/>
                <w:color w:val="333333"/>
              </w:rPr>
              <w:t xml:space="preserve">13,740 </w:t>
            </w:r>
            <w:r>
              <w:rPr>
                <w:rFonts w:ascii="Calibri" w:cs="Calibri" w:eastAsia="Calibri" w:hAnsi="Calibri"/>
                <w:sz w:val="20"/>
                <w:szCs w:val="20"/>
                <w:color w:val="333333"/>
                <w:vertAlign w:val="superscript"/>
              </w:rPr>
              <w:t>(8)</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2,347,204</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gridSpan w:val="2"/>
          </w:tcPr>
          <w:p>
            <w:pPr>
              <w:jc w:val="center"/>
              <w:ind w:left="9"/>
              <w:spacing w:after="0" w:line="211" w:lineRule="exact"/>
              <w:rPr>
                <w:sz w:val="20"/>
                <w:szCs w:val="20"/>
                <w:color w:val="auto"/>
              </w:rPr>
            </w:pPr>
            <w:r>
              <w:rPr>
                <w:rFonts w:ascii="Calibri" w:cs="Calibri" w:eastAsia="Calibri" w:hAnsi="Calibri"/>
                <w:sz w:val="15"/>
                <w:szCs w:val="15"/>
                <w:color w:val="333333"/>
                <w:w w:val="92"/>
              </w:rPr>
              <w:t xml:space="preserve">29,805 </w:t>
            </w:r>
            <w:r>
              <w:rPr>
                <w:rFonts w:ascii="Calibri" w:cs="Calibri" w:eastAsia="Calibri" w:hAnsi="Calibri"/>
                <w:sz w:val="22"/>
                <w:szCs w:val="22"/>
                <w:color w:val="333333"/>
                <w:w w:val="92"/>
                <w:vertAlign w:val="superscript"/>
              </w:rPr>
              <w:t>(12)</w:t>
            </w: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5,091,588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Borders>
              <w:left w:val="single" w:sz="8" w:color="EFF2EF"/>
              <w:right w:val="single" w:sz="8" w:color="EFF2EF"/>
            </w:tcBorders>
            <w:shd w:val="clear" w:color="auto" w:fill="EFF2EF"/>
          </w:tcPr>
          <w:p>
            <w:pPr>
              <w:spacing w:after="0" w:line="180" w:lineRule="exact"/>
              <w:rPr>
                <w:sz w:val="20"/>
                <w:szCs w:val="20"/>
                <w:color w:val="auto"/>
              </w:rPr>
            </w:pPr>
            <w:r>
              <w:rPr>
                <w:rFonts w:ascii="Calibri" w:cs="Calibri" w:eastAsia="Calibri" w:hAnsi="Calibri"/>
                <w:sz w:val="15"/>
                <w:szCs w:val="15"/>
                <w:b w:val="1"/>
                <w:bCs w:val="1"/>
                <w:color w:val="0591DB"/>
              </w:rPr>
              <w:t> Paul Linton</w:t>
            </w:r>
          </w:p>
        </w:tc>
        <w:tc>
          <w:tcPr>
            <w:tcW w:w="1080" w:type="dxa"/>
            <w:vAlign w:val="bottom"/>
            <w:tcBorders>
              <w:right w:val="single" w:sz="8" w:color="EFF2EF"/>
            </w:tcBorders>
            <w:shd w:val="clear" w:color="auto" w:fill="EFF2EF"/>
          </w:tcPr>
          <w:p>
            <w:pPr>
              <w:jc w:val="center"/>
              <w:spacing w:after="0" w:line="188" w:lineRule="exact"/>
              <w:rPr>
                <w:sz w:val="20"/>
                <w:szCs w:val="20"/>
                <w:color w:val="auto"/>
              </w:rPr>
            </w:pPr>
            <w:r>
              <w:rPr>
                <w:rFonts w:ascii="Calibri" w:cs="Calibri" w:eastAsia="Calibri" w:hAnsi="Calibri"/>
                <w:sz w:val="14"/>
                <w:szCs w:val="14"/>
                <w:color w:val="333333"/>
              </w:rPr>
              <w:t xml:space="preserve">10,855 </w:t>
            </w:r>
            <w:r>
              <w:rPr>
                <w:rFonts w:ascii="Calibri" w:cs="Calibri" w:eastAsia="Calibri" w:hAnsi="Calibri"/>
                <w:sz w:val="20"/>
                <w:szCs w:val="20"/>
                <w:color w:val="333333"/>
                <w:vertAlign w:val="superscript"/>
              </w:rPr>
              <w:t>(2)</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w w:val="99"/>
              </w:rPr>
              <w:t>40.36</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3/6/2027</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Borders>
              <w:right w:val="single" w:sz="8" w:color="EFF2EF"/>
            </w:tcBorders>
            <w:shd w:val="clear" w:color="auto" w:fill="EFF2EF"/>
          </w:tcPr>
          <w:p>
            <w:pPr>
              <w:spacing w:after="0"/>
              <w:rPr>
                <w:sz w:val="16"/>
                <w:szCs w:val="16"/>
                <w:color w:val="auto"/>
              </w:rPr>
            </w:pP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0"/>
              <w:spacing w:after="0" w:line="188" w:lineRule="exact"/>
              <w:rPr>
                <w:sz w:val="20"/>
                <w:szCs w:val="20"/>
                <w:color w:val="auto"/>
              </w:rPr>
            </w:pPr>
            <w:r>
              <w:rPr>
                <w:rFonts w:ascii="Calibri" w:cs="Calibri" w:eastAsia="Calibri" w:hAnsi="Calibri"/>
                <w:sz w:val="14"/>
                <w:szCs w:val="14"/>
                <w:color w:val="333333"/>
              </w:rPr>
              <w:t xml:space="preserve">517 </w:t>
            </w:r>
            <w:r>
              <w:rPr>
                <w:rFonts w:ascii="Calibri" w:cs="Calibri" w:eastAsia="Calibri" w:hAnsi="Calibri"/>
                <w:sz w:val="20"/>
                <w:szCs w:val="20"/>
                <w:color w:val="333333"/>
                <w:vertAlign w:val="superscript"/>
              </w:rPr>
              <w:t>(4)</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88,319</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Borders>
              <w:right w:val="single" w:sz="8" w:color="EFF2EF"/>
            </w:tcBorders>
            <w:shd w:val="clear" w:color="auto" w:fill="EFF2EF"/>
          </w:tcPr>
          <w:p>
            <w:pPr>
              <w:spacing w:after="0"/>
              <w:rPr>
                <w:sz w:val="16"/>
                <w:szCs w:val="16"/>
                <w:color w:val="auto"/>
              </w:rPr>
            </w:pP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0"/>
              <w:spacing w:after="0" w:line="188" w:lineRule="exact"/>
              <w:rPr>
                <w:sz w:val="20"/>
                <w:szCs w:val="20"/>
                <w:color w:val="auto"/>
              </w:rPr>
            </w:pPr>
            <w:r>
              <w:rPr>
                <w:rFonts w:ascii="Calibri" w:cs="Calibri" w:eastAsia="Calibri" w:hAnsi="Calibri"/>
                <w:sz w:val="14"/>
                <w:szCs w:val="14"/>
                <w:color w:val="333333"/>
                <w:w w:val="98"/>
              </w:rPr>
              <w:t xml:space="preserve">1,303 </w:t>
            </w:r>
            <w:r>
              <w:rPr>
                <w:rFonts w:ascii="Calibri" w:cs="Calibri" w:eastAsia="Calibri" w:hAnsi="Calibri"/>
                <w:sz w:val="20"/>
                <w:szCs w:val="20"/>
                <w:color w:val="333333"/>
                <w:w w:val="98"/>
                <w:vertAlign w:val="superscript"/>
              </w:rPr>
              <w:t>(10)</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222,591</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Borders>
              <w:right w:val="single" w:sz="8" w:color="EFF2EF"/>
            </w:tcBorders>
            <w:shd w:val="clear" w:color="auto" w:fill="EFF2EF"/>
          </w:tcPr>
          <w:p>
            <w:pPr>
              <w:spacing w:after="0"/>
              <w:rPr>
                <w:sz w:val="16"/>
                <w:szCs w:val="16"/>
                <w:color w:val="auto"/>
              </w:rPr>
            </w:pP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88" w:lineRule="exact"/>
              <w:rPr>
                <w:sz w:val="20"/>
                <w:szCs w:val="20"/>
                <w:color w:val="auto"/>
              </w:rPr>
            </w:pPr>
            <w:r>
              <w:rPr>
                <w:rFonts w:ascii="Calibri" w:cs="Calibri" w:eastAsia="Calibri" w:hAnsi="Calibri"/>
                <w:sz w:val="14"/>
                <w:szCs w:val="14"/>
                <w:color w:val="333333"/>
              </w:rPr>
              <w:t xml:space="preserve">1,130 </w:t>
            </w:r>
            <w:r>
              <w:rPr>
                <w:rFonts w:ascii="Calibri" w:cs="Calibri" w:eastAsia="Calibri" w:hAnsi="Calibri"/>
                <w:sz w:val="20"/>
                <w:szCs w:val="20"/>
                <w:color w:val="333333"/>
                <w:vertAlign w:val="superscript"/>
              </w:rPr>
              <w:t>(7)</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193,038</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Borders>
              <w:right w:val="single" w:sz="8" w:color="EFF2EF"/>
            </w:tcBorders>
            <w:shd w:val="clear" w:color="auto" w:fill="EFF2EF"/>
          </w:tcPr>
          <w:p>
            <w:pPr>
              <w:spacing w:after="0"/>
              <w:rPr>
                <w:sz w:val="16"/>
                <w:szCs w:val="16"/>
                <w:color w:val="auto"/>
              </w:rPr>
            </w:pP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Borders>
              <w:left w:val="single" w:sz="8" w:color="EFF2EF"/>
              <w:right w:val="single" w:sz="8" w:color="EFF2EF"/>
            </w:tcBorders>
            <w:shd w:val="clear" w:color="auto" w:fill="EFF2EF"/>
          </w:tcPr>
          <w:p>
            <w:pPr>
              <w:spacing w:after="0"/>
              <w:rPr>
                <w:sz w:val="15"/>
                <w:szCs w:val="15"/>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2,559</w:t>
            </w:r>
          </w:p>
        </w:tc>
        <w:tc>
          <w:tcPr>
            <w:tcW w:w="380" w:type="dxa"/>
            <w:vAlign w:val="bottom"/>
            <w:tcBorders>
              <w:right w:val="single" w:sz="8" w:color="EFF2EF"/>
            </w:tcBorders>
            <w:shd w:val="clear" w:color="auto" w:fill="EFF2EF"/>
          </w:tcPr>
          <w:p>
            <w:pPr>
              <w:jc w:val="right"/>
              <w:ind w:right="123"/>
              <w:spacing w:after="0"/>
              <w:rPr>
                <w:sz w:val="20"/>
                <w:szCs w:val="20"/>
                <w:color w:val="auto"/>
              </w:rPr>
            </w:pPr>
            <w:r>
              <w:rPr>
                <w:rFonts w:ascii="Calibri" w:cs="Calibri" w:eastAsia="Calibri" w:hAnsi="Calibri"/>
                <w:sz w:val="11"/>
                <w:szCs w:val="11"/>
                <w:color w:val="333333"/>
              </w:rPr>
              <w:t>(11)</w:t>
            </w: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437,154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95" w:lineRule="exact"/>
              <w:rPr>
                <w:sz w:val="20"/>
                <w:szCs w:val="20"/>
                <w:color w:val="auto"/>
              </w:rPr>
            </w:pPr>
            <w:r>
              <w:rPr>
                <w:rFonts w:ascii="Calibri" w:cs="Calibri" w:eastAsia="Calibri" w:hAnsi="Calibri"/>
                <w:sz w:val="15"/>
                <w:szCs w:val="15"/>
                <w:color w:val="333333"/>
                <w:w w:val="93"/>
              </w:rPr>
              <w:t xml:space="preserve">2,061 </w:t>
            </w:r>
            <w:r>
              <w:rPr>
                <w:rFonts w:ascii="Calibri" w:cs="Calibri" w:eastAsia="Calibri" w:hAnsi="Calibri"/>
                <w:sz w:val="21"/>
                <w:szCs w:val="21"/>
                <w:color w:val="333333"/>
                <w:w w:val="93"/>
                <w:vertAlign w:val="superscript"/>
              </w:rPr>
              <w:t>(9)</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352,081</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Borders>
              <w:right w:val="single" w:sz="8" w:color="EFF2EF"/>
            </w:tcBorders>
            <w:shd w:val="clear" w:color="auto" w:fill="EFF2EF"/>
          </w:tcPr>
          <w:p>
            <w:pPr>
              <w:spacing w:after="0"/>
              <w:rPr>
                <w:sz w:val="16"/>
                <w:szCs w:val="16"/>
                <w:color w:val="auto"/>
              </w:rPr>
            </w:pP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Borders>
              <w:left w:val="single" w:sz="8" w:color="EFF2EF"/>
              <w:right w:val="single" w:sz="8" w:color="EFF2EF"/>
            </w:tcBorders>
            <w:shd w:val="clear" w:color="auto" w:fill="EFF2EF"/>
          </w:tcPr>
          <w:p>
            <w:pPr>
              <w:spacing w:after="0"/>
              <w:rPr>
                <w:sz w:val="15"/>
                <w:szCs w:val="15"/>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3,267</w:t>
            </w:r>
          </w:p>
        </w:tc>
        <w:tc>
          <w:tcPr>
            <w:tcW w:w="380" w:type="dxa"/>
            <w:vAlign w:val="bottom"/>
            <w:tcBorders>
              <w:right w:val="single" w:sz="8" w:color="EFF2EF"/>
            </w:tcBorders>
            <w:shd w:val="clear" w:color="auto" w:fill="EFF2EF"/>
          </w:tcPr>
          <w:p>
            <w:pPr>
              <w:jc w:val="right"/>
              <w:ind w:right="123"/>
              <w:spacing w:after="0"/>
              <w:rPr>
                <w:sz w:val="20"/>
                <w:szCs w:val="20"/>
                <w:color w:val="auto"/>
              </w:rPr>
            </w:pPr>
            <w:r>
              <w:rPr>
                <w:rFonts w:ascii="Calibri" w:cs="Calibri" w:eastAsia="Calibri" w:hAnsi="Calibri"/>
                <w:sz w:val="11"/>
                <w:szCs w:val="11"/>
                <w:color w:val="333333"/>
              </w:rPr>
              <w:t>(12)</w:t>
            </w: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558,102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0"/>
              <w:spacing w:after="0" w:line="195" w:lineRule="exact"/>
              <w:rPr>
                <w:sz w:val="20"/>
                <w:szCs w:val="20"/>
                <w:color w:val="auto"/>
              </w:rPr>
            </w:pPr>
            <w:r>
              <w:rPr>
                <w:rFonts w:ascii="Calibri" w:cs="Calibri" w:eastAsia="Calibri" w:hAnsi="Calibri"/>
                <w:sz w:val="15"/>
                <w:szCs w:val="15"/>
                <w:color w:val="333333"/>
                <w:w w:val="92"/>
              </w:rPr>
              <w:t xml:space="preserve">5,664 </w:t>
            </w:r>
            <w:r>
              <w:rPr>
                <w:rFonts w:ascii="Calibri" w:cs="Calibri" w:eastAsia="Calibri" w:hAnsi="Calibri"/>
                <w:sz w:val="21"/>
                <w:szCs w:val="21"/>
                <w:color w:val="333333"/>
                <w:w w:val="92"/>
                <w:vertAlign w:val="superscript"/>
              </w:rPr>
              <w:t>(13)</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967,581</w:t>
            </w:r>
          </w:p>
        </w:tc>
        <w:tc>
          <w:tcPr>
            <w:tcW w:w="620" w:type="dxa"/>
            <w:vAlign w:val="bottom"/>
            <w:shd w:val="clear" w:color="auto" w:fill="EFF2EF"/>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Borders>
              <w:right w:val="single" w:sz="8" w:color="EFF2EF"/>
            </w:tcBorders>
            <w:shd w:val="clear" w:color="auto" w:fill="EFF2EF"/>
          </w:tcPr>
          <w:p>
            <w:pPr>
              <w:spacing w:after="0"/>
              <w:rPr>
                <w:sz w:val="16"/>
                <w:szCs w:val="16"/>
                <w:color w:val="auto"/>
              </w:rPr>
            </w:pPr>
          </w:p>
        </w:tc>
        <w:tc>
          <w:tcPr>
            <w:tcW w:w="960" w:type="dxa"/>
            <w:vAlign w:val="bottom"/>
            <w:shd w:val="clear" w:color="auto" w:fill="EFF2EF"/>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60" w:type="dxa"/>
            <w:vAlign w:val="bottom"/>
          </w:tcPr>
          <w:p>
            <w:pPr>
              <w:spacing w:after="0" w:line="164" w:lineRule="exact"/>
              <w:rPr>
                <w:sz w:val="20"/>
                <w:szCs w:val="20"/>
                <w:color w:val="auto"/>
              </w:rPr>
            </w:pPr>
            <w:r>
              <w:rPr>
                <w:rFonts w:ascii="Calibri" w:cs="Calibri" w:eastAsia="Calibri" w:hAnsi="Calibri"/>
                <w:sz w:val="15"/>
                <w:szCs w:val="15"/>
                <w:b w:val="1"/>
                <w:bCs w:val="1"/>
                <w:color w:val="0591DB"/>
              </w:rPr>
              <w:t> Curts P. Lu</w:t>
            </w:r>
          </w:p>
        </w:tc>
        <w:tc>
          <w:tcPr>
            <w:tcW w:w="1080" w:type="dxa"/>
            <w:vAlign w:val="bottom"/>
          </w:tcPr>
          <w:p>
            <w:pPr>
              <w:jc w:val="center"/>
              <w:spacing w:after="0" w:line="164" w:lineRule="exact"/>
              <w:rPr>
                <w:sz w:val="20"/>
                <w:szCs w:val="20"/>
                <w:color w:val="auto"/>
              </w:rPr>
            </w:pPr>
            <w:r>
              <w:rPr>
                <w:rFonts w:ascii="Calibri" w:cs="Calibri" w:eastAsia="Calibri" w:hAnsi="Calibri"/>
                <w:sz w:val="12"/>
                <w:szCs w:val="12"/>
                <w:color w:val="333333"/>
              </w:rPr>
              <w:t xml:space="preserve">8,710 </w:t>
            </w:r>
            <w:r>
              <w:rPr>
                <w:rFonts w:ascii="Calibri" w:cs="Calibri" w:eastAsia="Calibri" w:hAnsi="Calibri"/>
                <w:sz w:val="17"/>
                <w:szCs w:val="17"/>
                <w:color w:val="333333"/>
                <w:vertAlign w:val="superscript"/>
              </w:rPr>
              <w:t>(2)</w:t>
            </w:r>
          </w:p>
        </w:tc>
        <w:tc>
          <w:tcPr>
            <w:tcW w:w="1180" w:type="dxa"/>
            <w:vAlign w:val="bottom"/>
          </w:tcPr>
          <w:p>
            <w:pPr>
              <w:jc w:val="center"/>
              <w:ind w:left="8"/>
              <w:spacing w:after="0" w:line="164"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64"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64" w:lineRule="exact"/>
              <w:rPr>
                <w:sz w:val="20"/>
                <w:szCs w:val="20"/>
                <w:color w:val="auto"/>
              </w:rPr>
            </w:pPr>
            <w:r>
              <w:rPr>
                <w:rFonts w:ascii="Calibri" w:cs="Calibri" w:eastAsia="Calibri" w:hAnsi="Calibri"/>
                <w:sz w:val="15"/>
                <w:szCs w:val="15"/>
                <w:color w:val="333333"/>
                <w:w w:val="99"/>
              </w:rPr>
              <w:t>40.36</w:t>
            </w:r>
          </w:p>
        </w:tc>
        <w:tc>
          <w:tcPr>
            <w:tcW w:w="980" w:type="dxa"/>
            <w:vAlign w:val="bottom"/>
          </w:tcPr>
          <w:p>
            <w:pPr>
              <w:jc w:val="center"/>
              <w:ind w:left="6"/>
              <w:spacing w:after="0" w:line="164" w:lineRule="exact"/>
              <w:rPr>
                <w:sz w:val="20"/>
                <w:szCs w:val="20"/>
                <w:color w:val="auto"/>
              </w:rPr>
            </w:pPr>
            <w:r>
              <w:rPr>
                <w:rFonts w:ascii="Calibri" w:cs="Calibri" w:eastAsia="Calibri" w:hAnsi="Calibri"/>
                <w:sz w:val="15"/>
                <w:szCs w:val="15"/>
                <w:color w:val="333333"/>
              </w:rPr>
              <w:t>3/6/2027</w:t>
            </w:r>
          </w:p>
        </w:tc>
        <w:tc>
          <w:tcPr>
            <w:tcW w:w="1000" w:type="dxa"/>
            <w:vAlign w:val="bottom"/>
          </w:tcPr>
          <w:p>
            <w:pPr>
              <w:jc w:val="center"/>
              <w:spacing w:after="0" w:line="164"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64" w:lineRule="exact"/>
              <w:rPr>
                <w:sz w:val="20"/>
                <w:szCs w:val="20"/>
                <w:color w:val="auto"/>
              </w:rPr>
            </w:pPr>
            <w:r>
              <w:rPr>
                <w:rFonts w:ascii="Calibri" w:cs="Calibri" w:eastAsia="Calibri" w:hAnsi="Calibri"/>
                <w:sz w:val="15"/>
                <w:szCs w:val="15"/>
                <w:color w:val="333333"/>
              </w:rPr>
              <w:t>—</w:t>
            </w:r>
          </w:p>
        </w:tc>
        <w:tc>
          <w:tcPr>
            <w:tcW w:w="620" w:type="dxa"/>
            <w:vAlign w:val="bottom"/>
          </w:tcPr>
          <w:p>
            <w:pPr>
              <w:jc w:val="right"/>
              <w:spacing w:after="0" w:line="164"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4"/>
                <w:szCs w:val="14"/>
                <w:color w:val="auto"/>
              </w:rPr>
            </w:pPr>
          </w:p>
        </w:tc>
        <w:tc>
          <w:tcPr>
            <w:tcW w:w="960" w:type="dxa"/>
            <w:vAlign w:val="bottom"/>
          </w:tcPr>
          <w:p>
            <w:pPr>
              <w:jc w:val="center"/>
              <w:ind w:left="30"/>
              <w:spacing w:after="0" w:line="164"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0"/>
              <w:spacing w:after="0" w:line="188" w:lineRule="exact"/>
              <w:rPr>
                <w:sz w:val="20"/>
                <w:szCs w:val="20"/>
                <w:color w:val="auto"/>
              </w:rPr>
            </w:pPr>
            <w:r>
              <w:rPr>
                <w:rFonts w:ascii="Calibri" w:cs="Calibri" w:eastAsia="Calibri" w:hAnsi="Calibri"/>
                <w:sz w:val="14"/>
                <w:szCs w:val="14"/>
                <w:color w:val="333333"/>
              </w:rPr>
              <w:t xml:space="preserve">517 </w:t>
            </w:r>
            <w:r>
              <w:rPr>
                <w:rFonts w:ascii="Calibri" w:cs="Calibri" w:eastAsia="Calibri" w:hAnsi="Calibri"/>
                <w:sz w:val="20"/>
                <w:szCs w:val="20"/>
                <w:color w:val="333333"/>
                <w:vertAlign w:val="superscript"/>
              </w:rPr>
              <w:t>(4)</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88,319</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0"/>
              <w:spacing w:after="0" w:line="200" w:lineRule="exact"/>
              <w:rPr>
                <w:sz w:val="20"/>
                <w:szCs w:val="20"/>
                <w:color w:val="auto"/>
              </w:rPr>
            </w:pPr>
            <w:r>
              <w:rPr>
                <w:rFonts w:ascii="Calibri" w:cs="Calibri" w:eastAsia="Calibri" w:hAnsi="Calibri"/>
                <w:sz w:val="15"/>
                <w:szCs w:val="15"/>
                <w:color w:val="333333"/>
                <w:w w:val="92"/>
              </w:rPr>
              <w:t xml:space="preserve">1,303 </w:t>
            </w:r>
            <w:r>
              <w:rPr>
                <w:rFonts w:ascii="Calibri" w:cs="Calibri" w:eastAsia="Calibri" w:hAnsi="Calibri"/>
                <w:sz w:val="21"/>
                <w:szCs w:val="21"/>
                <w:color w:val="333333"/>
                <w:w w:val="92"/>
                <w:vertAlign w:val="superscript"/>
              </w:rPr>
              <w:t>(10)</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222,591</w:t>
            </w:r>
          </w:p>
        </w:tc>
        <w:tc>
          <w:tcPr>
            <w:tcW w:w="620" w:type="dxa"/>
            <w:vAlign w:val="bottom"/>
          </w:tcPr>
          <w:p>
            <w:pPr>
              <w:jc w:val="right"/>
              <w:spacing w:after="0"/>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7"/>
                <w:szCs w:val="17"/>
                <w:color w:val="auto"/>
              </w:rPr>
            </w:pPr>
          </w:p>
        </w:tc>
        <w:tc>
          <w:tcPr>
            <w:tcW w:w="960" w:type="dxa"/>
            <w:vAlign w:val="bottom"/>
          </w:tcPr>
          <w:p>
            <w:pPr>
              <w:jc w:val="center"/>
              <w:ind w:left="30"/>
              <w:spacing w:after="0"/>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8" w:lineRule="exact"/>
              <w:rPr>
                <w:sz w:val="20"/>
                <w:szCs w:val="20"/>
                <w:color w:val="auto"/>
              </w:rPr>
            </w:pPr>
            <w:r>
              <w:rPr>
                <w:rFonts w:ascii="Calibri" w:cs="Calibri" w:eastAsia="Calibri" w:hAnsi="Calibri"/>
                <w:sz w:val="14"/>
                <w:szCs w:val="14"/>
                <w:color w:val="333333"/>
              </w:rPr>
              <w:t xml:space="preserve">1,130 </w:t>
            </w:r>
            <w:r>
              <w:rPr>
                <w:rFonts w:ascii="Calibri" w:cs="Calibri" w:eastAsia="Calibri" w:hAnsi="Calibri"/>
                <w:sz w:val="20"/>
                <w:szCs w:val="20"/>
                <w:color w:val="333333"/>
                <w:vertAlign w:val="superscript"/>
              </w:rPr>
              <w:t>(7)</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193,038</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2,559</w:t>
            </w:r>
          </w:p>
        </w:tc>
        <w:tc>
          <w:tcPr>
            <w:tcW w:w="380" w:type="dxa"/>
            <w:vAlign w:val="bottom"/>
          </w:tcPr>
          <w:p>
            <w:pPr>
              <w:jc w:val="right"/>
              <w:ind w:right="123"/>
              <w:spacing w:after="0"/>
              <w:rPr>
                <w:sz w:val="20"/>
                <w:szCs w:val="20"/>
                <w:color w:val="auto"/>
              </w:rPr>
            </w:pPr>
            <w:r>
              <w:rPr>
                <w:rFonts w:ascii="Calibri" w:cs="Calibri" w:eastAsia="Calibri" w:hAnsi="Calibri"/>
                <w:sz w:val="11"/>
                <w:szCs w:val="11"/>
                <w:color w:val="333333"/>
              </w:rPr>
              <w:t>(11)</w:t>
            </w: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437,154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95" w:lineRule="exact"/>
              <w:rPr>
                <w:sz w:val="20"/>
                <w:szCs w:val="20"/>
                <w:color w:val="auto"/>
              </w:rPr>
            </w:pPr>
            <w:r>
              <w:rPr>
                <w:rFonts w:ascii="Calibri" w:cs="Calibri" w:eastAsia="Calibri" w:hAnsi="Calibri"/>
                <w:sz w:val="15"/>
                <w:szCs w:val="15"/>
                <w:color w:val="333333"/>
                <w:w w:val="93"/>
              </w:rPr>
              <w:t xml:space="preserve">2,061 </w:t>
            </w:r>
            <w:r>
              <w:rPr>
                <w:rFonts w:ascii="Calibri" w:cs="Calibri" w:eastAsia="Calibri" w:hAnsi="Calibri"/>
                <w:sz w:val="21"/>
                <w:szCs w:val="21"/>
                <w:color w:val="333333"/>
                <w:w w:val="93"/>
                <w:vertAlign w:val="superscript"/>
              </w:rPr>
              <w:t>(9)</w:t>
            </w:r>
          </w:p>
        </w:tc>
        <w:tc>
          <w:tcPr>
            <w:tcW w:w="980" w:type="dxa"/>
            <w:vAlign w:val="bottom"/>
          </w:tcPr>
          <w:p>
            <w:pPr>
              <w:jc w:val="center"/>
              <w:ind w:left="8"/>
              <w:spacing w:after="0"/>
              <w:rPr>
                <w:sz w:val="20"/>
                <w:szCs w:val="20"/>
                <w:color w:val="auto"/>
              </w:rPr>
            </w:pPr>
            <w:r>
              <w:rPr>
                <w:rFonts w:ascii="Calibri" w:cs="Calibri" w:eastAsia="Calibri" w:hAnsi="Calibri"/>
                <w:sz w:val="15"/>
                <w:szCs w:val="15"/>
                <w:color w:val="333333"/>
              </w:rPr>
              <w:t>352,081</w:t>
            </w:r>
          </w:p>
        </w:tc>
        <w:tc>
          <w:tcPr>
            <w:tcW w:w="620" w:type="dxa"/>
            <w:vAlign w:val="bottom"/>
          </w:tcPr>
          <w:p>
            <w:pPr>
              <w:jc w:val="right"/>
              <w:spacing w:after="0"/>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16"/>
                <w:szCs w:val="16"/>
                <w:color w:val="auto"/>
              </w:rPr>
            </w:pPr>
          </w:p>
        </w:tc>
        <w:tc>
          <w:tcPr>
            <w:tcW w:w="960" w:type="dxa"/>
            <w:vAlign w:val="bottom"/>
          </w:tcPr>
          <w:p>
            <w:pPr>
              <w:jc w:val="center"/>
              <w:ind w:left="30"/>
              <w:spacing w:after="0"/>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620" w:type="dxa"/>
            <w:vAlign w:val="bottom"/>
          </w:tcPr>
          <w:p>
            <w:pPr>
              <w:jc w:val="right"/>
              <w:spacing w:after="0" w:line="180" w:lineRule="exact"/>
              <w:rPr>
                <w:sz w:val="20"/>
                <w:szCs w:val="20"/>
                <w:color w:val="auto"/>
              </w:rPr>
            </w:pPr>
            <w:r>
              <w:rPr>
                <w:rFonts w:ascii="Calibri" w:cs="Calibri" w:eastAsia="Calibri" w:hAnsi="Calibri"/>
                <w:sz w:val="15"/>
                <w:szCs w:val="15"/>
                <w:color w:val="333333"/>
              </w:rPr>
              <w:t>3,267</w:t>
            </w:r>
          </w:p>
        </w:tc>
        <w:tc>
          <w:tcPr>
            <w:tcW w:w="380" w:type="dxa"/>
            <w:vAlign w:val="bottom"/>
          </w:tcPr>
          <w:p>
            <w:pPr>
              <w:jc w:val="right"/>
              <w:ind w:right="123"/>
              <w:spacing w:after="0"/>
              <w:rPr>
                <w:sz w:val="20"/>
                <w:szCs w:val="20"/>
                <w:color w:val="auto"/>
              </w:rPr>
            </w:pPr>
            <w:r>
              <w:rPr>
                <w:rFonts w:ascii="Calibri" w:cs="Calibri" w:eastAsia="Calibri" w:hAnsi="Calibri"/>
                <w:sz w:val="11"/>
                <w:szCs w:val="11"/>
                <w:color w:val="333333"/>
              </w:rPr>
              <w:t>(12)</w:t>
            </w:r>
          </w:p>
        </w:tc>
        <w:tc>
          <w:tcPr>
            <w:tcW w:w="960" w:type="dxa"/>
            <w:vAlign w:val="bottom"/>
          </w:tcPr>
          <w:p>
            <w:pPr>
              <w:jc w:val="center"/>
              <w:ind w:left="30"/>
              <w:spacing w:after="0" w:line="180" w:lineRule="exact"/>
              <w:rPr>
                <w:sz w:val="20"/>
                <w:szCs w:val="20"/>
                <w:color w:val="auto"/>
              </w:rPr>
            </w:pPr>
            <w:r>
              <w:rPr>
                <w:rFonts w:ascii="Calibri" w:cs="Calibri" w:eastAsia="Calibri" w:hAnsi="Calibri"/>
                <w:sz w:val="15"/>
                <w:szCs w:val="15"/>
                <w:color w:val="333333"/>
              </w:rPr>
              <w:t>558,102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alibri" w:cs="Calibri" w:eastAsia="Calibri" w:hAnsi="Calibri"/>
                <w:sz w:val="15"/>
                <w:szCs w:val="15"/>
                <w:color w:val="333333"/>
              </w:rPr>
              <w:t>—</w:t>
            </w:r>
          </w:p>
        </w:tc>
        <w:tc>
          <w:tcPr>
            <w:tcW w:w="1180" w:type="dxa"/>
            <w:vAlign w:val="bottom"/>
          </w:tcPr>
          <w:p>
            <w:pPr>
              <w:jc w:val="center"/>
              <w:ind w:left="8"/>
              <w:spacing w:after="0"/>
              <w:rPr>
                <w:sz w:val="20"/>
                <w:szCs w:val="20"/>
                <w:color w:val="auto"/>
              </w:rPr>
            </w:pPr>
            <w:r>
              <w:rPr>
                <w:rFonts w:ascii="Calibri" w:cs="Calibri" w:eastAsia="Calibri" w:hAnsi="Calibri"/>
                <w:sz w:val="15"/>
                <w:szCs w:val="15"/>
                <w:color w:val="333333"/>
              </w:rPr>
              <w:t>—</w:t>
            </w:r>
          </w:p>
        </w:tc>
        <w:tc>
          <w:tcPr>
            <w:tcW w:w="1080" w:type="dxa"/>
            <w:vAlign w:val="bottom"/>
          </w:tcPr>
          <w:p>
            <w:pPr>
              <w:jc w:val="center"/>
              <w:ind w:left="29"/>
              <w:spacing w:after="0"/>
              <w:rPr>
                <w:sz w:val="20"/>
                <w:szCs w:val="20"/>
                <w:color w:val="auto"/>
              </w:rPr>
            </w:pPr>
            <w:r>
              <w:rPr>
                <w:rFonts w:ascii="Calibri" w:cs="Calibri" w:eastAsia="Calibri" w:hAnsi="Calibri"/>
                <w:sz w:val="15"/>
                <w:szCs w:val="15"/>
                <w:color w:val="333333"/>
              </w:rPr>
              <w:t>—</w:t>
            </w:r>
          </w:p>
        </w:tc>
        <w:tc>
          <w:tcPr>
            <w:tcW w:w="780" w:type="dxa"/>
            <w:vAlign w:val="bottom"/>
          </w:tcPr>
          <w:p>
            <w:pPr>
              <w:jc w:val="center"/>
              <w:ind w:left="7"/>
              <w:spacing w:after="0"/>
              <w:rPr>
                <w:sz w:val="20"/>
                <w:szCs w:val="20"/>
                <w:color w:val="auto"/>
              </w:rPr>
            </w:pPr>
            <w:r>
              <w:rPr>
                <w:rFonts w:ascii="Calibri" w:cs="Calibri" w:eastAsia="Calibri" w:hAnsi="Calibri"/>
                <w:sz w:val="15"/>
                <w:szCs w:val="15"/>
                <w:color w:val="333333"/>
              </w:rPr>
              <w:t>—</w:t>
            </w:r>
          </w:p>
        </w:tc>
        <w:tc>
          <w:tcPr>
            <w:tcW w:w="980" w:type="dxa"/>
            <w:vAlign w:val="bottom"/>
          </w:tcPr>
          <w:p>
            <w:pPr>
              <w:jc w:val="center"/>
              <w:ind w:left="6"/>
              <w:spacing w:after="0"/>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0"/>
              <w:spacing w:after="0"/>
              <w:rPr>
                <w:sz w:val="20"/>
                <w:szCs w:val="20"/>
                <w:color w:val="auto"/>
              </w:rPr>
            </w:pPr>
            <w:r>
              <w:rPr>
                <w:rFonts w:ascii="Calibri" w:cs="Calibri" w:eastAsia="Calibri" w:hAnsi="Calibri"/>
                <w:sz w:val="15"/>
                <w:szCs w:val="15"/>
                <w:color w:val="333333"/>
                <w:w w:val="92"/>
              </w:rPr>
              <w:t xml:space="preserve">11,328 </w:t>
            </w:r>
            <w:r>
              <w:rPr>
                <w:rFonts w:ascii="Calibri" w:cs="Calibri" w:eastAsia="Calibri" w:hAnsi="Calibri"/>
                <w:sz w:val="22"/>
                <w:szCs w:val="22"/>
                <w:color w:val="333333"/>
                <w:w w:val="92"/>
                <w:vertAlign w:val="superscript"/>
              </w:rPr>
              <w:t>(13)</w:t>
            </w:r>
          </w:p>
        </w:tc>
        <w:tc>
          <w:tcPr>
            <w:tcW w:w="980" w:type="dxa"/>
            <w:vAlign w:val="bottom"/>
          </w:tcPr>
          <w:p>
            <w:pPr>
              <w:jc w:val="center"/>
              <w:ind w:left="8"/>
              <w:spacing w:after="0"/>
              <w:rPr>
                <w:sz w:val="20"/>
                <w:szCs w:val="20"/>
                <w:color w:val="auto"/>
              </w:rPr>
            </w:pPr>
            <w:r>
              <w:rPr>
                <w:rFonts w:ascii="Calibri" w:cs="Calibri" w:eastAsia="Calibri" w:hAnsi="Calibri"/>
                <w:sz w:val="15"/>
                <w:szCs w:val="15"/>
                <w:color w:val="333333"/>
              </w:rPr>
              <w:t>1,935,162</w:t>
            </w:r>
          </w:p>
        </w:tc>
        <w:tc>
          <w:tcPr>
            <w:tcW w:w="620" w:type="dxa"/>
            <w:vAlign w:val="bottom"/>
          </w:tcPr>
          <w:p>
            <w:pPr>
              <w:jc w:val="right"/>
              <w:spacing w:after="0"/>
              <w:rPr>
                <w:sz w:val="20"/>
                <w:szCs w:val="20"/>
                <w:color w:val="auto"/>
              </w:rPr>
            </w:pPr>
            <w:r>
              <w:rPr>
                <w:rFonts w:ascii="Calibri" w:cs="Calibri" w:eastAsia="Calibri" w:hAnsi="Calibri"/>
                <w:sz w:val="15"/>
                <w:szCs w:val="15"/>
                <w:color w:val="333333"/>
              </w:rPr>
              <w:t>—</w:t>
            </w:r>
          </w:p>
        </w:tc>
        <w:tc>
          <w:tcPr>
            <w:tcW w:w="380" w:type="dxa"/>
            <w:vAlign w:val="bottom"/>
          </w:tcPr>
          <w:p>
            <w:pPr>
              <w:spacing w:after="0"/>
              <w:rPr>
                <w:sz w:val="24"/>
                <w:szCs w:val="24"/>
                <w:color w:val="auto"/>
              </w:rPr>
            </w:pPr>
          </w:p>
        </w:tc>
        <w:tc>
          <w:tcPr>
            <w:tcW w:w="960" w:type="dxa"/>
            <w:vAlign w:val="bottom"/>
          </w:tcPr>
          <w:p>
            <w:pPr>
              <w:jc w:val="center"/>
              <w:ind w:left="30"/>
              <w:spacing w:after="0"/>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90</w:t>
      </w:r>
    </w:p>
    <w:p>
      <w:pPr>
        <w:sectPr>
          <w:pgSz w:w="11900" w:h="16838" w:orient="portrait"/>
          <w:cols w:equalWidth="0" w:num="1">
            <w:col w:w="11100"/>
          </w:cols>
          <w:pgMar w:left="320" w:top="478"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70" w:type="dxa"/>
        <w:tblCellMar>
          <w:top w:w="0" w:type="dxa"/>
          <w:left w:w="0" w:type="dxa"/>
          <w:bottom w:w="0" w:type="dxa"/>
          <w:right w:w="0" w:type="dxa"/>
        </w:tblCellMar>
      </w:tblPr>
      <w:tr>
        <w:trPr>
          <w:trHeight w:val="203"/>
        </w:trPr>
        <w:tc>
          <w:tcPr>
            <w:tcW w:w="1880" w:type="dxa"/>
            <w:vAlign w:val="bottom"/>
            <w:tcBorders>
              <w:top w:val="single" w:sz="8" w:color="0591DB"/>
              <w:left w:val="single" w:sz="8" w:color="0591DB"/>
              <w:right w:val="single" w:sz="8" w:color="0591DB"/>
            </w:tcBorders>
          </w:tcPr>
          <w:p>
            <w:pPr>
              <w:spacing w:after="0"/>
              <w:rPr>
                <w:sz w:val="17"/>
                <w:szCs w:val="17"/>
                <w:color w:val="auto"/>
              </w:rPr>
            </w:pPr>
          </w:p>
        </w:tc>
        <w:tc>
          <w:tcPr>
            <w:tcW w:w="1080" w:type="dxa"/>
            <w:vAlign w:val="bottom"/>
            <w:tcBorders>
              <w:top w:val="single" w:sz="8" w:color="0591DB"/>
              <w:right w:val="single" w:sz="8" w:color="0591DB"/>
            </w:tcBorders>
          </w:tcPr>
          <w:p>
            <w:pPr>
              <w:spacing w:after="0"/>
              <w:rPr>
                <w:sz w:val="17"/>
                <w:szCs w:val="17"/>
                <w:color w:val="auto"/>
              </w:rPr>
            </w:pPr>
          </w:p>
        </w:tc>
        <w:tc>
          <w:tcPr>
            <w:tcW w:w="1180" w:type="dxa"/>
            <w:vAlign w:val="bottom"/>
            <w:tcBorders>
              <w:top w:val="single" w:sz="8" w:color="0591DB"/>
              <w:right w:val="single" w:sz="8" w:color="0591DB"/>
            </w:tcBorders>
          </w:tcPr>
          <w:p>
            <w:pPr>
              <w:spacing w:after="0"/>
              <w:rPr>
                <w:sz w:val="17"/>
                <w:szCs w:val="17"/>
                <w:color w:val="auto"/>
              </w:rPr>
            </w:pPr>
          </w:p>
        </w:tc>
        <w:tc>
          <w:tcPr>
            <w:tcW w:w="1080" w:type="dxa"/>
            <w:vAlign w:val="bottom"/>
            <w:tcBorders>
              <w:top w:val="single" w:sz="8" w:color="0591DB"/>
              <w:right w:val="single" w:sz="8" w:color="0591DB"/>
            </w:tcBorders>
          </w:tcPr>
          <w:p>
            <w:pPr>
              <w:spacing w:after="0"/>
              <w:rPr>
                <w:sz w:val="17"/>
                <w:szCs w:val="17"/>
                <w:color w:val="auto"/>
              </w:rPr>
            </w:pPr>
          </w:p>
        </w:tc>
        <w:tc>
          <w:tcPr>
            <w:tcW w:w="780" w:type="dxa"/>
            <w:vAlign w:val="bottom"/>
            <w:tcBorders>
              <w:top w:val="single" w:sz="8" w:color="0591DB"/>
              <w:right w:val="single" w:sz="8" w:color="0591DB"/>
            </w:tcBorders>
          </w:tcPr>
          <w:p>
            <w:pPr>
              <w:spacing w:after="0"/>
              <w:rPr>
                <w:sz w:val="17"/>
                <w:szCs w:val="17"/>
                <w:color w:val="auto"/>
              </w:rPr>
            </w:pPr>
          </w:p>
        </w:tc>
        <w:tc>
          <w:tcPr>
            <w:tcW w:w="980" w:type="dxa"/>
            <w:vAlign w:val="bottom"/>
            <w:tcBorders>
              <w:top w:val="single" w:sz="8" w:color="0591DB"/>
              <w:right w:val="single" w:sz="8" w:color="0591DB"/>
            </w:tcBorders>
          </w:tcPr>
          <w:p>
            <w:pPr>
              <w:spacing w:after="0"/>
              <w:rPr>
                <w:sz w:val="17"/>
                <w:szCs w:val="17"/>
                <w:color w:val="auto"/>
              </w:rPr>
            </w:pPr>
          </w:p>
        </w:tc>
        <w:tc>
          <w:tcPr>
            <w:tcW w:w="1000" w:type="dxa"/>
            <w:vAlign w:val="bottom"/>
            <w:tcBorders>
              <w:top w:val="single" w:sz="8" w:color="0591DB"/>
              <w:right w:val="single" w:sz="8" w:color="0591DB"/>
            </w:tcBorders>
          </w:tcPr>
          <w:p>
            <w:pPr>
              <w:spacing w:after="0"/>
              <w:rPr>
                <w:sz w:val="17"/>
                <w:szCs w:val="17"/>
                <w:color w:val="auto"/>
              </w:rPr>
            </w:pPr>
          </w:p>
        </w:tc>
        <w:tc>
          <w:tcPr>
            <w:tcW w:w="980" w:type="dxa"/>
            <w:vAlign w:val="bottom"/>
            <w:tcBorders>
              <w:top w:val="single" w:sz="8" w:color="0591DB"/>
              <w:right w:val="single" w:sz="8" w:color="0591DB"/>
            </w:tcBorders>
          </w:tcPr>
          <w:p>
            <w:pPr>
              <w:spacing w:after="0"/>
              <w:rPr>
                <w:sz w:val="17"/>
                <w:szCs w:val="17"/>
                <w:color w:val="auto"/>
              </w:rPr>
            </w:pPr>
          </w:p>
        </w:tc>
        <w:tc>
          <w:tcPr>
            <w:tcW w:w="1000" w:type="dxa"/>
            <w:vAlign w:val="bottom"/>
            <w:tcBorders>
              <w:top w:val="single" w:sz="8" w:color="0591DB"/>
              <w:right w:val="single" w:sz="8" w:color="0591DB"/>
            </w:tcBorders>
          </w:tcPr>
          <w:p>
            <w:pPr>
              <w:spacing w:after="0"/>
              <w:rPr>
                <w:sz w:val="17"/>
                <w:szCs w:val="17"/>
                <w:color w:val="auto"/>
              </w:rPr>
            </w:pPr>
          </w:p>
        </w:tc>
        <w:tc>
          <w:tcPr>
            <w:tcW w:w="960" w:type="dxa"/>
            <w:vAlign w:val="bottom"/>
            <w:tcBorders>
              <w:top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EQUITY</w:t>
            </w:r>
          </w:p>
        </w:tc>
        <w:tc>
          <w:tcPr>
            <w:tcW w:w="20" w:type="dxa"/>
            <w:vAlign w:val="bottom"/>
            <w:tcBorders>
              <w:top w:val="single" w:sz="8" w:color="0591DB"/>
            </w:tcBorders>
            <w:shd w:val="clear" w:color="auto" w:fill="0591DB"/>
          </w:tcPr>
          <w:p>
            <w:pPr>
              <w:spacing w:after="0"/>
              <w:rPr>
                <w:sz w:val="17"/>
                <w:szCs w:val="17"/>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INCENTIVE</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EQUITY</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PLAN</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INCENTIVE</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AWARDS:</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EQUITY</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PLAN</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MARKET OR</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INCENTIVE</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AWARDS:</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PAYOUT</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PLAN</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NUMBER OF</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VALUE OF</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w w:val="98"/>
              </w:rPr>
              <w:t>AWARDS:</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NUMBER</w:t>
            </w:r>
          </w:p>
        </w:tc>
        <w:tc>
          <w:tcPr>
            <w:tcW w:w="9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MARKET</w:t>
            </w: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UNEARNED</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UNEARNED</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spacing w:after="0"/>
              <w:rPr>
                <w:sz w:val="12"/>
                <w:szCs w:val="12"/>
                <w:color w:val="auto"/>
              </w:rPr>
            </w:pPr>
          </w:p>
        </w:tc>
        <w:tc>
          <w:tcPr>
            <w:tcW w:w="1180" w:type="dxa"/>
            <w:vAlign w:val="bottom"/>
            <w:tcBorders>
              <w:right w:val="single" w:sz="8" w:color="0591DB"/>
            </w:tcBorders>
          </w:tcPr>
          <w:p>
            <w:pPr>
              <w:spacing w:after="0"/>
              <w:rPr>
                <w:sz w:val="12"/>
                <w:szCs w:val="12"/>
                <w:color w:val="auto"/>
              </w:rPr>
            </w:pP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NUMBER OF</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OF SHARES</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rPr>
              <w:t>VALUE OF</w:t>
            </w: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SHARES,</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SHARES,</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NUMBER OF</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NUMBER OF</w:t>
            </w:r>
          </w:p>
        </w:tc>
        <w:tc>
          <w:tcPr>
            <w:tcW w:w="1080" w:type="dxa"/>
            <w:vAlign w:val="bottom"/>
            <w:tcBorders>
              <w:right w:val="single" w:sz="8" w:color="0591DB"/>
            </w:tcBorders>
          </w:tcPr>
          <w:p>
            <w:pPr>
              <w:jc w:val="center"/>
              <w:ind w:left="32"/>
              <w:spacing w:after="0"/>
              <w:rPr>
                <w:sz w:val="20"/>
                <w:szCs w:val="20"/>
                <w:color w:val="auto"/>
              </w:rPr>
            </w:pPr>
            <w:r>
              <w:rPr>
                <w:rFonts w:ascii="Calibri" w:cs="Calibri" w:eastAsia="Calibri" w:hAnsi="Calibri"/>
                <w:sz w:val="12"/>
                <w:szCs w:val="12"/>
                <w:b w:val="1"/>
                <w:bCs w:val="1"/>
                <w:color w:val="0591DB"/>
              </w:rPr>
              <w:t>SECURITIES</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OR</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rPr>
              <w:t>SHARES OR</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UNITS OR</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UNITS OR</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SECURITIES</w:t>
            </w:r>
          </w:p>
        </w:tc>
        <w:tc>
          <w:tcPr>
            <w:tcW w:w="118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SECURITIES</w:t>
            </w: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UNDERLYING</w:t>
            </w:r>
          </w:p>
        </w:tc>
        <w:tc>
          <w:tcPr>
            <w:tcW w:w="780" w:type="dxa"/>
            <w:vAlign w:val="bottom"/>
            <w:tcBorders>
              <w:right w:val="single" w:sz="8" w:color="0591DB"/>
            </w:tcBorders>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UNITS OF</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rPr>
              <w:t>UNITS OF</w:t>
            </w: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OTHER</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w w:val="99"/>
              </w:rPr>
              <w:t>OTHER</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w w:val="99"/>
              </w:rPr>
              <w:t>UNDERLYING</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UNDERLYING</w:t>
            </w: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UNEXERCISED</w:t>
            </w:r>
          </w:p>
        </w:tc>
        <w:tc>
          <w:tcPr>
            <w:tcW w:w="7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OPTION</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OPTION</w:t>
            </w:r>
          </w:p>
        </w:tc>
        <w:tc>
          <w:tcPr>
            <w:tcW w:w="1000" w:type="dxa"/>
            <w:vAlign w:val="bottom"/>
            <w:tcBorders>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STOCK THAT</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w w:val="99"/>
              </w:rPr>
              <w:t>STOCK THAT</w:t>
            </w:r>
          </w:p>
        </w:tc>
        <w:tc>
          <w:tcPr>
            <w:tcW w:w="1000" w:type="dxa"/>
            <w:vAlign w:val="bottom"/>
            <w:tcBorders>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RIGHTS THAT</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RIGHTS THAT</w:t>
            </w:r>
          </w:p>
        </w:tc>
        <w:tc>
          <w:tcPr>
            <w:tcW w:w="20" w:type="dxa"/>
            <w:vAlign w:val="bottom"/>
            <w:shd w:val="clear" w:color="auto" w:fill="0591DB"/>
          </w:tcPr>
          <w:p>
            <w:pPr>
              <w:spacing w:after="0"/>
              <w:rPr>
                <w:sz w:val="12"/>
                <w:szCs w:val="12"/>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UNEXERCISED</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UNEXERCISED</w:t>
            </w: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UNEARNED</w:t>
            </w:r>
          </w:p>
        </w:tc>
        <w:tc>
          <w:tcPr>
            <w:tcW w:w="780" w:type="dxa"/>
            <w:vAlign w:val="bottom"/>
            <w:tcBorders>
              <w:right w:val="single" w:sz="8" w:color="0591DB"/>
            </w:tcBorders>
          </w:tcPr>
          <w:p>
            <w:pPr>
              <w:jc w:val="center"/>
              <w:ind w:left="29"/>
              <w:spacing w:after="0"/>
              <w:rPr>
                <w:sz w:val="20"/>
                <w:szCs w:val="20"/>
                <w:color w:val="auto"/>
              </w:rPr>
            </w:pPr>
            <w:r>
              <w:rPr>
                <w:rFonts w:ascii="Calibri" w:cs="Calibri" w:eastAsia="Calibri" w:hAnsi="Calibri"/>
                <w:sz w:val="12"/>
                <w:szCs w:val="12"/>
                <w:b w:val="1"/>
                <w:bCs w:val="1"/>
                <w:color w:val="0591DB"/>
              </w:rPr>
              <w:t>EXERCISE</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EXPIRATION</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HAVE NOT</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rPr>
              <w:t>HAVE NOT</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HAVE NOT</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HAVE NOT</w:t>
            </w:r>
          </w:p>
        </w:tc>
        <w:tc>
          <w:tcPr>
            <w:tcW w:w="20" w:type="dxa"/>
            <w:vAlign w:val="bottom"/>
            <w:shd w:val="clear" w:color="auto" w:fill="0591DB"/>
          </w:tcPr>
          <w:p>
            <w:pPr>
              <w:spacing w:after="0"/>
              <w:rPr>
                <w:sz w:val="12"/>
                <w:szCs w:val="12"/>
                <w:color w:val="auto"/>
              </w:rPr>
            </w:pPr>
          </w:p>
        </w:tc>
      </w:tr>
      <w:tr>
        <w:trPr>
          <w:trHeight w:val="231"/>
        </w:trPr>
        <w:tc>
          <w:tcPr>
            <w:tcW w:w="1880" w:type="dxa"/>
            <w:vAlign w:val="bottom"/>
            <w:tcBorders>
              <w:left w:val="single" w:sz="8" w:color="0591DB"/>
              <w:bottom w:val="single" w:sz="8" w:color="0591DB"/>
              <w:right w:val="single" w:sz="8" w:color="0591DB"/>
            </w:tcBorders>
          </w:tcPr>
          <w:p>
            <w:pPr>
              <w:ind w:left="160"/>
              <w:spacing w:after="0"/>
              <w:rPr>
                <w:sz w:val="20"/>
                <w:szCs w:val="20"/>
                <w:color w:val="auto"/>
              </w:rPr>
            </w:pPr>
            <w:r>
              <w:rPr>
                <w:rFonts w:ascii="Calibri" w:cs="Calibri" w:eastAsia="Calibri" w:hAnsi="Calibri"/>
                <w:sz w:val="12"/>
                <w:szCs w:val="12"/>
                <w:b w:val="1"/>
                <w:bCs w:val="1"/>
                <w:color w:val="0591DB"/>
              </w:rPr>
              <w:t> NAME</w:t>
            </w:r>
          </w:p>
        </w:tc>
        <w:tc>
          <w:tcPr>
            <w:tcW w:w="108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OPTIONS</w:t>
            </w:r>
          </w:p>
        </w:tc>
        <w:tc>
          <w:tcPr>
            <w:tcW w:w="1180" w:type="dxa"/>
            <w:vAlign w:val="bottom"/>
            <w:tcBorders>
              <w:bottom w:val="single" w:sz="8" w:color="0591DB"/>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OPTIONS</w:t>
            </w:r>
          </w:p>
        </w:tc>
        <w:tc>
          <w:tcPr>
            <w:tcW w:w="1080" w:type="dxa"/>
            <w:vAlign w:val="bottom"/>
            <w:tcBorders>
              <w:bottom w:val="single" w:sz="8" w:color="0591DB"/>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rPr>
              <w:t>OPTIONS</w:t>
            </w:r>
          </w:p>
        </w:tc>
        <w:tc>
          <w:tcPr>
            <w:tcW w:w="780" w:type="dxa"/>
            <w:vAlign w:val="bottom"/>
            <w:tcBorders>
              <w:bottom w:val="single" w:sz="8" w:color="0591DB"/>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PRICE</w:t>
            </w:r>
          </w:p>
        </w:tc>
        <w:tc>
          <w:tcPr>
            <w:tcW w:w="980" w:type="dxa"/>
            <w:vAlign w:val="bottom"/>
            <w:tcBorders>
              <w:bottom w:val="single" w:sz="8" w:color="0591DB"/>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w w:val="97"/>
              </w:rPr>
              <w:t>DATE</w:t>
            </w:r>
          </w:p>
        </w:tc>
        <w:tc>
          <w:tcPr>
            <w:tcW w:w="1000" w:type="dxa"/>
            <w:vAlign w:val="bottom"/>
            <w:tcBorders>
              <w:bottom w:val="single" w:sz="8" w:color="0591DB"/>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VESTED</w:t>
            </w:r>
          </w:p>
        </w:tc>
        <w:tc>
          <w:tcPr>
            <w:tcW w:w="980" w:type="dxa"/>
            <w:vAlign w:val="bottom"/>
            <w:tcBorders>
              <w:bottom w:val="single" w:sz="8" w:color="0591DB"/>
              <w:right w:val="single" w:sz="8" w:color="0591DB"/>
            </w:tcBorders>
          </w:tcPr>
          <w:p>
            <w:pPr>
              <w:jc w:val="center"/>
              <w:spacing w:after="0" w:line="218" w:lineRule="exact"/>
              <w:rPr>
                <w:sz w:val="20"/>
                <w:szCs w:val="20"/>
                <w:color w:val="auto"/>
              </w:rPr>
            </w:pPr>
            <w:r>
              <w:rPr>
                <w:rFonts w:ascii="Calibri" w:cs="Calibri" w:eastAsia="Calibri" w:hAnsi="Calibri"/>
                <w:sz w:val="12"/>
                <w:szCs w:val="12"/>
                <w:b w:val="1"/>
                <w:bCs w:val="1"/>
                <w:color w:val="0591DB"/>
                <w:w w:val="95"/>
              </w:rPr>
              <w:t xml:space="preserve">VESTED </w:t>
            </w:r>
            <w:r>
              <w:rPr>
                <w:rFonts w:ascii="Calibri" w:cs="Calibri" w:eastAsia="Calibri" w:hAnsi="Calibri"/>
                <w:sz w:val="18"/>
                <w:szCs w:val="18"/>
                <w:b w:val="1"/>
                <w:bCs w:val="1"/>
                <w:color w:val="0591DB"/>
                <w:w w:val="95"/>
                <w:vertAlign w:val="superscript"/>
              </w:rPr>
              <w:t>(1)</w:t>
            </w:r>
          </w:p>
        </w:tc>
        <w:tc>
          <w:tcPr>
            <w:tcW w:w="1000" w:type="dxa"/>
            <w:vAlign w:val="bottom"/>
            <w:tcBorders>
              <w:bottom w:val="single" w:sz="8" w:color="0591DB"/>
              <w:right w:val="single" w:sz="8" w:color="0591DB"/>
            </w:tcBorders>
          </w:tcPr>
          <w:p>
            <w:pPr>
              <w:jc w:val="center"/>
              <w:ind w:left="13"/>
              <w:spacing w:after="0"/>
              <w:rPr>
                <w:sz w:val="20"/>
                <w:szCs w:val="20"/>
                <w:color w:val="auto"/>
              </w:rPr>
            </w:pPr>
            <w:r>
              <w:rPr>
                <w:rFonts w:ascii="Calibri" w:cs="Calibri" w:eastAsia="Calibri" w:hAnsi="Calibri"/>
                <w:sz w:val="12"/>
                <w:szCs w:val="12"/>
                <w:b w:val="1"/>
                <w:bCs w:val="1"/>
                <w:color w:val="0591DB"/>
              </w:rPr>
              <w:t>VESTED</w:t>
            </w:r>
          </w:p>
        </w:tc>
        <w:tc>
          <w:tcPr>
            <w:tcW w:w="960" w:type="dxa"/>
            <w:vAlign w:val="bottom"/>
            <w:tcBorders>
              <w:bottom w:val="single" w:sz="8" w:color="0591DB"/>
            </w:tcBorders>
          </w:tcPr>
          <w:p>
            <w:pPr>
              <w:jc w:val="center"/>
              <w:spacing w:after="0" w:line="218" w:lineRule="exact"/>
              <w:rPr>
                <w:sz w:val="20"/>
                <w:szCs w:val="20"/>
                <w:color w:val="auto"/>
              </w:rPr>
            </w:pPr>
            <w:r>
              <w:rPr>
                <w:rFonts w:ascii="Calibri" w:cs="Calibri" w:eastAsia="Calibri" w:hAnsi="Calibri"/>
                <w:sz w:val="12"/>
                <w:szCs w:val="12"/>
                <w:b w:val="1"/>
                <w:bCs w:val="1"/>
                <w:color w:val="0591DB"/>
                <w:w w:val="99"/>
              </w:rPr>
              <w:t xml:space="preserve">VESTED </w:t>
            </w:r>
            <w:r>
              <w:rPr>
                <w:rFonts w:ascii="Calibri" w:cs="Calibri" w:eastAsia="Calibri" w:hAnsi="Calibri"/>
                <w:sz w:val="18"/>
                <w:szCs w:val="18"/>
                <w:b w:val="1"/>
                <w:bCs w:val="1"/>
                <w:color w:val="0591DB"/>
                <w:w w:val="99"/>
                <w:vertAlign w:val="superscript"/>
              </w:rPr>
              <w:t>(1)</w:t>
            </w:r>
          </w:p>
        </w:tc>
        <w:tc>
          <w:tcPr>
            <w:tcW w:w="20" w:type="dxa"/>
            <w:vAlign w:val="bottom"/>
            <w:tcBorders>
              <w:bottom w:val="single" w:sz="8" w:color="0591DB"/>
            </w:tcBorders>
            <w:shd w:val="clear" w:color="auto" w:fill="0591DB"/>
          </w:tcPr>
          <w:p>
            <w:pPr>
              <w:spacing w:after="0"/>
              <w:rPr>
                <w:sz w:val="20"/>
                <w:szCs w:val="20"/>
                <w:color w:val="auto"/>
              </w:rPr>
            </w:pPr>
          </w:p>
        </w:tc>
      </w:tr>
      <w:tr>
        <w:trPr>
          <w:trHeight w:val="190"/>
        </w:trPr>
        <w:tc>
          <w:tcPr>
            <w:tcW w:w="1880" w:type="dxa"/>
            <w:vAlign w:val="bottom"/>
            <w:tcBorders>
              <w:left w:val="single" w:sz="8" w:color="0591DB"/>
              <w:right w:val="single" w:sz="8" w:color="0591DB"/>
            </w:tcBorders>
          </w:tcPr>
          <w:p>
            <w:pPr>
              <w:spacing w:after="0"/>
              <w:rPr>
                <w:sz w:val="16"/>
                <w:szCs w:val="16"/>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w:t>
            </w:r>
          </w:p>
        </w:tc>
        <w:tc>
          <w:tcPr>
            <w:tcW w:w="118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w:t>
            </w:r>
          </w:p>
        </w:tc>
        <w:tc>
          <w:tcPr>
            <w:tcW w:w="1080" w:type="dxa"/>
            <w:vAlign w:val="bottom"/>
            <w:tcBorders>
              <w:right w:val="single" w:sz="8" w:color="0591DB"/>
            </w:tcBorders>
          </w:tcPr>
          <w:p>
            <w:pPr>
              <w:spacing w:after="0"/>
              <w:rPr>
                <w:sz w:val="16"/>
                <w:szCs w:val="16"/>
                <w:color w:val="auto"/>
              </w:rPr>
            </w:pPr>
          </w:p>
        </w:tc>
        <w:tc>
          <w:tcPr>
            <w:tcW w:w="780" w:type="dxa"/>
            <w:vAlign w:val="bottom"/>
            <w:tcBorders>
              <w:right w:val="single" w:sz="8" w:color="0591DB"/>
            </w:tcBorders>
          </w:tcPr>
          <w:p>
            <w:pPr>
              <w:spacing w:after="0"/>
              <w:rPr>
                <w:sz w:val="16"/>
                <w:szCs w:val="16"/>
                <w:color w:val="auto"/>
              </w:rPr>
            </w:pPr>
          </w:p>
        </w:tc>
        <w:tc>
          <w:tcPr>
            <w:tcW w:w="980" w:type="dxa"/>
            <w:vAlign w:val="bottom"/>
            <w:tcBorders>
              <w:right w:val="single" w:sz="8" w:color="0591DB"/>
            </w:tcBorders>
          </w:tcPr>
          <w:p>
            <w:pPr>
              <w:spacing w:after="0"/>
              <w:rPr>
                <w:sz w:val="16"/>
                <w:szCs w:val="16"/>
                <w:color w:val="auto"/>
              </w:rPr>
            </w:pPr>
          </w:p>
        </w:tc>
        <w:tc>
          <w:tcPr>
            <w:tcW w:w="1000" w:type="dxa"/>
            <w:vAlign w:val="bottom"/>
            <w:tcBorders>
              <w:right w:val="single" w:sz="8" w:color="0591DB"/>
            </w:tcBorders>
          </w:tcPr>
          <w:p>
            <w:pPr>
              <w:spacing w:after="0"/>
              <w:rPr>
                <w:sz w:val="16"/>
                <w:szCs w:val="16"/>
                <w:color w:val="auto"/>
              </w:rPr>
            </w:pPr>
          </w:p>
        </w:tc>
        <w:tc>
          <w:tcPr>
            <w:tcW w:w="980" w:type="dxa"/>
            <w:vAlign w:val="bottom"/>
            <w:tcBorders>
              <w:right w:val="single" w:sz="8" w:color="0591DB"/>
            </w:tcBorders>
          </w:tcPr>
          <w:p>
            <w:pPr>
              <w:spacing w:after="0"/>
              <w:rPr>
                <w:sz w:val="16"/>
                <w:szCs w:val="16"/>
                <w:color w:val="auto"/>
              </w:rPr>
            </w:pPr>
          </w:p>
        </w:tc>
        <w:tc>
          <w:tcPr>
            <w:tcW w:w="1000" w:type="dxa"/>
            <w:vAlign w:val="bottom"/>
            <w:tcBorders>
              <w:right w:val="single" w:sz="8" w:color="0591DB"/>
            </w:tcBorders>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shd w:val="clear" w:color="auto" w:fill="0591DB"/>
          </w:tcPr>
          <w:p>
            <w:pPr>
              <w:spacing w:after="0"/>
              <w:rPr>
                <w:sz w:val="16"/>
                <w:szCs w:val="16"/>
                <w:color w:val="auto"/>
              </w:rPr>
            </w:pPr>
          </w:p>
        </w:tc>
      </w:tr>
      <w:tr>
        <w:trPr>
          <w:trHeight w:val="147"/>
        </w:trPr>
        <w:tc>
          <w:tcPr>
            <w:tcW w:w="1880" w:type="dxa"/>
            <w:vAlign w:val="bottom"/>
            <w:tcBorders>
              <w:left w:val="single" w:sz="8" w:color="0591DB"/>
              <w:right w:val="single" w:sz="8" w:color="0591DB"/>
            </w:tcBorders>
          </w:tcPr>
          <w:p>
            <w:pPr>
              <w:spacing w:after="0"/>
              <w:rPr>
                <w:sz w:val="12"/>
                <w:szCs w:val="12"/>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EXERCISABLE</w:t>
            </w:r>
          </w:p>
        </w:tc>
        <w:tc>
          <w:tcPr>
            <w:tcW w:w="11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UNEXERCISABLE</w:t>
            </w:r>
          </w:p>
        </w:tc>
        <w:tc>
          <w:tcPr>
            <w:tcW w:w="1080" w:type="dxa"/>
            <w:vAlign w:val="bottom"/>
            <w:tcBorders>
              <w:right w:val="single" w:sz="8" w:color="0591DB"/>
            </w:tcBorders>
          </w:tcPr>
          <w:p>
            <w:pPr>
              <w:jc w:val="center"/>
              <w:ind w:left="32"/>
              <w:spacing w:after="0"/>
              <w:rPr>
                <w:sz w:val="20"/>
                <w:szCs w:val="20"/>
                <w:color w:val="auto"/>
              </w:rPr>
            </w:pPr>
            <w:r>
              <w:rPr>
                <w:rFonts w:ascii="Calibri" w:cs="Calibri" w:eastAsia="Calibri" w:hAnsi="Calibri"/>
                <w:sz w:val="12"/>
                <w:szCs w:val="12"/>
                <w:b w:val="1"/>
                <w:bCs w:val="1"/>
                <w:color w:val="0591DB"/>
              </w:rPr>
              <w:t>(#)</w:t>
            </w:r>
          </w:p>
        </w:tc>
        <w:tc>
          <w:tcPr>
            <w:tcW w:w="780" w:type="dxa"/>
            <w:vAlign w:val="bottom"/>
            <w:tcBorders>
              <w:right w:val="single" w:sz="8" w:color="0591DB"/>
            </w:tcBorders>
          </w:tcPr>
          <w:p>
            <w:pPr>
              <w:jc w:val="center"/>
              <w:ind w:left="29"/>
              <w:spacing w:after="0"/>
              <w:rPr>
                <w:sz w:val="20"/>
                <w:szCs w:val="20"/>
                <w:color w:val="auto"/>
              </w:rPr>
            </w:pPr>
            <w:r>
              <w:rPr>
                <w:rFonts w:ascii="Calibri" w:cs="Calibri" w:eastAsia="Calibri" w:hAnsi="Calibri"/>
                <w:sz w:val="12"/>
                <w:szCs w:val="12"/>
                <w:b w:val="1"/>
                <w:bCs w:val="1"/>
                <w:color w:val="0591DB"/>
              </w:rPr>
              <w:t>($/Sh)</w:t>
            </w:r>
          </w:p>
        </w:tc>
        <w:tc>
          <w:tcPr>
            <w:tcW w:w="980" w:type="dxa"/>
            <w:vAlign w:val="bottom"/>
            <w:tcBorders>
              <w:right w:val="single" w:sz="8" w:color="0591DB"/>
            </w:tcBorders>
          </w:tcPr>
          <w:p>
            <w:pPr>
              <w:spacing w:after="0"/>
              <w:rPr>
                <w:sz w:val="12"/>
                <w:szCs w:val="12"/>
                <w:color w:val="auto"/>
              </w:rPr>
            </w:pP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rPr>
              <w:t>($)</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rPr>
              <w:t>($)</w:t>
            </w:r>
          </w:p>
        </w:tc>
        <w:tc>
          <w:tcPr>
            <w:tcW w:w="20" w:type="dxa"/>
            <w:vAlign w:val="bottom"/>
            <w:shd w:val="clear" w:color="auto" w:fill="0591DB"/>
          </w:tcPr>
          <w:p>
            <w:pPr>
              <w:spacing w:after="0"/>
              <w:rPr>
                <w:sz w:val="12"/>
                <w:szCs w:val="12"/>
                <w:color w:val="auto"/>
              </w:rPr>
            </w:pPr>
          </w:p>
        </w:tc>
      </w:tr>
      <w:tr>
        <w:trPr>
          <w:trHeight w:val="161"/>
        </w:trPr>
        <w:tc>
          <w:tcPr>
            <w:tcW w:w="1880" w:type="dxa"/>
            <w:vAlign w:val="bottom"/>
            <w:tcBorders>
              <w:left w:val="single" w:sz="8" w:color="0591DB"/>
              <w:right w:val="single" w:sz="8" w:color="0591DB"/>
            </w:tcBorders>
          </w:tcPr>
          <w:p>
            <w:pPr>
              <w:spacing w:after="0"/>
              <w:rPr>
                <w:sz w:val="13"/>
                <w:szCs w:val="13"/>
                <w:color w:val="auto"/>
              </w:rPr>
            </w:pPr>
          </w:p>
        </w:tc>
        <w:tc>
          <w:tcPr>
            <w:tcW w:w="108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(a)</w:t>
            </w:r>
          </w:p>
        </w:tc>
        <w:tc>
          <w:tcPr>
            <w:tcW w:w="1180" w:type="dxa"/>
            <w:vAlign w:val="bottom"/>
            <w:tcBorders>
              <w:right w:val="single" w:sz="8" w:color="0591DB"/>
            </w:tcBorders>
          </w:tcPr>
          <w:p>
            <w:pPr>
              <w:jc w:val="center"/>
              <w:ind w:left="10"/>
              <w:spacing w:after="0"/>
              <w:rPr>
                <w:sz w:val="20"/>
                <w:szCs w:val="20"/>
                <w:color w:val="auto"/>
              </w:rPr>
            </w:pPr>
            <w:r>
              <w:rPr>
                <w:rFonts w:ascii="Calibri" w:cs="Calibri" w:eastAsia="Calibri" w:hAnsi="Calibri"/>
                <w:sz w:val="12"/>
                <w:szCs w:val="12"/>
                <w:b w:val="1"/>
                <w:bCs w:val="1"/>
                <w:color w:val="0591DB"/>
              </w:rPr>
              <w:t>(b)</w:t>
            </w:r>
          </w:p>
        </w:tc>
        <w:tc>
          <w:tcPr>
            <w:tcW w:w="1080" w:type="dxa"/>
            <w:vAlign w:val="bottom"/>
            <w:tcBorders>
              <w:right w:val="single" w:sz="8" w:color="0591DB"/>
            </w:tcBorders>
          </w:tcPr>
          <w:p>
            <w:pPr>
              <w:jc w:val="center"/>
              <w:ind w:left="12"/>
              <w:spacing w:after="0"/>
              <w:rPr>
                <w:sz w:val="20"/>
                <w:szCs w:val="20"/>
                <w:color w:val="auto"/>
              </w:rPr>
            </w:pPr>
            <w:r>
              <w:rPr>
                <w:rFonts w:ascii="Calibri" w:cs="Calibri" w:eastAsia="Calibri" w:hAnsi="Calibri"/>
                <w:sz w:val="12"/>
                <w:szCs w:val="12"/>
                <w:b w:val="1"/>
                <w:bCs w:val="1"/>
                <w:color w:val="0591DB"/>
                <w:w w:val="95"/>
              </w:rPr>
              <w:t>(c)</w:t>
            </w:r>
          </w:p>
        </w:tc>
        <w:tc>
          <w:tcPr>
            <w:tcW w:w="780" w:type="dxa"/>
            <w:vAlign w:val="bottom"/>
            <w:tcBorders>
              <w:right w:val="single" w:sz="8" w:color="0591DB"/>
            </w:tcBorders>
          </w:tcPr>
          <w:p>
            <w:pPr>
              <w:jc w:val="center"/>
              <w:ind w:left="9"/>
              <w:spacing w:after="0"/>
              <w:rPr>
                <w:sz w:val="20"/>
                <w:szCs w:val="20"/>
                <w:color w:val="auto"/>
              </w:rPr>
            </w:pPr>
            <w:r>
              <w:rPr>
                <w:rFonts w:ascii="Calibri" w:cs="Calibri" w:eastAsia="Calibri" w:hAnsi="Calibri"/>
                <w:sz w:val="12"/>
                <w:szCs w:val="12"/>
                <w:b w:val="1"/>
                <w:bCs w:val="1"/>
                <w:color w:val="0591DB"/>
              </w:rPr>
              <w:t>(d)</w:t>
            </w:r>
          </w:p>
        </w:tc>
        <w:tc>
          <w:tcPr>
            <w:tcW w:w="980" w:type="dxa"/>
            <w:vAlign w:val="bottom"/>
            <w:tcBorders>
              <w:right w:val="single" w:sz="8" w:color="0591DB"/>
            </w:tcBorders>
          </w:tcPr>
          <w:p>
            <w:pPr>
              <w:jc w:val="center"/>
              <w:ind w:left="8"/>
              <w:spacing w:after="0"/>
              <w:rPr>
                <w:sz w:val="20"/>
                <w:szCs w:val="20"/>
                <w:color w:val="auto"/>
              </w:rPr>
            </w:pPr>
            <w:r>
              <w:rPr>
                <w:rFonts w:ascii="Calibri" w:cs="Calibri" w:eastAsia="Calibri" w:hAnsi="Calibri"/>
                <w:sz w:val="12"/>
                <w:szCs w:val="12"/>
                <w:b w:val="1"/>
                <w:bCs w:val="1"/>
                <w:color w:val="0591DB"/>
              </w:rPr>
              <w:t>(e)</w:t>
            </w:r>
          </w:p>
        </w:tc>
        <w:tc>
          <w:tcPr>
            <w:tcW w:w="1000" w:type="dxa"/>
            <w:vAlign w:val="bottom"/>
            <w:tcBorders>
              <w:right w:val="single" w:sz="8" w:color="0591DB"/>
            </w:tcBorders>
          </w:tcPr>
          <w:p>
            <w:pPr>
              <w:jc w:val="center"/>
              <w:ind w:left="15"/>
              <w:spacing w:after="0"/>
              <w:rPr>
                <w:sz w:val="20"/>
                <w:szCs w:val="20"/>
                <w:color w:val="auto"/>
              </w:rPr>
            </w:pPr>
            <w:r>
              <w:rPr>
                <w:rFonts w:ascii="Calibri" w:cs="Calibri" w:eastAsia="Calibri" w:hAnsi="Calibri"/>
                <w:sz w:val="12"/>
                <w:szCs w:val="12"/>
                <w:b w:val="1"/>
                <w:bCs w:val="1"/>
                <w:color w:val="0591DB"/>
              </w:rPr>
              <w:t>(f)</w:t>
            </w:r>
          </w:p>
        </w:tc>
        <w:tc>
          <w:tcPr>
            <w:tcW w:w="980" w:type="dxa"/>
            <w:vAlign w:val="bottom"/>
            <w:tcBorders>
              <w:right w:val="single" w:sz="8" w:color="0591DB"/>
            </w:tcBorders>
          </w:tcPr>
          <w:p>
            <w:pPr>
              <w:jc w:val="center"/>
              <w:ind w:left="11"/>
              <w:spacing w:after="0"/>
              <w:rPr>
                <w:sz w:val="20"/>
                <w:szCs w:val="20"/>
                <w:color w:val="auto"/>
              </w:rPr>
            </w:pPr>
            <w:r>
              <w:rPr>
                <w:rFonts w:ascii="Calibri" w:cs="Calibri" w:eastAsia="Calibri" w:hAnsi="Calibri"/>
                <w:sz w:val="12"/>
                <w:szCs w:val="12"/>
                <w:b w:val="1"/>
                <w:bCs w:val="1"/>
                <w:color w:val="0591DB"/>
              </w:rPr>
              <w:t>(g)</w:t>
            </w:r>
          </w:p>
        </w:tc>
        <w:tc>
          <w:tcPr>
            <w:tcW w:w="1000" w:type="dxa"/>
            <w:vAlign w:val="bottom"/>
            <w:tcBorders>
              <w:right w:val="single" w:sz="8" w:color="0591DB"/>
            </w:tcBorders>
          </w:tcPr>
          <w:p>
            <w:pPr>
              <w:jc w:val="center"/>
              <w:spacing w:after="0"/>
              <w:rPr>
                <w:sz w:val="20"/>
                <w:szCs w:val="20"/>
                <w:color w:val="auto"/>
              </w:rPr>
            </w:pPr>
            <w:r>
              <w:rPr>
                <w:rFonts w:ascii="Calibri" w:cs="Calibri" w:eastAsia="Calibri" w:hAnsi="Calibri"/>
                <w:sz w:val="12"/>
                <w:szCs w:val="12"/>
                <w:b w:val="1"/>
                <w:bCs w:val="1"/>
                <w:color w:val="0591DB"/>
              </w:rPr>
              <w:t>(h)</w:t>
            </w:r>
          </w:p>
        </w:tc>
        <w:tc>
          <w:tcPr>
            <w:tcW w:w="960" w:type="dxa"/>
            <w:vAlign w:val="bottom"/>
          </w:tcPr>
          <w:p>
            <w:pPr>
              <w:jc w:val="center"/>
              <w:spacing w:after="0"/>
              <w:rPr>
                <w:sz w:val="20"/>
                <w:szCs w:val="20"/>
                <w:color w:val="auto"/>
              </w:rPr>
            </w:pPr>
            <w:r>
              <w:rPr>
                <w:rFonts w:ascii="Calibri" w:cs="Calibri" w:eastAsia="Calibri" w:hAnsi="Calibri"/>
                <w:sz w:val="12"/>
                <w:szCs w:val="12"/>
                <w:b w:val="1"/>
                <w:bCs w:val="1"/>
                <w:color w:val="0591DB"/>
                <w:w w:val="95"/>
              </w:rPr>
              <w:t>(i)</w:t>
            </w:r>
          </w:p>
        </w:tc>
        <w:tc>
          <w:tcPr>
            <w:tcW w:w="20" w:type="dxa"/>
            <w:vAlign w:val="bottom"/>
            <w:shd w:val="clear" w:color="auto" w:fill="0591DB"/>
          </w:tcPr>
          <w:p>
            <w:pPr>
              <w:spacing w:after="0"/>
              <w:rPr>
                <w:sz w:val="13"/>
                <w:szCs w:val="13"/>
                <w:color w:val="auto"/>
              </w:rPr>
            </w:pPr>
          </w:p>
        </w:tc>
      </w:tr>
      <w:tr>
        <w:trPr>
          <w:trHeight w:val="77"/>
        </w:trPr>
        <w:tc>
          <w:tcPr>
            <w:tcW w:w="1880" w:type="dxa"/>
            <w:vAlign w:val="bottom"/>
            <w:tcBorders>
              <w:left w:val="single" w:sz="8" w:color="0591DB"/>
              <w:bottom w:val="single" w:sz="8" w:color="0591DB"/>
              <w:right w:val="single" w:sz="8" w:color="0591DB"/>
            </w:tcBorders>
          </w:tcPr>
          <w:p>
            <w:pPr>
              <w:spacing w:after="0"/>
              <w:rPr>
                <w:sz w:val="6"/>
                <w:szCs w:val="6"/>
                <w:color w:val="auto"/>
              </w:rPr>
            </w:pPr>
          </w:p>
        </w:tc>
        <w:tc>
          <w:tcPr>
            <w:tcW w:w="1080" w:type="dxa"/>
            <w:vAlign w:val="bottom"/>
            <w:tcBorders>
              <w:bottom w:val="single" w:sz="8" w:color="0591DB"/>
              <w:right w:val="single" w:sz="8" w:color="0591DB"/>
            </w:tcBorders>
          </w:tcPr>
          <w:p>
            <w:pPr>
              <w:spacing w:after="0"/>
              <w:rPr>
                <w:sz w:val="6"/>
                <w:szCs w:val="6"/>
                <w:color w:val="auto"/>
              </w:rPr>
            </w:pPr>
          </w:p>
        </w:tc>
        <w:tc>
          <w:tcPr>
            <w:tcW w:w="1180" w:type="dxa"/>
            <w:vAlign w:val="bottom"/>
            <w:tcBorders>
              <w:bottom w:val="single" w:sz="8" w:color="0591DB"/>
              <w:right w:val="single" w:sz="8" w:color="0591DB"/>
            </w:tcBorders>
          </w:tcPr>
          <w:p>
            <w:pPr>
              <w:spacing w:after="0"/>
              <w:rPr>
                <w:sz w:val="6"/>
                <w:szCs w:val="6"/>
                <w:color w:val="auto"/>
              </w:rPr>
            </w:pPr>
          </w:p>
        </w:tc>
        <w:tc>
          <w:tcPr>
            <w:tcW w:w="1080" w:type="dxa"/>
            <w:vAlign w:val="bottom"/>
            <w:tcBorders>
              <w:bottom w:val="single" w:sz="8" w:color="0591DB"/>
              <w:right w:val="single" w:sz="8" w:color="0591DB"/>
            </w:tcBorders>
          </w:tcPr>
          <w:p>
            <w:pPr>
              <w:spacing w:after="0"/>
              <w:rPr>
                <w:sz w:val="6"/>
                <w:szCs w:val="6"/>
                <w:color w:val="auto"/>
              </w:rPr>
            </w:pPr>
          </w:p>
        </w:tc>
        <w:tc>
          <w:tcPr>
            <w:tcW w:w="780" w:type="dxa"/>
            <w:vAlign w:val="bottom"/>
            <w:tcBorders>
              <w:bottom w:val="single" w:sz="8" w:color="0591DB"/>
              <w:right w:val="single" w:sz="8" w:color="0591DB"/>
            </w:tcBorders>
          </w:tcPr>
          <w:p>
            <w:pPr>
              <w:spacing w:after="0"/>
              <w:rPr>
                <w:sz w:val="6"/>
                <w:szCs w:val="6"/>
                <w:color w:val="auto"/>
              </w:rPr>
            </w:pPr>
          </w:p>
        </w:tc>
        <w:tc>
          <w:tcPr>
            <w:tcW w:w="980" w:type="dxa"/>
            <w:vAlign w:val="bottom"/>
            <w:tcBorders>
              <w:bottom w:val="single" w:sz="8" w:color="0591DB"/>
              <w:right w:val="single" w:sz="8" w:color="0591DB"/>
            </w:tcBorders>
          </w:tcPr>
          <w:p>
            <w:pPr>
              <w:spacing w:after="0"/>
              <w:rPr>
                <w:sz w:val="6"/>
                <w:szCs w:val="6"/>
                <w:color w:val="auto"/>
              </w:rPr>
            </w:pPr>
          </w:p>
        </w:tc>
        <w:tc>
          <w:tcPr>
            <w:tcW w:w="1000" w:type="dxa"/>
            <w:vAlign w:val="bottom"/>
            <w:tcBorders>
              <w:bottom w:val="single" w:sz="8" w:color="0591DB"/>
              <w:right w:val="single" w:sz="8" w:color="0591DB"/>
            </w:tcBorders>
          </w:tcPr>
          <w:p>
            <w:pPr>
              <w:spacing w:after="0"/>
              <w:rPr>
                <w:sz w:val="6"/>
                <w:szCs w:val="6"/>
                <w:color w:val="auto"/>
              </w:rPr>
            </w:pPr>
          </w:p>
        </w:tc>
        <w:tc>
          <w:tcPr>
            <w:tcW w:w="980" w:type="dxa"/>
            <w:vAlign w:val="bottom"/>
            <w:tcBorders>
              <w:bottom w:val="single" w:sz="8" w:color="0591DB"/>
              <w:right w:val="single" w:sz="8" w:color="0591DB"/>
            </w:tcBorders>
          </w:tcPr>
          <w:p>
            <w:pPr>
              <w:spacing w:after="0"/>
              <w:rPr>
                <w:sz w:val="6"/>
                <w:szCs w:val="6"/>
                <w:color w:val="auto"/>
              </w:rPr>
            </w:pPr>
          </w:p>
        </w:tc>
        <w:tc>
          <w:tcPr>
            <w:tcW w:w="1000" w:type="dxa"/>
            <w:vAlign w:val="bottom"/>
            <w:tcBorders>
              <w:bottom w:val="single" w:sz="8" w:color="0591DB"/>
              <w:right w:val="single" w:sz="8" w:color="0591DB"/>
            </w:tcBorders>
          </w:tcPr>
          <w:p>
            <w:pPr>
              <w:spacing w:after="0"/>
              <w:rPr>
                <w:sz w:val="6"/>
                <w:szCs w:val="6"/>
                <w:color w:val="auto"/>
              </w:rPr>
            </w:pPr>
          </w:p>
        </w:tc>
        <w:tc>
          <w:tcPr>
            <w:tcW w:w="96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r>
      <w:tr>
        <w:trPr>
          <w:trHeight w:val="181"/>
        </w:trPr>
        <w:tc>
          <w:tcPr>
            <w:tcW w:w="1880" w:type="dxa"/>
            <w:vAlign w:val="bottom"/>
            <w:tcBorders>
              <w:left w:val="single" w:sz="8" w:color="EFF2EF"/>
              <w:right w:val="single" w:sz="8" w:color="EFF2EF"/>
            </w:tcBorders>
            <w:shd w:val="clear" w:color="auto" w:fill="EFF2EF"/>
          </w:tcPr>
          <w:p>
            <w:pPr>
              <w:spacing w:after="0" w:line="180" w:lineRule="exact"/>
              <w:rPr>
                <w:sz w:val="20"/>
                <w:szCs w:val="20"/>
                <w:color w:val="auto"/>
              </w:rPr>
            </w:pPr>
            <w:r>
              <w:rPr>
                <w:rFonts w:ascii="Calibri" w:cs="Calibri" w:eastAsia="Calibri" w:hAnsi="Calibri"/>
                <w:sz w:val="15"/>
                <w:szCs w:val="15"/>
                <w:b w:val="1"/>
                <w:bCs w:val="1"/>
                <w:color w:val="0591DB"/>
              </w:rPr>
              <w:t> Holly Paul</w:t>
            </w: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5"/>
              <w:spacing w:after="0" w:line="180" w:lineRule="exact"/>
              <w:rPr>
                <w:sz w:val="20"/>
                <w:szCs w:val="20"/>
                <w:color w:val="auto"/>
              </w:rPr>
            </w:pPr>
            <w:r>
              <w:rPr>
                <w:rFonts w:ascii="Calibri" w:cs="Calibri" w:eastAsia="Calibri" w:hAnsi="Calibri"/>
                <w:sz w:val="13"/>
                <w:szCs w:val="13"/>
                <w:color w:val="333333"/>
              </w:rPr>
              <w:t xml:space="preserve">517 </w:t>
            </w:r>
            <w:r>
              <w:rPr>
                <w:rFonts w:ascii="Calibri" w:cs="Calibri" w:eastAsia="Calibri" w:hAnsi="Calibri"/>
                <w:sz w:val="19"/>
                <w:szCs w:val="19"/>
                <w:color w:val="333333"/>
                <w:vertAlign w:val="superscript"/>
              </w:rPr>
              <w:t>(4)</w:t>
            </w:r>
          </w:p>
        </w:tc>
        <w:tc>
          <w:tcPr>
            <w:tcW w:w="980" w:type="dxa"/>
            <w:vAlign w:val="bottom"/>
            <w:tcBorders>
              <w:right w:val="single" w:sz="8" w:color="EFF2EF"/>
            </w:tcBorders>
            <w:shd w:val="clear" w:color="auto" w:fill="EFF2EF"/>
          </w:tcPr>
          <w:p>
            <w:pPr>
              <w:jc w:val="center"/>
              <w:ind w:left="11"/>
              <w:spacing w:after="0" w:line="180" w:lineRule="exact"/>
              <w:rPr>
                <w:sz w:val="20"/>
                <w:szCs w:val="20"/>
                <w:color w:val="auto"/>
              </w:rPr>
            </w:pPr>
            <w:r>
              <w:rPr>
                <w:rFonts w:ascii="Calibri" w:cs="Calibri" w:eastAsia="Calibri" w:hAnsi="Calibri"/>
                <w:sz w:val="15"/>
                <w:szCs w:val="15"/>
                <w:color w:val="333333"/>
              </w:rPr>
              <w:t>88,319</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60" w:type="dxa"/>
            <w:vAlign w:val="bottom"/>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5"/>
                <w:szCs w:val="15"/>
                <w:color w:val="auto"/>
              </w:rPr>
            </w:pPr>
          </w:p>
        </w:tc>
      </w:tr>
      <w:tr>
        <w:trPr>
          <w:trHeight w:val="201"/>
        </w:trPr>
        <w:tc>
          <w:tcPr>
            <w:tcW w:w="1880" w:type="dxa"/>
            <w:vAlign w:val="bottom"/>
            <w:tcBorders>
              <w:left w:val="single" w:sz="8" w:color="EFF2EF"/>
              <w:right w:val="single" w:sz="8" w:color="EFF2EF"/>
            </w:tcBorders>
            <w:shd w:val="clear" w:color="auto" w:fill="EFF2EF"/>
          </w:tcPr>
          <w:p>
            <w:pPr>
              <w:spacing w:after="0"/>
              <w:rPr>
                <w:sz w:val="17"/>
                <w:szCs w:val="17"/>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5"/>
              <w:spacing w:after="0" w:line="200" w:lineRule="exact"/>
              <w:rPr>
                <w:sz w:val="20"/>
                <w:szCs w:val="20"/>
                <w:color w:val="auto"/>
              </w:rPr>
            </w:pPr>
            <w:r>
              <w:rPr>
                <w:rFonts w:ascii="Calibri" w:cs="Calibri" w:eastAsia="Calibri" w:hAnsi="Calibri"/>
                <w:sz w:val="15"/>
                <w:szCs w:val="15"/>
                <w:color w:val="333333"/>
                <w:w w:val="92"/>
              </w:rPr>
              <w:t xml:space="preserve">1,303 </w:t>
            </w:r>
            <w:r>
              <w:rPr>
                <w:rFonts w:ascii="Calibri" w:cs="Calibri" w:eastAsia="Calibri" w:hAnsi="Calibri"/>
                <w:sz w:val="21"/>
                <w:szCs w:val="21"/>
                <w:color w:val="333333"/>
                <w:w w:val="92"/>
                <w:vertAlign w:val="superscript"/>
              </w:rPr>
              <w:t>(10)</w:t>
            </w:r>
          </w:p>
        </w:tc>
        <w:tc>
          <w:tcPr>
            <w:tcW w:w="980" w:type="dxa"/>
            <w:vAlign w:val="bottom"/>
            <w:tcBorders>
              <w:right w:val="single" w:sz="8" w:color="EFF2EF"/>
            </w:tcBorders>
            <w:shd w:val="clear" w:color="auto" w:fill="EFF2EF"/>
          </w:tcPr>
          <w:p>
            <w:pPr>
              <w:jc w:val="center"/>
              <w:ind w:left="11"/>
              <w:spacing w:after="0" w:line="180" w:lineRule="exact"/>
              <w:rPr>
                <w:sz w:val="20"/>
                <w:szCs w:val="20"/>
                <w:color w:val="auto"/>
              </w:rPr>
            </w:pPr>
            <w:r>
              <w:rPr>
                <w:rFonts w:ascii="Calibri" w:cs="Calibri" w:eastAsia="Calibri" w:hAnsi="Calibri"/>
                <w:sz w:val="15"/>
                <w:szCs w:val="15"/>
                <w:color w:val="333333"/>
              </w:rPr>
              <w:t>222,591</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60" w:type="dxa"/>
            <w:vAlign w:val="bottom"/>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7"/>
                <w:szCs w:val="17"/>
                <w:color w:val="auto"/>
              </w:rPr>
            </w:pPr>
          </w:p>
        </w:tc>
      </w:tr>
      <w:tr>
        <w:trPr>
          <w:trHeight w:val="187"/>
        </w:trPr>
        <w:tc>
          <w:tcPr>
            <w:tcW w:w="188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5"/>
              <w:spacing w:after="0" w:line="188" w:lineRule="exact"/>
              <w:rPr>
                <w:sz w:val="20"/>
                <w:szCs w:val="20"/>
                <w:color w:val="auto"/>
              </w:rPr>
            </w:pPr>
            <w:r>
              <w:rPr>
                <w:rFonts w:ascii="Calibri" w:cs="Calibri" w:eastAsia="Calibri" w:hAnsi="Calibri"/>
                <w:sz w:val="14"/>
                <w:szCs w:val="14"/>
                <w:color w:val="333333"/>
              </w:rPr>
              <w:t xml:space="preserve">904 </w:t>
            </w:r>
            <w:r>
              <w:rPr>
                <w:rFonts w:ascii="Calibri" w:cs="Calibri" w:eastAsia="Calibri" w:hAnsi="Calibri"/>
                <w:sz w:val="20"/>
                <w:szCs w:val="20"/>
                <w:color w:val="333333"/>
                <w:vertAlign w:val="superscript"/>
              </w:rPr>
              <w:t>(7)</w:t>
            </w:r>
          </w:p>
        </w:tc>
        <w:tc>
          <w:tcPr>
            <w:tcW w:w="980" w:type="dxa"/>
            <w:vAlign w:val="bottom"/>
            <w:tcBorders>
              <w:right w:val="single" w:sz="8" w:color="EFF2EF"/>
            </w:tcBorders>
            <w:shd w:val="clear" w:color="auto" w:fill="EFF2EF"/>
          </w:tcPr>
          <w:p>
            <w:pPr>
              <w:jc w:val="center"/>
              <w:ind w:left="11"/>
              <w:spacing w:after="0" w:line="180" w:lineRule="exact"/>
              <w:rPr>
                <w:sz w:val="20"/>
                <w:szCs w:val="20"/>
                <w:color w:val="auto"/>
              </w:rPr>
            </w:pPr>
            <w:r>
              <w:rPr>
                <w:rFonts w:ascii="Calibri" w:cs="Calibri" w:eastAsia="Calibri" w:hAnsi="Calibri"/>
                <w:sz w:val="15"/>
                <w:szCs w:val="15"/>
                <w:color w:val="333333"/>
              </w:rPr>
              <w:t>154,430</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60" w:type="dxa"/>
            <w:vAlign w:val="bottom"/>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r>
      <w:tr>
        <w:trPr>
          <w:trHeight w:val="187"/>
        </w:trPr>
        <w:tc>
          <w:tcPr>
            <w:tcW w:w="188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11"/>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3"/>
              <w:spacing w:after="0" w:line="188" w:lineRule="exact"/>
              <w:rPr>
                <w:sz w:val="20"/>
                <w:szCs w:val="20"/>
                <w:color w:val="auto"/>
              </w:rPr>
            </w:pPr>
            <w:r>
              <w:rPr>
                <w:rFonts w:ascii="Calibri" w:cs="Calibri" w:eastAsia="Calibri" w:hAnsi="Calibri"/>
                <w:sz w:val="14"/>
                <w:szCs w:val="14"/>
                <w:color w:val="333333"/>
                <w:w w:val="98"/>
              </w:rPr>
              <w:t xml:space="preserve">2,047 </w:t>
            </w:r>
            <w:r>
              <w:rPr>
                <w:rFonts w:ascii="Calibri" w:cs="Calibri" w:eastAsia="Calibri" w:hAnsi="Calibri"/>
                <w:sz w:val="20"/>
                <w:szCs w:val="20"/>
                <w:color w:val="333333"/>
                <w:w w:val="98"/>
                <w:vertAlign w:val="superscript"/>
              </w:rPr>
              <w:t>(11)</w:t>
            </w:r>
          </w:p>
        </w:tc>
        <w:tc>
          <w:tcPr>
            <w:tcW w:w="960" w:type="dxa"/>
            <w:vAlign w:val="bottom"/>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349,689</w:t>
            </w:r>
          </w:p>
        </w:tc>
        <w:tc>
          <w:tcPr>
            <w:tcW w:w="20" w:type="dxa"/>
            <w:vAlign w:val="bottom"/>
          </w:tcPr>
          <w:p>
            <w:pPr>
              <w:spacing w:after="0"/>
              <w:rPr>
                <w:sz w:val="16"/>
                <w:szCs w:val="16"/>
                <w:color w:val="auto"/>
              </w:rPr>
            </w:pPr>
          </w:p>
        </w:tc>
      </w:tr>
      <w:tr>
        <w:trPr>
          <w:trHeight w:val="187"/>
        </w:trPr>
        <w:tc>
          <w:tcPr>
            <w:tcW w:w="188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88" w:lineRule="exact"/>
              <w:rPr>
                <w:sz w:val="20"/>
                <w:szCs w:val="20"/>
                <w:color w:val="auto"/>
              </w:rPr>
            </w:pPr>
            <w:r>
              <w:rPr>
                <w:rFonts w:ascii="Calibri" w:cs="Calibri" w:eastAsia="Calibri" w:hAnsi="Calibri"/>
                <w:sz w:val="14"/>
                <w:szCs w:val="14"/>
                <w:color w:val="333333"/>
              </w:rPr>
              <w:t xml:space="preserve">1,030 </w:t>
            </w:r>
            <w:r>
              <w:rPr>
                <w:rFonts w:ascii="Calibri" w:cs="Calibri" w:eastAsia="Calibri" w:hAnsi="Calibri"/>
                <w:sz w:val="20"/>
                <w:szCs w:val="20"/>
                <w:color w:val="333333"/>
                <w:vertAlign w:val="superscript"/>
              </w:rPr>
              <w:t>(9)</w:t>
            </w:r>
          </w:p>
        </w:tc>
        <w:tc>
          <w:tcPr>
            <w:tcW w:w="980" w:type="dxa"/>
            <w:vAlign w:val="bottom"/>
            <w:tcBorders>
              <w:right w:val="single" w:sz="8" w:color="EFF2EF"/>
            </w:tcBorders>
            <w:shd w:val="clear" w:color="auto" w:fill="EFF2EF"/>
          </w:tcPr>
          <w:p>
            <w:pPr>
              <w:jc w:val="center"/>
              <w:ind w:left="11"/>
              <w:spacing w:after="0" w:line="180" w:lineRule="exact"/>
              <w:rPr>
                <w:sz w:val="20"/>
                <w:szCs w:val="20"/>
                <w:color w:val="auto"/>
              </w:rPr>
            </w:pPr>
            <w:r>
              <w:rPr>
                <w:rFonts w:ascii="Calibri" w:cs="Calibri" w:eastAsia="Calibri" w:hAnsi="Calibri"/>
                <w:sz w:val="15"/>
                <w:szCs w:val="15"/>
                <w:color w:val="333333"/>
              </w:rPr>
              <w:t>175,955</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60" w:type="dxa"/>
            <w:vAlign w:val="bottom"/>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r>
      <w:tr>
        <w:trPr>
          <w:trHeight w:val="187"/>
        </w:trPr>
        <w:tc>
          <w:tcPr>
            <w:tcW w:w="1880" w:type="dxa"/>
            <w:vAlign w:val="bottom"/>
            <w:tcBorders>
              <w:left w:val="single" w:sz="8" w:color="EFF2EF"/>
              <w:right w:val="single" w:sz="8" w:color="EFF2EF"/>
            </w:tcBorders>
            <w:shd w:val="clear" w:color="auto" w:fill="EFF2EF"/>
          </w:tcPr>
          <w:p>
            <w:pPr>
              <w:spacing w:after="0"/>
              <w:rPr>
                <w:sz w:val="16"/>
                <w:szCs w:val="16"/>
                <w:color w:val="auto"/>
              </w:rPr>
            </w:pPr>
          </w:p>
        </w:tc>
        <w:tc>
          <w:tcPr>
            <w:tcW w:w="108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Borders>
              <w:right w:val="single" w:sz="8" w:color="EFF2EF"/>
            </w:tcBorders>
            <w:shd w:val="clear" w:color="auto" w:fill="EFF2EF"/>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Borders>
              <w:right w:val="single" w:sz="8" w:color="EFF2EF"/>
            </w:tcBorders>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Borders>
              <w:right w:val="single" w:sz="8" w:color="EFF2EF"/>
            </w:tcBorders>
            <w:shd w:val="clear" w:color="auto" w:fill="EFF2EF"/>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Borders>
              <w:right w:val="single" w:sz="8" w:color="EFF2EF"/>
            </w:tcBorders>
            <w:shd w:val="clear" w:color="auto" w:fill="EFF2EF"/>
          </w:tcPr>
          <w:p>
            <w:pPr>
              <w:jc w:val="center"/>
              <w:ind w:left="11"/>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Borders>
              <w:right w:val="single" w:sz="8" w:color="EFF2EF"/>
            </w:tcBorders>
            <w:shd w:val="clear" w:color="auto" w:fill="EFF2EF"/>
          </w:tcPr>
          <w:p>
            <w:pPr>
              <w:jc w:val="center"/>
              <w:ind w:left="13"/>
              <w:spacing w:after="0" w:line="188" w:lineRule="exact"/>
              <w:rPr>
                <w:sz w:val="20"/>
                <w:szCs w:val="20"/>
                <w:color w:val="auto"/>
              </w:rPr>
            </w:pPr>
            <w:r>
              <w:rPr>
                <w:rFonts w:ascii="Calibri" w:cs="Calibri" w:eastAsia="Calibri" w:hAnsi="Calibri"/>
                <w:sz w:val="14"/>
                <w:szCs w:val="14"/>
                <w:color w:val="333333"/>
                <w:w w:val="98"/>
              </w:rPr>
              <w:t xml:space="preserve">1,633 </w:t>
            </w:r>
            <w:r>
              <w:rPr>
                <w:rFonts w:ascii="Calibri" w:cs="Calibri" w:eastAsia="Calibri" w:hAnsi="Calibri"/>
                <w:sz w:val="20"/>
                <w:szCs w:val="20"/>
                <w:color w:val="333333"/>
                <w:w w:val="98"/>
                <w:vertAlign w:val="superscript"/>
              </w:rPr>
              <w:t>(12)</w:t>
            </w:r>
          </w:p>
        </w:tc>
        <w:tc>
          <w:tcPr>
            <w:tcW w:w="960" w:type="dxa"/>
            <w:vAlign w:val="bottom"/>
            <w:shd w:val="clear" w:color="auto" w:fill="EFF2EF"/>
          </w:tcPr>
          <w:p>
            <w:pPr>
              <w:jc w:val="center"/>
              <w:ind w:left="32"/>
              <w:spacing w:after="0" w:line="180" w:lineRule="exact"/>
              <w:rPr>
                <w:sz w:val="20"/>
                <w:szCs w:val="20"/>
                <w:color w:val="auto"/>
              </w:rPr>
            </w:pPr>
            <w:r>
              <w:rPr>
                <w:rFonts w:ascii="Calibri" w:cs="Calibri" w:eastAsia="Calibri" w:hAnsi="Calibri"/>
                <w:sz w:val="15"/>
                <w:szCs w:val="15"/>
                <w:color w:val="333333"/>
              </w:rPr>
              <w:t>278,965</w:t>
            </w:r>
          </w:p>
        </w:tc>
        <w:tc>
          <w:tcPr>
            <w:tcW w:w="20" w:type="dxa"/>
            <w:vAlign w:val="bottom"/>
          </w:tcPr>
          <w:p>
            <w:pPr>
              <w:spacing w:after="0"/>
              <w:rPr>
                <w:sz w:val="16"/>
                <w:szCs w:val="16"/>
                <w:color w:val="auto"/>
              </w:rPr>
            </w:pPr>
          </w:p>
        </w:tc>
      </w:tr>
      <w:tr>
        <w:trPr>
          <w:trHeight w:val="164"/>
        </w:trPr>
        <w:tc>
          <w:tcPr>
            <w:tcW w:w="1880" w:type="dxa"/>
            <w:vAlign w:val="bottom"/>
          </w:tcPr>
          <w:p>
            <w:pPr>
              <w:spacing w:after="0" w:line="164" w:lineRule="exact"/>
              <w:rPr>
                <w:sz w:val="20"/>
                <w:szCs w:val="20"/>
                <w:color w:val="auto"/>
              </w:rPr>
            </w:pPr>
            <w:r>
              <w:rPr>
                <w:rFonts w:ascii="Calibri" w:cs="Calibri" w:eastAsia="Calibri" w:hAnsi="Calibri"/>
                <w:sz w:val="15"/>
                <w:szCs w:val="15"/>
                <w:b w:val="1"/>
                <w:bCs w:val="1"/>
                <w:color w:val="0591DB"/>
              </w:rPr>
              <w:t> Brendan J. Keatng</w:t>
            </w:r>
          </w:p>
        </w:tc>
        <w:tc>
          <w:tcPr>
            <w:tcW w:w="1080" w:type="dxa"/>
            <w:vAlign w:val="bottom"/>
          </w:tcPr>
          <w:p>
            <w:pPr>
              <w:jc w:val="center"/>
              <w:spacing w:after="0" w:line="164"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10"/>
              <w:spacing w:after="0" w:line="164"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32"/>
              <w:spacing w:after="0" w:line="164"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9"/>
              <w:spacing w:after="0" w:line="164"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64"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5"/>
              <w:spacing w:after="0" w:line="164" w:lineRule="exact"/>
              <w:rPr>
                <w:sz w:val="20"/>
                <w:szCs w:val="20"/>
                <w:color w:val="auto"/>
              </w:rPr>
            </w:pPr>
            <w:r>
              <w:rPr>
                <w:rFonts w:ascii="Calibri" w:cs="Calibri" w:eastAsia="Calibri" w:hAnsi="Calibri"/>
                <w:sz w:val="17"/>
                <w:szCs w:val="17"/>
                <w:color w:val="333333"/>
                <w:vertAlign w:val="subscript"/>
              </w:rPr>
              <w:t>60</w:t>
            </w:r>
            <w:r>
              <w:rPr>
                <w:rFonts w:ascii="Calibri" w:cs="Calibri" w:eastAsia="Calibri" w:hAnsi="Calibri"/>
                <w:sz w:val="8"/>
                <w:szCs w:val="8"/>
                <w:color w:val="333333"/>
              </w:rPr>
              <w:t xml:space="preserve"> (14)</w:t>
            </w:r>
          </w:p>
        </w:tc>
        <w:tc>
          <w:tcPr>
            <w:tcW w:w="980" w:type="dxa"/>
            <w:vAlign w:val="bottom"/>
          </w:tcPr>
          <w:p>
            <w:pPr>
              <w:jc w:val="center"/>
              <w:ind w:left="11"/>
              <w:spacing w:after="0" w:line="164" w:lineRule="exact"/>
              <w:rPr>
                <w:sz w:val="20"/>
                <w:szCs w:val="20"/>
                <w:color w:val="auto"/>
              </w:rPr>
            </w:pPr>
            <w:r>
              <w:rPr>
                <w:rFonts w:ascii="Calibri" w:cs="Calibri" w:eastAsia="Calibri" w:hAnsi="Calibri"/>
                <w:sz w:val="15"/>
                <w:szCs w:val="15"/>
                <w:color w:val="333333"/>
              </w:rPr>
              <w:t>10,250</w:t>
            </w:r>
          </w:p>
        </w:tc>
        <w:tc>
          <w:tcPr>
            <w:tcW w:w="1000" w:type="dxa"/>
            <w:vAlign w:val="bottom"/>
          </w:tcPr>
          <w:p>
            <w:pPr>
              <w:jc w:val="center"/>
              <w:spacing w:after="0" w:line="164" w:lineRule="exact"/>
              <w:rPr>
                <w:sz w:val="20"/>
                <w:szCs w:val="20"/>
                <w:color w:val="auto"/>
              </w:rPr>
            </w:pPr>
            <w:r>
              <w:rPr>
                <w:rFonts w:ascii="Calibri" w:cs="Calibri" w:eastAsia="Calibri" w:hAnsi="Calibri"/>
                <w:sz w:val="15"/>
                <w:szCs w:val="15"/>
                <w:color w:val="333333"/>
              </w:rPr>
              <w:t>—</w:t>
            </w:r>
          </w:p>
        </w:tc>
        <w:tc>
          <w:tcPr>
            <w:tcW w:w="960" w:type="dxa"/>
            <w:vAlign w:val="bottom"/>
          </w:tcPr>
          <w:p>
            <w:pPr>
              <w:jc w:val="center"/>
              <w:ind w:left="32"/>
              <w:spacing w:after="0" w:line="164"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4"/>
                <w:szCs w:val="14"/>
                <w:color w:val="auto"/>
              </w:rPr>
            </w:pPr>
          </w:p>
        </w:tc>
      </w:tr>
      <w:tr>
        <w:trPr>
          <w:trHeight w:val="187"/>
        </w:trPr>
        <w:tc>
          <w:tcPr>
            <w:tcW w:w="188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5"/>
              <w:spacing w:after="0" w:line="188" w:lineRule="exact"/>
              <w:rPr>
                <w:sz w:val="20"/>
                <w:szCs w:val="20"/>
                <w:color w:val="auto"/>
              </w:rPr>
            </w:pPr>
            <w:r>
              <w:rPr>
                <w:rFonts w:ascii="Calibri" w:cs="Calibri" w:eastAsia="Calibri" w:hAnsi="Calibri"/>
                <w:sz w:val="14"/>
                <w:szCs w:val="14"/>
                <w:color w:val="333333"/>
                <w:w w:val="98"/>
              </w:rPr>
              <w:t xml:space="preserve">2,324 </w:t>
            </w:r>
            <w:r>
              <w:rPr>
                <w:rFonts w:ascii="Calibri" w:cs="Calibri" w:eastAsia="Calibri" w:hAnsi="Calibri"/>
                <w:sz w:val="20"/>
                <w:szCs w:val="20"/>
                <w:color w:val="333333"/>
                <w:w w:val="98"/>
                <w:vertAlign w:val="superscript"/>
              </w:rPr>
              <w:t>(15)</w:t>
            </w:r>
          </w:p>
        </w:tc>
        <w:tc>
          <w:tcPr>
            <w:tcW w:w="980" w:type="dxa"/>
            <w:vAlign w:val="bottom"/>
          </w:tcPr>
          <w:p>
            <w:pPr>
              <w:jc w:val="center"/>
              <w:ind w:left="11"/>
              <w:spacing w:after="0" w:line="180" w:lineRule="exact"/>
              <w:rPr>
                <w:sz w:val="20"/>
                <w:szCs w:val="20"/>
                <w:color w:val="auto"/>
              </w:rPr>
            </w:pPr>
            <w:r>
              <w:rPr>
                <w:rFonts w:ascii="Calibri" w:cs="Calibri" w:eastAsia="Calibri" w:hAnsi="Calibri"/>
                <w:sz w:val="15"/>
                <w:szCs w:val="15"/>
                <w:color w:val="333333"/>
              </w:rPr>
              <w:t>397,009</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60" w:type="dxa"/>
            <w:vAlign w:val="bottom"/>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r>
      <w:tr>
        <w:trPr>
          <w:trHeight w:val="187"/>
        </w:trPr>
        <w:tc>
          <w:tcPr>
            <w:tcW w:w="1880" w:type="dxa"/>
            <w:vAlign w:val="bottom"/>
          </w:tcPr>
          <w:p>
            <w:pPr>
              <w:spacing w:after="0"/>
              <w:rPr>
                <w:sz w:val="16"/>
                <w:szCs w:val="16"/>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5"/>
              <w:spacing w:after="0" w:line="188" w:lineRule="exact"/>
              <w:rPr>
                <w:sz w:val="20"/>
                <w:szCs w:val="20"/>
                <w:color w:val="auto"/>
              </w:rPr>
            </w:pPr>
            <w:r>
              <w:rPr>
                <w:rFonts w:ascii="Calibri" w:cs="Calibri" w:eastAsia="Calibri" w:hAnsi="Calibri"/>
                <w:sz w:val="20"/>
                <w:szCs w:val="20"/>
                <w:color w:val="333333"/>
                <w:vertAlign w:val="subscript"/>
              </w:rPr>
              <w:t>147</w:t>
            </w:r>
            <w:r>
              <w:rPr>
                <w:rFonts w:ascii="Calibri" w:cs="Calibri" w:eastAsia="Calibri" w:hAnsi="Calibri"/>
                <w:sz w:val="9"/>
                <w:szCs w:val="9"/>
                <w:color w:val="333333"/>
              </w:rPr>
              <w:t xml:space="preserve"> (16)</w:t>
            </w:r>
          </w:p>
        </w:tc>
        <w:tc>
          <w:tcPr>
            <w:tcW w:w="980" w:type="dxa"/>
            <w:vAlign w:val="bottom"/>
          </w:tcPr>
          <w:p>
            <w:pPr>
              <w:jc w:val="center"/>
              <w:ind w:left="11"/>
              <w:spacing w:after="0" w:line="180" w:lineRule="exact"/>
              <w:rPr>
                <w:sz w:val="20"/>
                <w:szCs w:val="20"/>
                <w:color w:val="auto"/>
              </w:rPr>
            </w:pPr>
            <w:r>
              <w:rPr>
                <w:rFonts w:ascii="Calibri" w:cs="Calibri" w:eastAsia="Calibri" w:hAnsi="Calibri"/>
                <w:sz w:val="15"/>
                <w:szCs w:val="15"/>
                <w:color w:val="333333"/>
              </w:rPr>
              <w:t>25,112</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60" w:type="dxa"/>
            <w:vAlign w:val="bottom"/>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20" w:type="dxa"/>
            <w:vAlign w:val="bottom"/>
          </w:tcPr>
          <w:p>
            <w:pPr>
              <w:spacing w:after="0"/>
              <w:rPr>
                <w:sz w:val="16"/>
                <w:szCs w:val="16"/>
                <w:color w:val="auto"/>
              </w:rPr>
            </w:pPr>
          </w:p>
        </w:tc>
      </w:tr>
      <w:tr>
        <w:trPr>
          <w:trHeight w:val="350"/>
        </w:trPr>
        <w:tc>
          <w:tcPr>
            <w:tcW w:w="1880" w:type="dxa"/>
            <w:vAlign w:val="bottom"/>
          </w:tcPr>
          <w:p>
            <w:pPr>
              <w:spacing w:after="0"/>
              <w:rPr>
                <w:sz w:val="24"/>
                <w:szCs w:val="24"/>
                <w:color w:val="auto"/>
              </w:rPr>
            </w:pPr>
          </w:p>
        </w:tc>
        <w:tc>
          <w:tcPr>
            <w:tcW w:w="108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1180" w:type="dxa"/>
            <w:vAlign w:val="bottom"/>
          </w:tcPr>
          <w:p>
            <w:pPr>
              <w:jc w:val="center"/>
              <w:ind w:left="10"/>
              <w:spacing w:after="0" w:line="180" w:lineRule="exact"/>
              <w:rPr>
                <w:sz w:val="20"/>
                <w:szCs w:val="20"/>
                <w:color w:val="auto"/>
              </w:rPr>
            </w:pPr>
            <w:r>
              <w:rPr>
                <w:rFonts w:ascii="Calibri" w:cs="Calibri" w:eastAsia="Calibri" w:hAnsi="Calibri"/>
                <w:sz w:val="15"/>
                <w:szCs w:val="15"/>
                <w:color w:val="333333"/>
              </w:rPr>
              <w:t>—</w:t>
            </w:r>
          </w:p>
        </w:tc>
        <w:tc>
          <w:tcPr>
            <w:tcW w:w="1080" w:type="dxa"/>
            <w:vAlign w:val="bottom"/>
          </w:tcPr>
          <w:p>
            <w:pPr>
              <w:jc w:val="center"/>
              <w:ind w:left="32"/>
              <w:spacing w:after="0" w:line="180" w:lineRule="exact"/>
              <w:rPr>
                <w:sz w:val="20"/>
                <w:szCs w:val="20"/>
                <w:color w:val="auto"/>
              </w:rPr>
            </w:pPr>
            <w:r>
              <w:rPr>
                <w:rFonts w:ascii="Calibri" w:cs="Calibri" w:eastAsia="Calibri" w:hAnsi="Calibri"/>
                <w:sz w:val="15"/>
                <w:szCs w:val="15"/>
                <w:color w:val="333333"/>
              </w:rPr>
              <w:t>—</w:t>
            </w:r>
          </w:p>
        </w:tc>
        <w:tc>
          <w:tcPr>
            <w:tcW w:w="780" w:type="dxa"/>
            <w:vAlign w:val="bottom"/>
          </w:tcPr>
          <w:p>
            <w:pPr>
              <w:jc w:val="center"/>
              <w:ind w:left="9"/>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8"/>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333333"/>
              </w:rPr>
              <w:t>—</w:t>
            </w:r>
          </w:p>
        </w:tc>
        <w:tc>
          <w:tcPr>
            <w:tcW w:w="980" w:type="dxa"/>
            <w:vAlign w:val="bottom"/>
          </w:tcPr>
          <w:p>
            <w:pPr>
              <w:jc w:val="center"/>
              <w:ind w:left="11"/>
              <w:spacing w:after="0" w:line="180" w:lineRule="exact"/>
              <w:rPr>
                <w:sz w:val="20"/>
                <w:szCs w:val="20"/>
                <w:color w:val="auto"/>
              </w:rPr>
            </w:pPr>
            <w:r>
              <w:rPr>
                <w:rFonts w:ascii="Calibri" w:cs="Calibri" w:eastAsia="Calibri" w:hAnsi="Calibri"/>
                <w:sz w:val="15"/>
                <w:szCs w:val="15"/>
                <w:color w:val="333333"/>
              </w:rPr>
              <w:t>—</w:t>
            </w:r>
          </w:p>
        </w:tc>
        <w:tc>
          <w:tcPr>
            <w:tcW w:w="1000" w:type="dxa"/>
            <w:vAlign w:val="bottom"/>
          </w:tcPr>
          <w:p>
            <w:pPr>
              <w:jc w:val="center"/>
              <w:ind w:left="13"/>
              <w:spacing w:after="0" w:line="350" w:lineRule="exact"/>
              <w:rPr>
                <w:sz w:val="20"/>
                <w:szCs w:val="20"/>
                <w:color w:val="auto"/>
              </w:rPr>
            </w:pPr>
            <w:r>
              <w:rPr>
                <w:rFonts w:ascii="Calibri" w:cs="Calibri" w:eastAsia="Calibri" w:hAnsi="Calibri"/>
                <w:sz w:val="30"/>
                <w:szCs w:val="30"/>
                <w:color w:val="333333"/>
                <w:w w:val="86"/>
                <w:vertAlign w:val="subscript"/>
              </w:rPr>
              <w:t>168</w:t>
            </w:r>
            <w:r>
              <w:rPr>
                <w:rFonts w:ascii="Calibri" w:cs="Calibri" w:eastAsia="Calibri" w:hAnsi="Calibri"/>
                <w:sz w:val="11"/>
                <w:szCs w:val="11"/>
                <w:color w:val="333333"/>
                <w:w w:val="86"/>
              </w:rPr>
              <w:t xml:space="preserve"> (17)</w:t>
            </w:r>
          </w:p>
        </w:tc>
        <w:tc>
          <w:tcPr>
            <w:tcW w:w="960" w:type="dxa"/>
            <w:vAlign w:val="bottom"/>
          </w:tcPr>
          <w:p>
            <w:pPr>
              <w:jc w:val="center"/>
              <w:ind w:left="32"/>
              <w:spacing w:after="0" w:line="180" w:lineRule="exact"/>
              <w:rPr>
                <w:sz w:val="20"/>
                <w:szCs w:val="20"/>
                <w:color w:val="auto"/>
              </w:rPr>
            </w:pPr>
            <w:r>
              <w:rPr>
                <w:rFonts w:ascii="Calibri" w:cs="Calibri" w:eastAsia="Calibri" w:hAnsi="Calibri"/>
                <w:sz w:val="15"/>
                <w:szCs w:val="15"/>
                <w:color w:val="333333"/>
              </w:rPr>
              <w:t>28,699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14522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ind w:left="600" w:right="380" w:hanging="433"/>
        <w:spacing w:after="0" w:line="233" w:lineRule="auto"/>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All cash values in Columns (g) and (i) have been computed by multplying $170.83 (the closing price per share of Common Stock reported by the NYSE for December 31, 2025) by the number of RSAs or RSUs that have not yet vested.</w:t>
      </w:r>
    </w:p>
    <w:p>
      <w:pPr>
        <w:spacing w:after="0" w:line="118" w:lineRule="exact"/>
        <w:rPr>
          <w:rFonts w:ascii="Calibri" w:cs="Calibri" w:eastAsia="Calibri" w:hAnsi="Calibri"/>
          <w:sz w:val="13"/>
          <w:szCs w:val="13"/>
          <w:color w:val="333333"/>
        </w:rPr>
      </w:pPr>
    </w:p>
    <w:p>
      <w:pPr>
        <w:ind w:left="600" w:right="140" w:hanging="433"/>
        <w:spacing w:after="0" w:line="233" w:lineRule="auto"/>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opton shares that may be acquired upon exercise of the vested and exercisable stock optons granted on March 6, 2017, which became fully vested and exercisable as of March 6, 2020.</w:t>
      </w:r>
    </w:p>
    <w:p>
      <w:pPr>
        <w:spacing w:after="0" w:line="114" w:lineRule="exact"/>
        <w:rPr>
          <w:rFonts w:ascii="Calibri" w:cs="Calibri" w:eastAsia="Calibri" w:hAnsi="Calibri"/>
          <w:sz w:val="13"/>
          <w:szCs w:val="13"/>
          <w:color w:val="333333"/>
        </w:rPr>
      </w:pPr>
    </w:p>
    <w:p>
      <w:pPr>
        <w:ind w:left="600" w:hanging="433"/>
        <w:spacing w:after="0"/>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RSUs granted on March 8, 2023, which became fully vested on March 8, 2026.</w:t>
      </w:r>
    </w:p>
    <w:p>
      <w:pPr>
        <w:spacing w:after="0" w:line="117" w:lineRule="exact"/>
        <w:rPr>
          <w:rFonts w:ascii="Calibri" w:cs="Calibri" w:eastAsia="Calibri" w:hAnsi="Calibri"/>
          <w:sz w:val="13"/>
          <w:szCs w:val="13"/>
          <w:color w:val="333333"/>
        </w:rPr>
      </w:pPr>
    </w:p>
    <w:p>
      <w:pPr>
        <w:ind w:left="600" w:right="140" w:hanging="433"/>
        <w:spacing w:after="0" w:line="233" w:lineRule="auto"/>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RSAs granted on March 8, 2023, which vested one-third annually on the anniversary of the award and became fully vested on March 8, 2026.</w:t>
      </w:r>
    </w:p>
    <w:p>
      <w:pPr>
        <w:spacing w:after="0" w:line="114" w:lineRule="exact"/>
        <w:rPr>
          <w:rFonts w:ascii="Calibri" w:cs="Calibri" w:eastAsia="Calibri" w:hAnsi="Calibri"/>
          <w:sz w:val="13"/>
          <w:szCs w:val="13"/>
          <w:color w:val="333333"/>
        </w:rPr>
      </w:pPr>
    </w:p>
    <w:p>
      <w:pPr>
        <w:ind w:left="600" w:hanging="433"/>
        <w:spacing w:after="0"/>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RSAs granted on March 5, 2025, which became fully vested on March 5, 2026.</w:t>
      </w:r>
    </w:p>
    <w:p>
      <w:pPr>
        <w:spacing w:after="0" w:line="113" w:lineRule="exact"/>
        <w:rPr>
          <w:rFonts w:ascii="Calibri" w:cs="Calibri" w:eastAsia="Calibri" w:hAnsi="Calibri"/>
          <w:sz w:val="13"/>
          <w:szCs w:val="13"/>
          <w:color w:val="333333"/>
        </w:rPr>
      </w:pPr>
    </w:p>
    <w:p>
      <w:pPr>
        <w:ind w:left="600" w:hanging="433"/>
        <w:spacing w:after="0"/>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RSUs granted on March 6, 2024, which vest ratably over three years on the anniversary of the award.</w:t>
      </w:r>
    </w:p>
    <w:p>
      <w:pPr>
        <w:spacing w:after="0" w:line="113" w:lineRule="exact"/>
        <w:rPr>
          <w:rFonts w:ascii="Calibri" w:cs="Calibri" w:eastAsia="Calibri" w:hAnsi="Calibri"/>
          <w:sz w:val="13"/>
          <w:szCs w:val="13"/>
          <w:color w:val="333333"/>
        </w:rPr>
      </w:pPr>
    </w:p>
    <w:p>
      <w:pPr>
        <w:ind w:left="600" w:hanging="433"/>
        <w:spacing w:after="0"/>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RSAs granted on March 6, 2024, which vest ratably over three years on the anniversary of the award.</w:t>
      </w:r>
    </w:p>
    <w:p>
      <w:pPr>
        <w:spacing w:after="0" w:line="113" w:lineRule="exact"/>
        <w:rPr>
          <w:rFonts w:ascii="Calibri" w:cs="Calibri" w:eastAsia="Calibri" w:hAnsi="Calibri"/>
          <w:sz w:val="13"/>
          <w:szCs w:val="13"/>
          <w:color w:val="333333"/>
        </w:rPr>
      </w:pPr>
    </w:p>
    <w:p>
      <w:pPr>
        <w:ind w:left="600" w:hanging="433"/>
        <w:spacing w:after="0"/>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RSUs granted on March 5, 2025, which vest ratably over three years on the anniversary of the award.</w:t>
      </w:r>
    </w:p>
    <w:p>
      <w:pPr>
        <w:spacing w:after="0" w:line="113" w:lineRule="exact"/>
        <w:rPr>
          <w:rFonts w:ascii="Calibri" w:cs="Calibri" w:eastAsia="Calibri" w:hAnsi="Calibri"/>
          <w:sz w:val="13"/>
          <w:szCs w:val="13"/>
          <w:color w:val="333333"/>
        </w:rPr>
      </w:pPr>
    </w:p>
    <w:p>
      <w:pPr>
        <w:ind w:left="600" w:hanging="433"/>
        <w:spacing w:after="0"/>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RSAs granted on March 5, 2025, which vest ratable over three years on the anniversary of the award.</w:t>
      </w:r>
    </w:p>
    <w:p>
      <w:pPr>
        <w:spacing w:after="0" w:line="117" w:lineRule="exact"/>
        <w:rPr>
          <w:rFonts w:ascii="Calibri" w:cs="Calibri" w:eastAsia="Calibri" w:hAnsi="Calibri"/>
          <w:sz w:val="13"/>
          <w:szCs w:val="13"/>
          <w:color w:val="333333"/>
        </w:rPr>
      </w:pPr>
    </w:p>
    <w:p>
      <w:pPr>
        <w:ind w:left="600" w:right="360" w:hanging="433"/>
        <w:spacing w:after="0" w:line="233" w:lineRule="auto"/>
        <w:tabs>
          <w:tab w:leader="none" w:pos="600" w:val="left"/>
        </w:tabs>
        <w:numPr>
          <w:ilvl w:val="0"/>
          <w:numId w:val="106"/>
        </w:numPr>
        <w:rPr>
          <w:rFonts w:ascii="Calibri" w:cs="Calibri" w:eastAsia="Calibri" w:hAnsi="Calibri"/>
          <w:sz w:val="13"/>
          <w:szCs w:val="13"/>
          <w:color w:val="333333"/>
        </w:rPr>
      </w:pPr>
      <w:r>
        <w:rPr>
          <w:rFonts w:ascii="Calibri" w:cs="Calibri" w:eastAsia="Calibri" w:hAnsi="Calibri"/>
          <w:sz w:val="17"/>
          <w:szCs w:val="17"/>
          <w:color w:val="333333"/>
        </w:rPr>
        <w:t>Represents the target number of unearned Performance RSUs granted on March 8, 2023, which are subject to performance conditons based on Relatve TSR for the three-year performance measurement period beginning</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91</w:t>
      </w:r>
    </w:p>
    <w:p>
      <w:pPr>
        <w:sectPr>
          <w:pgSz w:w="11900" w:h="16838" w:orient="portrait"/>
          <w:cols w:equalWidth="0" w:num="1">
            <w:col w:w="11100"/>
          </w:cols>
          <w:pgMar w:left="320" w:top="478"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600"/>
        <w:spacing w:after="0"/>
        <w:rPr>
          <w:sz w:val="20"/>
          <w:szCs w:val="20"/>
          <w:color w:val="auto"/>
        </w:rPr>
      </w:pPr>
      <w:r>
        <w:rPr>
          <w:rFonts w:ascii="Calibri" w:cs="Calibri" w:eastAsia="Calibri" w:hAnsi="Calibri"/>
          <w:sz w:val="17"/>
          <w:szCs w:val="17"/>
          <w:color w:val="333333"/>
        </w:rPr>
        <w:t>January 1, 2023 and ended December 31, 2025. The following table sets forth the number of shares of Common Stock on account of the</w:t>
      </w:r>
    </w:p>
    <w:p>
      <w:pPr>
        <w:ind w:left="600"/>
        <w:spacing w:after="0" w:line="232" w:lineRule="auto"/>
        <w:rPr>
          <w:sz w:val="20"/>
          <w:szCs w:val="20"/>
          <w:color w:val="auto"/>
        </w:rPr>
      </w:pPr>
      <w:r>
        <w:rPr>
          <w:rFonts w:ascii="Calibri" w:cs="Calibri" w:eastAsia="Calibri" w:hAnsi="Calibri"/>
          <w:sz w:val="17"/>
          <w:szCs w:val="17"/>
          <w:color w:val="333333"/>
        </w:rPr>
        <w:t>Performance RSUs that were issued to Mr. Gunby, Mr. Linton, Mr. Lu and Ms. Paul on February 23, 2026:</w:t>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20" w:type="dxa"/>
            <w:vAlign w:val="bottom"/>
            <w:tcBorders>
              <w:top w:val="single" w:sz="8" w:color="0591DB"/>
              <w:left w:val="single" w:sz="8" w:color="0591DB"/>
              <w:right w:val="single" w:sz="8" w:color="0591DB"/>
            </w:tcBorders>
          </w:tcPr>
          <w:p>
            <w:pPr>
              <w:spacing w:after="0"/>
              <w:rPr>
                <w:sz w:val="19"/>
                <w:szCs w:val="19"/>
                <w:color w:val="auto"/>
              </w:rPr>
            </w:pPr>
          </w:p>
        </w:tc>
        <w:tc>
          <w:tcPr>
            <w:tcW w:w="6480" w:type="dxa"/>
            <w:vAlign w:val="bottom"/>
            <w:tcBorders>
              <w:top w:val="single" w:sz="8" w:color="0591DB"/>
            </w:tcBorders>
          </w:tcPr>
          <w:p>
            <w:pPr>
              <w:jc w:val="center"/>
              <w:ind w:left="190"/>
              <w:spacing w:after="0" w:line="229" w:lineRule="exact"/>
              <w:rPr>
                <w:sz w:val="20"/>
                <w:szCs w:val="20"/>
                <w:color w:val="auto"/>
              </w:rPr>
            </w:pPr>
            <w:r>
              <w:rPr>
                <w:rFonts w:ascii="Calibri" w:cs="Calibri" w:eastAsia="Calibri" w:hAnsi="Calibri"/>
                <w:sz w:val="20"/>
                <w:szCs w:val="20"/>
                <w:b w:val="1"/>
                <w:bCs w:val="1"/>
                <w:color w:val="0591DB"/>
                <w:w w:val="99"/>
              </w:rPr>
              <w:t>SHARES OF COMMON STOCK ISSUED ON</w:t>
            </w: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20" w:type="dxa"/>
            <w:vAlign w:val="bottom"/>
            <w:tcBorders>
              <w:left w:val="single" w:sz="8" w:color="0591DB"/>
              <w:right w:val="single" w:sz="8" w:color="0591DB"/>
            </w:tcBorders>
          </w:tcPr>
          <w:p>
            <w:pPr>
              <w:spacing w:after="0"/>
              <w:rPr>
                <w:sz w:val="20"/>
                <w:szCs w:val="20"/>
                <w:color w:val="auto"/>
              </w:rPr>
            </w:pPr>
          </w:p>
        </w:tc>
        <w:tc>
          <w:tcPr>
            <w:tcW w:w="6480" w:type="dxa"/>
            <w:vAlign w:val="bottom"/>
          </w:tcPr>
          <w:p>
            <w:pPr>
              <w:jc w:val="center"/>
              <w:ind w:left="170"/>
              <w:spacing w:after="0" w:line="233" w:lineRule="exact"/>
              <w:rPr>
                <w:sz w:val="20"/>
                <w:szCs w:val="20"/>
                <w:color w:val="auto"/>
              </w:rPr>
            </w:pPr>
            <w:r>
              <w:rPr>
                <w:rFonts w:ascii="Calibri" w:cs="Calibri" w:eastAsia="Calibri" w:hAnsi="Calibri"/>
                <w:sz w:val="20"/>
                <w:szCs w:val="20"/>
                <w:b w:val="1"/>
                <w:bCs w:val="1"/>
                <w:color w:val="0591DB"/>
                <w:w w:val="99"/>
              </w:rPr>
              <w:t>ACCOUNT OF PERFORMANCE RSUS AWARDED</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Borders>
              <w:left w:val="single" w:sz="8" w:color="0591DB"/>
              <w:right w:val="single" w:sz="8" w:color="0591DB"/>
            </w:tcBorders>
          </w:tcPr>
          <w:p>
            <w:pPr>
              <w:ind w:left="140"/>
              <w:spacing w:after="0" w:line="241" w:lineRule="exact"/>
              <w:rPr>
                <w:sz w:val="20"/>
                <w:szCs w:val="20"/>
                <w:color w:val="auto"/>
              </w:rPr>
            </w:pPr>
            <w:r>
              <w:rPr>
                <w:rFonts w:ascii="Calibri" w:cs="Calibri" w:eastAsia="Calibri" w:hAnsi="Calibri"/>
                <w:sz w:val="20"/>
                <w:szCs w:val="20"/>
                <w:b w:val="1"/>
                <w:bCs w:val="1"/>
                <w:color w:val="0591DB"/>
              </w:rPr>
              <w:t> NAME</w:t>
            </w:r>
          </w:p>
        </w:tc>
        <w:tc>
          <w:tcPr>
            <w:tcW w:w="6480" w:type="dxa"/>
            <w:vAlign w:val="bottom"/>
          </w:tcPr>
          <w:p>
            <w:pPr>
              <w:jc w:val="center"/>
              <w:ind w:left="190"/>
              <w:spacing w:after="0" w:line="241" w:lineRule="exact"/>
              <w:rPr>
                <w:sz w:val="20"/>
                <w:szCs w:val="20"/>
                <w:color w:val="auto"/>
              </w:rPr>
            </w:pPr>
            <w:r>
              <w:rPr>
                <w:rFonts w:ascii="Calibri" w:cs="Calibri" w:eastAsia="Calibri" w:hAnsi="Calibri"/>
                <w:sz w:val="20"/>
                <w:szCs w:val="20"/>
                <w:b w:val="1"/>
                <w:bCs w:val="1"/>
                <w:color w:val="0591DB"/>
                <w:w w:val="99"/>
              </w:rPr>
              <w:t>ON ACCOUNT OF 2023 LTIP</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20" w:type="dxa"/>
            <w:vAlign w:val="bottom"/>
            <w:tcBorders>
              <w:left w:val="single" w:sz="8" w:color="0591DB"/>
              <w:bottom w:val="single" w:sz="8" w:color="0591DB"/>
              <w:right w:val="single" w:sz="8" w:color="0591DB"/>
            </w:tcBorders>
          </w:tcPr>
          <w:p>
            <w:pPr>
              <w:spacing w:after="0"/>
              <w:rPr>
                <w:sz w:val="8"/>
                <w:szCs w:val="8"/>
                <w:color w:val="auto"/>
              </w:rPr>
            </w:pPr>
          </w:p>
        </w:tc>
        <w:tc>
          <w:tcPr>
            <w:tcW w:w="648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20" w:type="dxa"/>
            <w:vAlign w:val="bottom"/>
          </w:tcPr>
          <w:p>
            <w:pPr>
              <w:spacing w:after="0" w:line="197"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Steven H. Gunby</w:t>
            </w:r>
          </w:p>
        </w:tc>
        <w:tc>
          <w:tcPr>
            <w:tcW w:w="6480" w:type="dxa"/>
            <w:vAlign w:val="bottom"/>
          </w:tcPr>
          <w:p>
            <w:pPr>
              <w:jc w:val="center"/>
              <w:ind w:left="210"/>
              <w:spacing w:after="0" w:line="197" w:lineRule="exact"/>
              <w:rPr>
                <w:sz w:val="20"/>
                <w:szCs w:val="20"/>
                <w:color w:val="auto"/>
              </w:rPr>
            </w:pPr>
            <w:r>
              <w:rPr>
                <w:rFonts w:ascii="Calibri" w:cs="Calibri" w:eastAsia="Calibri" w:hAnsi="Calibri"/>
                <w:sz w:val="17"/>
                <w:szCs w:val="17"/>
                <w:color w:val="333333"/>
              </w:rPr>
              <w:t>12,197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Paul Linton</w:t>
            </w:r>
          </w:p>
        </w:tc>
        <w:tc>
          <w:tcPr>
            <w:tcW w:w="6480" w:type="dxa"/>
            <w:vAlign w:val="bottom"/>
            <w:shd w:val="clear" w:color="auto" w:fill="EFF2EF"/>
          </w:tcPr>
          <w:p>
            <w:pPr>
              <w:jc w:val="center"/>
              <w:ind w:left="210"/>
              <w:spacing w:after="0" w:line="203" w:lineRule="exact"/>
              <w:rPr>
                <w:sz w:val="20"/>
                <w:szCs w:val="20"/>
                <w:color w:val="auto"/>
              </w:rPr>
            </w:pPr>
            <w:r>
              <w:rPr>
                <w:rFonts w:ascii="Calibri" w:cs="Calibri" w:eastAsia="Calibri" w:hAnsi="Calibri"/>
                <w:sz w:val="17"/>
                <w:szCs w:val="17"/>
                <w:color w:val="333333"/>
                <w:w w:val="97"/>
              </w:rPr>
              <w:t>1,303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Borders>
              <w:left w:val="single" w:sz="8" w:color="EFF2EF"/>
              <w:right w:val="single" w:sz="8" w:color="EFF2EF"/>
            </w:tcBorders>
            <w:shd w:val="clear" w:color="auto" w:fill="EFF2EF"/>
          </w:tcPr>
          <w:p>
            <w:pPr>
              <w:spacing w:after="0"/>
              <w:rPr>
                <w:sz w:val="5"/>
                <w:szCs w:val="5"/>
                <w:color w:val="auto"/>
              </w:rPr>
            </w:pPr>
          </w:p>
        </w:tc>
        <w:tc>
          <w:tcPr>
            <w:tcW w:w="64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Curts P. Lu</w:t>
            </w:r>
          </w:p>
        </w:tc>
        <w:tc>
          <w:tcPr>
            <w:tcW w:w="6480" w:type="dxa"/>
            <w:vAlign w:val="bottom"/>
          </w:tcPr>
          <w:p>
            <w:pPr>
              <w:jc w:val="center"/>
              <w:ind w:left="210"/>
              <w:spacing w:after="0" w:line="203" w:lineRule="exact"/>
              <w:rPr>
                <w:sz w:val="20"/>
                <w:szCs w:val="20"/>
                <w:color w:val="auto"/>
              </w:rPr>
            </w:pPr>
            <w:r>
              <w:rPr>
                <w:rFonts w:ascii="Calibri" w:cs="Calibri" w:eastAsia="Calibri" w:hAnsi="Calibri"/>
                <w:sz w:val="17"/>
                <w:szCs w:val="17"/>
                <w:color w:val="333333"/>
                <w:w w:val="97"/>
              </w:rPr>
              <w:t>1,303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Holly Paul</w:t>
            </w:r>
          </w:p>
        </w:tc>
        <w:tc>
          <w:tcPr>
            <w:tcW w:w="6480" w:type="dxa"/>
            <w:vAlign w:val="bottom"/>
            <w:shd w:val="clear" w:color="auto" w:fill="EFF2EF"/>
          </w:tcPr>
          <w:p>
            <w:pPr>
              <w:jc w:val="center"/>
              <w:ind w:left="210"/>
              <w:spacing w:after="0" w:line="203" w:lineRule="exact"/>
              <w:rPr>
                <w:sz w:val="20"/>
                <w:szCs w:val="20"/>
                <w:color w:val="auto"/>
              </w:rPr>
            </w:pPr>
            <w:r>
              <w:rPr>
                <w:rFonts w:ascii="Calibri" w:cs="Calibri" w:eastAsia="Calibri" w:hAnsi="Calibri"/>
                <w:sz w:val="17"/>
                <w:szCs w:val="17"/>
                <w:color w:val="333333"/>
                <w:w w:val="97"/>
              </w:rPr>
              <w:t>1,303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420" w:type="dxa"/>
            <w:vAlign w:val="bottom"/>
            <w:tcBorders>
              <w:left w:val="single" w:sz="8" w:color="EFF2EF"/>
              <w:right w:val="single" w:sz="8" w:color="EFF2EF"/>
            </w:tcBorders>
            <w:shd w:val="clear" w:color="auto" w:fill="EFF2EF"/>
          </w:tcPr>
          <w:p>
            <w:pPr>
              <w:spacing w:after="0"/>
              <w:rPr>
                <w:sz w:val="5"/>
                <w:szCs w:val="5"/>
                <w:color w:val="auto"/>
              </w:rPr>
            </w:pPr>
          </w:p>
        </w:tc>
        <w:tc>
          <w:tcPr>
            <w:tcW w:w="64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00" w:right="320" w:hanging="433"/>
        <w:spacing w:after="0" w:line="232" w:lineRule="auto"/>
        <w:tabs>
          <w:tab w:leader="none" w:pos="600" w:val="left"/>
        </w:tabs>
        <w:numPr>
          <w:ilvl w:val="0"/>
          <w:numId w:val="107"/>
        </w:numPr>
        <w:rPr>
          <w:rFonts w:ascii="Calibri" w:cs="Calibri" w:eastAsia="Calibri" w:hAnsi="Calibri"/>
          <w:sz w:val="13"/>
          <w:szCs w:val="13"/>
          <w:color w:val="333333"/>
        </w:rPr>
      </w:pPr>
      <w:r>
        <w:rPr>
          <w:rFonts w:ascii="Calibri" w:cs="Calibri" w:eastAsia="Calibri" w:hAnsi="Calibri"/>
          <w:sz w:val="17"/>
          <w:szCs w:val="17"/>
          <w:color w:val="333333"/>
        </w:rPr>
        <w:t>Represents the target number of unearned Performance RSUs granted on March 6, 2024, which are subject to performance conditons based on Relatve TSR for the three-year performance measurement period beginning January 1, 2024 and ending December 31, 2026. The following table sets forth the maximum number of Performance RSUs awarded to Mr. Gunby, Mr. Linton, Mr. Lu and Ms. Paul on March 6, 2024:</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420" w:type="dxa"/>
            <w:vAlign w:val="bottom"/>
            <w:tcBorders>
              <w:top w:val="single" w:sz="8" w:color="0591DB"/>
              <w:left w:val="single" w:sz="8" w:color="0591DB"/>
              <w:right w:val="single" w:sz="8" w:color="0591DB"/>
            </w:tcBorders>
          </w:tcPr>
          <w:p>
            <w:pPr>
              <w:ind w:left="140"/>
              <w:spacing w:after="0"/>
              <w:rPr>
                <w:sz w:val="20"/>
                <w:szCs w:val="20"/>
                <w:color w:val="auto"/>
              </w:rPr>
            </w:pPr>
            <w:r>
              <w:rPr>
                <w:rFonts w:ascii="Calibri" w:cs="Calibri" w:eastAsia="Calibri" w:hAnsi="Calibri"/>
                <w:sz w:val="20"/>
                <w:szCs w:val="20"/>
                <w:b w:val="1"/>
                <w:bCs w:val="1"/>
                <w:color w:val="0591DB"/>
              </w:rPr>
              <w:t> NAME</w:t>
            </w:r>
          </w:p>
        </w:tc>
        <w:tc>
          <w:tcPr>
            <w:tcW w:w="6480" w:type="dxa"/>
            <w:vAlign w:val="bottom"/>
            <w:tcBorders>
              <w:top w:val="single" w:sz="8" w:color="0591DB"/>
            </w:tcBorders>
          </w:tcPr>
          <w:p>
            <w:pPr>
              <w:ind w:left="1460"/>
              <w:spacing w:after="0"/>
              <w:rPr>
                <w:sz w:val="20"/>
                <w:szCs w:val="20"/>
                <w:color w:val="auto"/>
              </w:rPr>
            </w:pPr>
            <w:r>
              <w:rPr>
                <w:rFonts w:ascii="Calibri" w:cs="Calibri" w:eastAsia="Calibri" w:hAnsi="Calibri"/>
                <w:sz w:val="20"/>
                <w:szCs w:val="20"/>
                <w:b w:val="1"/>
                <w:bCs w:val="1"/>
                <w:color w:val="0591DB"/>
              </w:rPr>
              <w:t>MAXIMUM NUMBER OF PERFORMANCE RSUS</w:t>
            </w:r>
          </w:p>
        </w:tc>
        <w:tc>
          <w:tcPr>
            <w:tcW w:w="20" w:type="dxa"/>
            <w:vAlign w:val="bottom"/>
            <w:tcBorders>
              <w:top w:val="single" w:sz="8" w:color="0591DB"/>
            </w:tcBorders>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20" w:type="dxa"/>
            <w:vAlign w:val="bottom"/>
            <w:tcBorders>
              <w:left w:val="single" w:sz="8" w:color="0591DB"/>
              <w:bottom w:val="single" w:sz="8" w:color="0591DB"/>
              <w:right w:val="single" w:sz="8" w:color="0591DB"/>
            </w:tcBorders>
          </w:tcPr>
          <w:p>
            <w:pPr>
              <w:spacing w:after="0"/>
              <w:rPr>
                <w:sz w:val="6"/>
                <w:szCs w:val="6"/>
                <w:color w:val="auto"/>
              </w:rPr>
            </w:pPr>
          </w:p>
        </w:tc>
        <w:tc>
          <w:tcPr>
            <w:tcW w:w="648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20" w:type="dxa"/>
            <w:vAlign w:val="bottom"/>
          </w:tcPr>
          <w:p>
            <w:pPr>
              <w:spacing w:after="0" w:line="197"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Steven H. Gunby</w:t>
            </w:r>
          </w:p>
        </w:tc>
        <w:tc>
          <w:tcPr>
            <w:tcW w:w="6480" w:type="dxa"/>
            <w:vAlign w:val="bottom"/>
          </w:tcPr>
          <w:p>
            <w:pPr>
              <w:jc w:val="center"/>
              <w:ind w:left="213"/>
              <w:spacing w:after="0" w:line="197" w:lineRule="exact"/>
              <w:rPr>
                <w:sz w:val="20"/>
                <w:szCs w:val="20"/>
                <w:color w:val="auto"/>
              </w:rPr>
            </w:pPr>
            <w:r>
              <w:rPr>
                <w:rFonts w:ascii="Calibri" w:cs="Calibri" w:eastAsia="Calibri" w:hAnsi="Calibri"/>
                <w:sz w:val="17"/>
                <w:szCs w:val="17"/>
                <w:color w:val="333333"/>
              </w:rPr>
              <w:t>30,061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Paul Linton</w:t>
            </w:r>
          </w:p>
        </w:tc>
        <w:tc>
          <w:tcPr>
            <w:tcW w:w="6480" w:type="dxa"/>
            <w:vAlign w:val="bottom"/>
            <w:shd w:val="clear" w:color="auto" w:fill="EFF2EF"/>
          </w:tcPr>
          <w:p>
            <w:pPr>
              <w:jc w:val="center"/>
              <w:ind w:left="213"/>
              <w:spacing w:after="0" w:line="203" w:lineRule="exact"/>
              <w:rPr>
                <w:sz w:val="20"/>
                <w:szCs w:val="20"/>
                <w:color w:val="auto"/>
              </w:rPr>
            </w:pPr>
            <w:r>
              <w:rPr>
                <w:rFonts w:ascii="Calibri" w:cs="Calibri" w:eastAsia="Calibri" w:hAnsi="Calibri"/>
                <w:sz w:val="17"/>
                <w:szCs w:val="17"/>
                <w:color w:val="333333"/>
                <w:w w:val="97"/>
              </w:rPr>
              <w:t>3,839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Borders>
              <w:left w:val="single" w:sz="8" w:color="EFF2EF"/>
              <w:right w:val="single" w:sz="8" w:color="EFF2EF"/>
            </w:tcBorders>
            <w:shd w:val="clear" w:color="auto" w:fill="EFF2EF"/>
          </w:tcPr>
          <w:p>
            <w:pPr>
              <w:spacing w:after="0"/>
              <w:rPr>
                <w:sz w:val="5"/>
                <w:szCs w:val="5"/>
                <w:color w:val="auto"/>
              </w:rPr>
            </w:pPr>
          </w:p>
        </w:tc>
        <w:tc>
          <w:tcPr>
            <w:tcW w:w="64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Curts P. Lu</w:t>
            </w:r>
          </w:p>
        </w:tc>
        <w:tc>
          <w:tcPr>
            <w:tcW w:w="6480" w:type="dxa"/>
            <w:vAlign w:val="bottom"/>
          </w:tcPr>
          <w:p>
            <w:pPr>
              <w:jc w:val="center"/>
              <w:ind w:left="213"/>
              <w:spacing w:after="0" w:line="203" w:lineRule="exact"/>
              <w:rPr>
                <w:sz w:val="20"/>
                <w:szCs w:val="20"/>
                <w:color w:val="auto"/>
              </w:rPr>
            </w:pPr>
            <w:r>
              <w:rPr>
                <w:rFonts w:ascii="Calibri" w:cs="Calibri" w:eastAsia="Calibri" w:hAnsi="Calibri"/>
                <w:sz w:val="17"/>
                <w:szCs w:val="17"/>
                <w:color w:val="333333"/>
                <w:w w:val="97"/>
              </w:rPr>
              <w:t>3,839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Holly Paul</w:t>
            </w:r>
          </w:p>
        </w:tc>
        <w:tc>
          <w:tcPr>
            <w:tcW w:w="6480" w:type="dxa"/>
            <w:vAlign w:val="bottom"/>
            <w:shd w:val="clear" w:color="auto" w:fill="EFF2EF"/>
          </w:tcPr>
          <w:p>
            <w:pPr>
              <w:jc w:val="center"/>
              <w:ind w:left="213"/>
              <w:spacing w:after="0" w:line="203" w:lineRule="exact"/>
              <w:rPr>
                <w:sz w:val="20"/>
                <w:szCs w:val="20"/>
                <w:color w:val="auto"/>
              </w:rPr>
            </w:pPr>
            <w:r>
              <w:rPr>
                <w:rFonts w:ascii="Calibri" w:cs="Calibri" w:eastAsia="Calibri" w:hAnsi="Calibri"/>
                <w:sz w:val="17"/>
                <w:szCs w:val="17"/>
                <w:color w:val="333333"/>
                <w:w w:val="97"/>
              </w:rPr>
              <w:t>3,071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420" w:type="dxa"/>
            <w:vAlign w:val="bottom"/>
            <w:tcBorders>
              <w:left w:val="single" w:sz="8" w:color="EFF2EF"/>
              <w:right w:val="single" w:sz="8" w:color="EFF2EF"/>
            </w:tcBorders>
            <w:shd w:val="clear" w:color="auto" w:fill="EFF2EF"/>
          </w:tcPr>
          <w:p>
            <w:pPr>
              <w:spacing w:after="0"/>
              <w:rPr>
                <w:sz w:val="5"/>
                <w:szCs w:val="5"/>
                <w:color w:val="auto"/>
              </w:rPr>
            </w:pPr>
          </w:p>
        </w:tc>
        <w:tc>
          <w:tcPr>
            <w:tcW w:w="64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00" w:right="320" w:hanging="433"/>
        <w:spacing w:after="0" w:line="232" w:lineRule="auto"/>
        <w:tabs>
          <w:tab w:leader="none" w:pos="600" w:val="left"/>
        </w:tabs>
        <w:numPr>
          <w:ilvl w:val="0"/>
          <w:numId w:val="108"/>
        </w:numPr>
        <w:rPr>
          <w:rFonts w:ascii="Calibri" w:cs="Calibri" w:eastAsia="Calibri" w:hAnsi="Calibri"/>
          <w:sz w:val="13"/>
          <w:szCs w:val="13"/>
          <w:color w:val="333333"/>
        </w:rPr>
      </w:pPr>
      <w:r>
        <w:rPr>
          <w:rFonts w:ascii="Calibri" w:cs="Calibri" w:eastAsia="Calibri" w:hAnsi="Calibri"/>
          <w:sz w:val="17"/>
          <w:szCs w:val="17"/>
          <w:color w:val="333333"/>
        </w:rPr>
        <w:t>Represents the target number of unearned Performance RSUs granted on March 5, 2025, which are subject to performance conditons based on Relatve TSR for the three-year performance measurement period beginning January 1, 2025 and ending December 31, 2027. The following table sets forth the maximum number of Performance RSUs awarded to Mr. Gunby, Mr. Linton, Mr. Lu and Ms. Paul on March 5, 2025:</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420" w:type="dxa"/>
            <w:vAlign w:val="bottom"/>
            <w:tcBorders>
              <w:top w:val="single" w:sz="8" w:color="0591DB"/>
              <w:left w:val="single" w:sz="8" w:color="0591DB"/>
              <w:right w:val="single" w:sz="8" w:color="0591DB"/>
            </w:tcBorders>
          </w:tcPr>
          <w:p>
            <w:pPr>
              <w:ind w:left="140"/>
              <w:spacing w:after="0"/>
              <w:rPr>
                <w:sz w:val="20"/>
                <w:szCs w:val="20"/>
                <w:color w:val="auto"/>
              </w:rPr>
            </w:pPr>
            <w:r>
              <w:rPr>
                <w:rFonts w:ascii="Calibri" w:cs="Calibri" w:eastAsia="Calibri" w:hAnsi="Calibri"/>
                <w:sz w:val="20"/>
                <w:szCs w:val="20"/>
                <w:b w:val="1"/>
                <w:bCs w:val="1"/>
                <w:color w:val="0591DB"/>
              </w:rPr>
              <w:t> NAME</w:t>
            </w:r>
          </w:p>
        </w:tc>
        <w:tc>
          <w:tcPr>
            <w:tcW w:w="6480" w:type="dxa"/>
            <w:vAlign w:val="bottom"/>
            <w:tcBorders>
              <w:top w:val="single" w:sz="8" w:color="0591DB"/>
            </w:tcBorders>
          </w:tcPr>
          <w:p>
            <w:pPr>
              <w:ind w:left="1460"/>
              <w:spacing w:after="0"/>
              <w:rPr>
                <w:sz w:val="20"/>
                <w:szCs w:val="20"/>
                <w:color w:val="auto"/>
              </w:rPr>
            </w:pPr>
            <w:r>
              <w:rPr>
                <w:rFonts w:ascii="Calibri" w:cs="Calibri" w:eastAsia="Calibri" w:hAnsi="Calibri"/>
                <w:sz w:val="20"/>
                <w:szCs w:val="20"/>
                <w:b w:val="1"/>
                <w:bCs w:val="1"/>
                <w:color w:val="0591DB"/>
              </w:rPr>
              <w:t>MAXIMUM NUMBER OF PERFORMANCE RSUS</w:t>
            </w:r>
          </w:p>
        </w:tc>
        <w:tc>
          <w:tcPr>
            <w:tcW w:w="20" w:type="dxa"/>
            <w:vAlign w:val="bottom"/>
            <w:tcBorders>
              <w:top w:val="single" w:sz="8" w:color="0591DB"/>
            </w:tcBorders>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20" w:type="dxa"/>
            <w:vAlign w:val="bottom"/>
            <w:tcBorders>
              <w:left w:val="single" w:sz="8" w:color="0591DB"/>
              <w:bottom w:val="single" w:sz="8" w:color="0591DB"/>
              <w:right w:val="single" w:sz="8" w:color="0591DB"/>
            </w:tcBorders>
          </w:tcPr>
          <w:p>
            <w:pPr>
              <w:spacing w:after="0"/>
              <w:rPr>
                <w:sz w:val="6"/>
                <w:szCs w:val="6"/>
                <w:color w:val="auto"/>
              </w:rPr>
            </w:pPr>
          </w:p>
        </w:tc>
        <w:tc>
          <w:tcPr>
            <w:tcW w:w="648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20" w:type="dxa"/>
            <w:vAlign w:val="bottom"/>
          </w:tcPr>
          <w:p>
            <w:pPr>
              <w:spacing w:after="0" w:line="197"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Steven H. Gunby</w:t>
            </w:r>
          </w:p>
        </w:tc>
        <w:tc>
          <w:tcPr>
            <w:tcW w:w="6480" w:type="dxa"/>
            <w:vAlign w:val="bottom"/>
          </w:tcPr>
          <w:p>
            <w:pPr>
              <w:jc w:val="center"/>
              <w:ind w:left="213"/>
              <w:spacing w:after="0" w:line="197" w:lineRule="exact"/>
              <w:rPr>
                <w:sz w:val="20"/>
                <w:szCs w:val="20"/>
                <w:color w:val="auto"/>
              </w:rPr>
            </w:pPr>
            <w:r>
              <w:rPr>
                <w:rFonts w:ascii="Calibri" w:cs="Calibri" w:eastAsia="Calibri" w:hAnsi="Calibri"/>
                <w:sz w:val="17"/>
                <w:szCs w:val="17"/>
                <w:color w:val="333333"/>
              </w:rPr>
              <w:t>44,707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Paul Linton</w:t>
            </w:r>
          </w:p>
        </w:tc>
        <w:tc>
          <w:tcPr>
            <w:tcW w:w="6480" w:type="dxa"/>
            <w:vAlign w:val="bottom"/>
            <w:shd w:val="clear" w:color="auto" w:fill="EFF2EF"/>
          </w:tcPr>
          <w:p>
            <w:pPr>
              <w:jc w:val="center"/>
              <w:ind w:left="213"/>
              <w:spacing w:after="0" w:line="203" w:lineRule="exact"/>
              <w:rPr>
                <w:sz w:val="20"/>
                <w:szCs w:val="20"/>
                <w:color w:val="auto"/>
              </w:rPr>
            </w:pPr>
            <w:r>
              <w:rPr>
                <w:rFonts w:ascii="Calibri" w:cs="Calibri" w:eastAsia="Calibri" w:hAnsi="Calibri"/>
                <w:sz w:val="17"/>
                <w:szCs w:val="17"/>
                <w:color w:val="333333"/>
                <w:w w:val="97"/>
              </w:rPr>
              <w:t>4,900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Borders>
              <w:left w:val="single" w:sz="8" w:color="EFF2EF"/>
              <w:right w:val="single" w:sz="8" w:color="EFF2EF"/>
            </w:tcBorders>
            <w:shd w:val="clear" w:color="auto" w:fill="EFF2EF"/>
          </w:tcPr>
          <w:p>
            <w:pPr>
              <w:spacing w:after="0"/>
              <w:rPr>
                <w:sz w:val="5"/>
                <w:szCs w:val="5"/>
                <w:color w:val="auto"/>
              </w:rPr>
            </w:pPr>
          </w:p>
        </w:tc>
        <w:tc>
          <w:tcPr>
            <w:tcW w:w="64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Curts P. Lu</w:t>
            </w:r>
          </w:p>
        </w:tc>
        <w:tc>
          <w:tcPr>
            <w:tcW w:w="6480" w:type="dxa"/>
            <w:vAlign w:val="bottom"/>
          </w:tcPr>
          <w:p>
            <w:pPr>
              <w:jc w:val="center"/>
              <w:ind w:left="213"/>
              <w:spacing w:after="0" w:line="203" w:lineRule="exact"/>
              <w:rPr>
                <w:sz w:val="20"/>
                <w:szCs w:val="20"/>
                <w:color w:val="auto"/>
              </w:rPr>
            </w:pPr>
            <w:r>
              <w:rPr>
                <w:rFonts w:ascii="Calibri" w:cs="Calibri" w:eastAsia="Calibri" w:hAnsi="Calibri"/>
                <w:sz w:val="17"/>
                <w:szCs w:val="17"/>
                <w:color w:val="333333"/>
                <w:w w:val="97"/>
              </w:rPr>
              <w:t>4,900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w:t>
            </w:r>
            <w:r>
              <w:rPr>
                <w:rFonts w:ascii="Calibri" w:cs="Calibri" w:eastAsia="Calibri" w:hAnsi="Calibri"/>
                <w:sz w:val="17"/>
                <w:szCs w:val="17"/>
                <w:color w:val="0591DB"/>
              </w:rPr>
              <w:t>Holly Paul</w:t>
            </w:r>
          </w:p>
        </w:tc>
        <w:tc>
          <w:tcPr>
            <w:tcW w:w="6480" w:type="dxa"/>
            <w:vAlign w:val="bottom"/>
            <w:shd w:val="clear" w:color="auto" w:fill="EFF2EF"/>
          </w:tcPr>
          <w:p>
            <w:pPr>
              <w:jc w:val="center"/>
              <w:ind w:left="213"/>
              <w:spacing w:after="0" w:line="203" w:lineRule="exact"/>
              <w:rPr>
                <w:sz w:val="20"/>
                <w:szCs w:val="20"/>
                <w:color w:val="auto"/>
              </w:rPr>
            </w:pPr>
            <w:r>
              <w:rPr>
                <w:rFonts w:ascii="Calibri" w:cs="Calibri" w:eastAsia="Calibri" w:hAnsi="Calibri"/>
                <w:sz w:val="17"/>
                <w:szCs w:val="17"/>
                <w:color w:val="333333"/>
                <w:w w:val="97"/>
              </w:rPr>
              <w:t>2,449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420" w:type="dxa"/>
            <w:vAlign w:val="bottom"/>
            <w:tcBorders>
              <w:left w:val="single" w:sz="8" w:color="EFF2EF"/>
              <w:right w:val="single" w:sz="8" w:color="EFF2EF"/>
            </w:tcBorders>
            <w:shd w:val="clear" w:color="auto" w:fill="EFF2EF"/>
          </w:tcPr>
          <w:p>
            <w:pPr>
              <w:spacing w:after="0"/>
              <w:rPr>
                <w:sz w:val="5"/>
                <w:szCs w:val="5"/>
                <w:color w:val="auto"/>
              </w:rPr>
            </w:pPr>
          </w:p>
        </w:tc>
        <w:tc>
          <w:tcPr>
            <w:tcW w:w="64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0" w:hanging="433"/>
        <w:spacing w:after="0"/>
        <w:tabs>
          <w:tab w:leader="none" w:pos="600" w:val="left"/>
        </w:tabs>
        <w:numPr>
          <w:ilvl w:val="0"/>
          <w:numId w:val="109"/>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RSAs granted on December 19, 2025, which vest ratably over four years on the anniversary of the award.</w:t>
      </w:r>
    </w:p>
    <w:p>
      <w:pPr>
        <w:spacing w:after="0" w:line="117" w:lineRule="exact"/>
        <w:rPr>
          <w:rFonts w:ascii="Calibri" w:cs="Calibri" w:eastAsia="Calibri" w:hAnsi="Calibri"/>
          <w:sz w:val="13"/>
          <w:szCs w:val="13"/>
          <w:color w:val="333333"/>
        </w:rPr>
      </w:pPr>
    </w:p>
    <w:p>
      <w:pPr>
        <w:ind w:left="600" w:right="140" w:hanging="433"/>
        <w:spacing w:after="0" w:line="233" w:lineRule="auto"/>
        <w:tabs>
          <w:tab w:leader="none" w:pos="600" w:val="left"/>
        </w:tabs>
        <w:numPr>
          <w:ilvl w:val="0"/>
          <w:numId w:val="109"/>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RSUs granted on March 6, 2024, which vested ratably over two years annually on the anniversary of the award and became fully vested on March 6, 2026.</w:t>
      </w:r>
    </w:p>
    <w:p>
      <w:pPr>
        <w:spacing w:after="0" w:line="114" w:lineRule="exact"/>
        <w:rPr>
          <w:rFonts w:ascii="Calibri" w:cs="Calibri" w:eastAsia="Calibri" w:hAnsi="Calibri"/>
          <w:sz w:val="13"/>
          <w:szCs w:val="13"/>
          <w:color w:val="333333"/>
        </w:rPr>
      </w:pPr>
    </w:p>
    <w:p>
      <w:pPr>
        <w:ind w:left="600" w:hanging="433"/>
        <w:spacing w:after="0"/>
        <w:tabs>
          <w:tab w:leader="none" w:pos="600" w:val="left"/>
        </w:tabs>
        <w:numPr>
          <w:ilvl w:val="0"/>
          <w:numId w:val="109"/>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RSUs granted on March 6, 2024, which vest ratably over fve years on the anniversary of the award.</w:t>
      </w:r>
    </w:p>
    <w:p>
      <w:pPr>
        <w:spacing w:after="0" w:line="117" w:lineRule="exact"/>
        <w:rPr>
          <w:rFonts w:ascii="Calibri" w:cs="Calibri" w:eastAsia="Calibri" w:hAnsi="Calibri"/>
          <w:sz w:val="13"/>
          <w:szCs w:val="13"/>
          <w:color w:val="333333"/>
        </w:rPr>
      </w:pPr>
    </w:p>
    <w:p>
      <w:pPr>
        <w:jc w:val="center"/>
        <w:ind w:left="5540" w:right="80" w:hanging="5373"/>
        <w:spacing w:after="0" w:line="318" w:lineRule="auto"/>
        <w:tabs>
          <w:tab w:leader="none" w:pos="600" w:val="left"/>
        </w:tabs>
        <w:numPr>
          <w:ilvl w:val="0"/>
          <w:numId w:val="109"/>
        </w:numPr>
        <w:rPr>
          <w:rFonts w:ascii="Calibri" w:cs="Calibri" w:eastAsia="Calibri" w:hAnsi="Calibri"/>
          <w:sz w:val="13"/>
          <w:szCs w:val="13"/>
          <w:color w:val="333333"/>
        </w:rPr>
      </w:pPr>
      <w:r>
        <w:rPr>
          <w:rFonts w:ascii="Calibri" w:cs="Calibri" w:eastAsia="Calibri" w:hAnsi="Calibri"/>
          <w:sz w:val="17"/>
          <w:szCs w:val="17"/>
          <w:color w:val="333333"/>
        </w:rPr>
        <w:t>Represents the unvested tme-based RSUs granted on March 5, 2025, which vested ratably over two years annually on the anniversary of the award. 92</w:t>
      </w:r>
    </w:p>
    <w:p>
      <w:pPr>
        <w:sectPr>
          <w:pgSz w:w="11900" w:h="16838" w:orient="portrait"/>
          <w:cols w:equalWidth="0" w:num="1">
            <w:col w:w="11100"/>
          </w:cols>
          <w:pgMar w:left="320" w:top="478"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600" w:right="160" w:hanging="433"/>
        <w:spacing w:after="0" w:line="232" w:lineRule="auto"/>
        <w:tabs>
          <w:tab w:leader="none" w:pos="600" w:val="left"/>
        </w:tabs>
        <w:numPr>
          <w:ilvl w:val="0"/>
          <w:numId w:val="110"/>
        </w:numPr>
        <w:rPr>
          <w:rFonts w:ascii="Calibri" w:cs="Calibri" w:eastAsia="Calibri" w:hAnsi="Calibri"/>
          <w:sz w:val="13"/>
          <w:szCs w:val="13"/>
          <w:color w:val="333333"/>
        </w:rPr>
      </w:pPr>
      <w:r>
        <w:rPr>
          <w:rFonts w:ascii="Calibri" w:cs="Calibri" w:eastAsia="Calibri" w:hAnsi="Calibri"/>
          <w:sz w:val="17"/>
          <w:szCs w:val="17"/>
          <w:color w:val="333333"/>
        </w:rPr>
        <w:t>Represents the target number of unearned Performance RSUs granted on March 5, 2025, which are subject to performance conditons based on Relatve TSR for the two-year performance measurement period beginning January 1, 2025 and ending December 31, 2026. The maximum number of Performance RSUs awarded to Mr. Keatng was 252.</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Opton Exercises and Stock Vested</w:t>
      </w:r>
    </w:p>
    <w:p>
      <w:pPr>
        <w:spacing w:after="0" w:line="212" w:lineRule="exact"/>
        <w:rPr>
          <w:sz w:val="20"/>
          <w:szCs w:val="20"/>
          <w:color w:val="auto"/>
        </w:rPr>
      </w:pPr>
    </w:p>
    <w:p>
      <w:pPr>
        <w:jc w:val="both"/>
        <w:ind w:left="160" w:right="20"/>
        <w:spacing w:after="0" w:line="232" w:lineRule="auto"/>
        <w:rPr>
          <w:sz w:val="20"/>
          <w:szCs w:val="20"/>
          <w:color w:val="auto"/>
        </w:rPr>
      </w:pPr>
      <w:r>
        <w:rPr>
          <w:rFonts w:ascii="Calibri" w:cs="Calibri" w:eastAsia="Calibri" w:hAnsi="Calibri"/>
          <w:sz w:val="17"/>
          <w:szCs w:val="17"/>
          <w:color w:val="333333"/>
        </w:rPr>
        <w:t>The following table shows the number of shares of our Common Stock acquired during the fscal year ended December 31, 2025 upon the exercise of stock optons and the vestng of restricted stock awards. The Company did not make any grants of stock optons during the fscal year ended December 31, 2025, and, therefore, there is nothing to report pursuant to Item 402(x) of Regulaton S-K.</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2280" w:type="dxa"/>
            <w:vAlign w:val="bottom"/>
            <w:tcBorders>
              <w:top w:val="single" w:sz="8" w:color="0591DB"/>
              <w:left w:val="single" w:sz="8" w:color="0591DB"/>
            </w:tcBorders>
          </w:tcPr>
          <w:p>
            <w:pPr>
              <w:spacing w:after="0"/>
              <w:rPr>
                <w:sz w:val="22"/>
                <w:szCs w:val="22"/>
                <w:color w:val="auto"/>
              </w:rPr>
            </w:pPr>
          </w:p>
        </w:tc>
        <w:tc>
          <w:tcPr>
            <w:tcW w:w="980" w:type="dxa"/>
            <w:vAlign w:val="bottom"/>
            <w:tcBorders>
              <w:top w:val="single" w:sz="8" w:color="0591DB"/>
              <w:right w:val="single" w:sz="8" w:color="0591DB"/>
            </w:tcBorders>
          </w:tcPr>
          <w:p>
            <w:pPr>
              <w:spacing w:after="0"/>
              <w:rPr>
                <w:sz w:val="22"/>
                <w:szCs w:val="22"/>
                <w:color w:val="auto"/>
              </w:rPr>
            </w:pPr>
          </w:p>
        </w:tc>
        <w:tc>
          <w:tcPr>
            <w:tcW w:w="3780" w:type="dxa"/>
            <w:vAlign w:val="bottom"/>
            <w:tcBorders>
              <w:top w:val="single" w:sz="8" w:color="0591DB"/>
              <w:right w:val="single" w:sz="8" w:color="0591DB"/>
            </w:tcBorders>
            <w:gridSpan w:val="2"/>
          </w:tcPr>
          <w:p>
            <w:pPr>
              <w:ind w:left="1100"/>
              <w:spacing w:after="0"/>
              <w:rPr>
                <w:sz w:val="20"/>
                <w:szCs w:val="20"/>
                <w:color w:val="auto"/>
              </w:rPr>
            </w:pPr>
            <w:r>
              <w:rPr>
                <w:rFonts w:ascii="Calibri" w:cs="Calibri" w:eastAsia="Calibri" w:hAnsi="Calibri"/>
                <w:sz w:val="21"/>
                <w:szCs w:val="21"/>
                <w:b w:val="1"/>
                <w:bCs w:val="1"/>
                <w:color w:val="0591DB"/>
              </w:rPr>
              <w:t>OPTION AWARDS</w:t>
            </w:r>
          </w:p>
        </w:tc>
        <w:tc>
          <w:tcPr>
            <w:tcW w:w="3860" w:type="dxa"/>
            <w:vAlign w:val="bottom"/>
            <w:tcBorders>
              <w:top w:val="single" w:sz="8" w:color="0591DB"/>
            </w:tcBorders>
            <w:gridSpan w:val="2"/>
          </w:tcPr>
          <w:p>
            <w:pPr>
              <w:ind w:left="1220"/>
              <w:spacing w:after="0"/>
              <w:rPr>
                <w:sz w:val="20"/>
                <w:szCs w:val="20"/>
                <w:color w:val="auto"/>
              </w:rPr>
            </w:pPr>
            <w:r>
              <w:rPr>
                <w:rFonts w:ascii="Calibri" w:cs="Calibri" w:eastAsia="Calibri" w:hAnsi="Calibri"/>
                <w:sz w:val="21"/>
                <w:szCs w:val="21"/>
                <w:b w:val="1"/>
                <w:bCs w:val="1"/>
                <w:color w:val="0591DB"/>
              </w:rPr>
              <w:t>STOCK AWARDS</w:t>
            </w:r>
          </w:p>
        </w:tc>
        <w:tc>
          <w:tcPr>
            <w:tcW w:w="20" w:type="dxa"/>
            <w:vAlign w:val="bottom"/>
            <w:tcBorders>
              <w:top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80" w:type="dxa"/>
            <w:vAlign w:val="bottom"/>
            <w:tcBorders>
              <w:left w:val="single" w:sz="8" w:color="0591DB"/>
              <w:bottom w:val="single" w:sz="8" w:color="0591DB"/>
            </w:tcBorders>
          </w:tcPr>
          <w:p>
            <w:pPr>
              <w:spacing w:after="0"/>
              <w:rPr>
                <w:sz w:val="5"/>
                <w:szCs w:val="5"/>
                <w:color w:val="auto"/>
              </w:rPr>
            </w:pPr>
          </w:p>
        </w:tc>
        <w:tc>
          <w:tcPr>
            <w:tcW w:w="980" w:type="dxa"/>
            <w:vAlign w:val="bottom"/>
            <w:tcBorders>
              <w:bottom w:val="single" w:sz="8" w:color="0591DB"/>
              <w:right w:val="single" w:sz="8" w:color="0591DB"/>
            </w:tcBorders>
          </w:tcPr>
          <w:p>
            <w:pPr>
              <w:spacing w:after="0"/>
              <w:rPr>
                <w:sz w:val="5"/>
                <w:szCs w:val="5"/>
                <w:color w:val="auto"/>
              </w:rPr>
            </w:pPr>
          </w:p>
        </w:tc>
        <w:tc>
          <w:tcPr>
            <w:tcW w:w="1900" w:type="dxa"/>
            <w:vAlign w:val="bottom"/>
            <w:tcBorders>
              <w:bottom w:val="single" w:sz="8" w:color="0591DB"/>
            </w:tcBorders>
          </w:tcPr>
          <w:p>
            <w:pPr>
              <w:spacing w:after="0"/>
              <w:rPr>
                <w:sz w:val="5"/>
                <w:szCs w:val="5"/>
                <w:color w:val="auto"/>
              </w:rPr>
            </w:pPr>
          </w:p>
        </w:tc>
        <w:tc>
          <w:tcPr>
            <w:tcW w:w="1880" w:type="dxa"/>
            <w:vAlign w:val="bottom"/>
            <w:tcBorders>
              <w:bottom w:val="single" w:sz="8" w:color="0591DB"/>
              <w:right w:val="single" w:sz="8" w:color="0591DB"/>
            </w:tcBorders>
          </w:tcPr>
          <w:p>
            <w:pPr>
              <w:spacing w:after="0"/>
              <w:rPr>
                <w:sz w:val="5"/>
                <w:szCs w:val="5"/>
                <w:color w:val="auto"/>
              </w:rPr>
            </w:pPr>
          </w:p>
        </w:tc>
        <w:tc>
          <w:tcPr>
            <w:tcW w:w="1980" w:type="dxa"/>
            <w:vAlign w:val="bottom"/>
            <w:tcBorders>
              <w:bottom w:val="single" w:sz="8" w:color="0591DB"/>
            </w:tcBorders>
          </w:tcPr>
          <w:p>
            <w:pPr>
              <w:spacing w:after="0"/>
              <w:rPr>
                <w:sz w:val="5"/>
                <w:szCs w:val="5"/>
                <w:color w:val="auto"/>
              </w:rPr>
            </w:pPr>
          </w:p>
        </w:tc>
        <w:tc>
          <w:tcPr>
            <w:tcW w:w="1880" w:type="dxa"/>
            <w:vAlign w:val="bottom"/>
            <w:tcBorders>
              <w:bottom w:val="single" w:sz="8" w:color="0591DB"/>
            </w:tcBorders>
          </w:tcPr>
          <w:p>
            <w:pPr>
              <w:spacing w:after="0"/>
              <w:rPr>
                <w:sz w:val="5"/>
                <w:szCs w:val="5"/>
                <w:color w:val="auto"/>
              </w:rPr>
            </w:pPr>
          </w:p>
        </w:tc>
        <w:tc>
          <w:tcPr>
            <w:tcW w:w="20" w:type="dxa"/>
            <w:vAlign w:val="bottom"/>
            <w:tcBorders>
              <w:bottom w:val="single" w:sz="8" w:color="0591DB"/>
            </w:tcBorders>
            <w:shd w:val="clear" w:color="auto" w:fill="0591DB"/>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left w:val="single" w:sz="8" w:color="0591DB"/>
            </w:tcBorders>
          </w:tcPr>
          <w:p>
            <w:pPr>
              <w:spacing w:after="0"/>
              <w:rPr>
                <w:sz w:val="17"/>
                <w:szCs w:val="17"/>
                <w:color w:val="auto"/>
              </w:rPr>
            </w:pPr>
          </w:p>
        </w:tc>
        <w:tc>
          <w:tcPr>
            <w:tcW w:w="980" w:type="dxa"/>
            <w:vAlign w:val="bottom"/>
            <w:tcBorders>
              <w:right w:val="single" w:sz="8" w:color="0591DB"/>
            </w:tcBorders>
          </w:tcPr>
          <w:p>
            <w:pPr>
              <w:spacing w:after="0"/>
              <w:rPr>
                <w:sz w:val="17"/>
                <w:szCs w:val="17"/>
                <w:color w:val="auto"/>
              </w:rPr>
            </w:pPr>
          </w:p>
        </w:tc>
        <w:tc>
          <w:tcPr>
            <w:tcW w:w="1900" w:type="dxa"/>
            <w:vAlign w:val="bottom"/>
            <w:tcBorders>
              <w:right w:val="single" w:sz="8" w:color="0591DB"/>
            </w:tcBorders>
          </w:tcPr>
          <w:p>
            <w:pPr>
              <w:jc w:val="center"/>
              <w:spacing w:after="0" w:line="201" w:lineRule="exact"/>
              <w:rPr>
                <w:sz w:val="20"/>
                <w:szCs w:val="20"/>
                <w:color w:val="auto"/>
              </w:rPr>
            </w:pPr>
            <w:r>
              <w:rPr>
                <w:rFonts w:ascii="Calibri" w:cs="Calibri" w:eastAsia="Calibri" w:hAnsi="Calibri"/>
                <w:sz w:val="21"/>
                <w:szCs w:val="21"/>
                <w:b w:val="1"/>
                <w:bCs w:val="1"/>
                <w:color w:val="0591DB"/>
                <w:w w:val="95"/>
              </w:rPr>
              <w:t>NUMBER OF</w:t>
            </w:r>
          </w:p>
        </w:tc>
        <w:tc>
          <w:tcPr>
            <w:tcW w:w="1880" w:type="dxa"/>
            <w:vAlign w:val="bottom"/>
            <w:tcBorders>
              <w:right w:val="single" w:sz="8" w:color="0591DB"/>
            </w:tcBorders>
          </w:tcPr>
          <w:p>
            <w:pPr>
              <w:spacing w:after="0"/>
              <w:rPr>
                <w:sz w:val="17"/>
                <w:szCs w:val="17"/>
                <w:color w:val="auto"/>
              </w:rPr>
            </w:pPr>
          </w:p>
        </w:tc>
        <w:tc>
          <w:tcPr>
            <w:tcW w:w="1980" w:type="dxa"/>
            <w:vAlign w:val="bottom"/>
            <w:tcBorders>
              <w:right w:val="single" w:sz="8" w:color="0591DB"/>
            </w:tcBorders>
          </w:tcPr>
          <w:p>
            <w:pPr>
              <w:jc w:val="center"/>
              <w:ind w:right="9"/>
              <w:spacing w:after="0" w:line="201" w:lineRule="exact"/>
              <w:rPr>
                <w:sz w:val="20"/>
                <w:szCs w:val="20"/>
                <w:color w:val="auto"/>
              </w:rPr>
            </w:pPr>
            <w:r>
              <w:rPr>
                <w:rFonts w:ascii="Calibri" w:cs="Calibri" w:eastAsia="Calibri" w:hAnsi="Calibri"/>
                <w:sz w:val="21"/>
                <w:szCs w:val="21"/>
                <w:b w:val="1"/>
                <w:bCs w:val="1"/>
                <w:color w:val="0591DB"/>
                <w:w w:val="95"/>
              </w:rPr>
              <w:t>NUMBER OF</w:t>
            </w:r>
          </w:p>
        </w:tc>
        <w:tc>
          <w:tcPr>
            <w:tcW w:w="1880" w:type="dxa"/>
            <w:vAlign w:val="bottom"/>
          </w:tcPr>
          <w:p>
            <w:pPr>
              <w:spacing w:after="0"/>
              <w:rPr>
                <w:sz w:val="17"/>
                <w:szCs w:val="17"/>
                <w:color w:val="auto"/>
              </w:rPr>
            </w:pP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980" w:type="dxa"/>
            <w:vAlign w:val="bottom"/>
            <w:tcBorders>
              <w:right w:val="single" w:sz="8" w:color="0591DB"/>
            </w:tcBorders>
          </w:tcPr>
          <w:p>
            <w:pPr>
              <w:spacing w:after="0"/>
              <w:rPr>
                <w:sz w:val="20"/>
                <w:szCs w:val="20"/>
                <w:color w:val="auto"/>
              </w:rPr>
            </w:pPr>
          </w:p>
        </w:tc>
        <w:tc>
          <w:tcPr>
            <w:tcW w:w="19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7"/>
              </w:rPr>
              <w:t>SHARES</w:t>
            </w:r>
          </w:p>
        </w:tc>
        <w:tc>
          <w:tcPr>
            <w:tcW w:w="1880" w:type="dxa"/>
            <w:vAlign w:val="bottom"/>
            <w:tcBorders>
              <w:right w:val="single" w:sz="8" w:color="0591DB"/>
            </w:tcBorders>
          </w:tcPr>
          <w:p>
            <w:pPr>
              <w:jc w:val="center"/>
              <w:ind w:right="10"/>
              <w:spacing w:after="0" w:line="241" w:lineRule="exact"/>
              <w:rPr>
                <w:sz w:val="20"/>
                <w:szCs w:val="20"/>
                <w:color w:val="auto"/>
              </w:rPr>
            </w:pPr>
            <w:r>
              <w:rPr>
                <w:rFonts w:ascii="Calibri" w:cs="Calibri" w:eastAsia="Calibri" w:hAnsi="Calibri"/>
                <w:sz w:val="21"/>
                <w:szCs w:val="21"/>
                <w:b w:val="1"/>
                <w:bCs w:val="1"/>
                <w:color w:val="0591DB"/>
                <w:w w:val="93"/>
              </w:rPr>
              <w:t>VALUE</w:t>
            </w:r>
          </w:p>
        </w:tc>
        <w:tc>
          <w:tcPr>
            <w:tcW w:w="1980" w:type="dxa"/>
            <w:vAlign w:val="bottom"/>
            <w:tcBorders>
              <w:right w:val="single" w:sz="8" w:color="0591DB"/>
            </w:tcBorders>
          </w:tcPr>
          <w:p>
            <w:pPr>
              <w:jc w:val="center"/>
              <w:ind w:right="29"/>
              <w:spacing w:after="0" w:line="241" w:lineRule="exact"/>
              <w:rPr>
                <w:sz w:val="20"/>
                <w:szCs w:val="20"/>
                <w:color w:val="auto"/>
              </w:rPr>
            </w:pPr>
            <w:r>
              <w:rPr>
                <w:rFonts w:ascii="Calibri" w:cs="Calibri" w:eastAsia="Calibri" w:hAnsi="Calibri"/>
                <w:sz w:val="21"/>
                <w:szCs w:val="21"/>
                <w:b w:val="1"/>
                <w:bCs w:val="1"/>
                <w:color w:val="0591DB"/>
                <w:w w:val="97"/>
              </w:rPr>
              <w:t>SHARES</w:t>
            </w:r>
          </w:p>
        </w:tc>
        <w:tc>
          <w:tcPr>
            <w:tcW w:w="1880" w:type="dxa"/>
            <w:vAlign w:val="bottom"/>
          </w:tcPr>
          <w:p>
            <w:pPr>
              <w:jc w:val="center"/>
              <w:ind w:right="30"/>
              <w:spacing w:after="0" w:line="241" w:lineRule="exact"/>
              <w:rPr>
                <w:sz w:val="20"/>
                <w:szCs w:val="20"/>
                <w:color w:val="auto"/>
              </w:rPr>
            </w:pPr>
            <w:r>
              <w:rPr>
                <w:rFonts w:ascii="Calibri" w:cs="Calibri" w:eastAsia="Calibri" w:hAnsi="Calibri"/>
                <w:sz w:val="21"/>
                <w:szCs w:val="21"/>
                <w:b w:val="1"/>
                <w:bCs w:val="1"/>
                <w:color w:val="0591DB"/>
                <w:w w:val="94"/>
              </w:rPr>
              <w:t>VALUES</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980" w:type="dxa"/>
            <w:vAlign w:val="bottom"/>
            <w:tcBorders>
              <w:right w:val="single" w:sz="8" w:color="0591DB"/>
            </w:tcBorders>
          </w:tcPr>
          <w:p>
            <w:pPr>
              <w:spacing w:after="0"/>
              <w:rPr>
                <w:sz w:val="20"/>
                <w:szCs w:val="20"/>
                <w:color w:val="auto"/>
              </w:rPr>
            </w:pPr>
          </w:p>
        </w:tc>
        <w:tc>
          <w:tcPr>
            <w:tcW w:w="19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5"/>
              </w:rPr>
              <w:t>ACQUIRED ON</w:t>
            </w:r>
          </w:p>
        </w:tc>
        <w:tc>
          <w:tcPr>
            <w:tcW w:w="1880" w:type="dxa"/>
            <w:vAlign w:val="bottom"/>
            <w:tcBorders>
              <w:right w:val="single" w:sz="8" w:color="0591DB"/>
            </w:tcBorders>
          </w:tcPr>
          <w:p>
            <w:pPr>
              <w:jc w:val="center"/>
              <w:ind w:right="30"/>
              <w:spacing w:after="0" w:line="241" w:lineRule="exact"/>
              <w:rPr>
                <w:sz w:val="20"/>
                <w:szCs w:val="20"/>
                <w:color w:val="auto"/>
              </w:rPr>
            </w:pPr>
            <w:r>
              <w:rPr>
                <w:rFonts w:ascii="Calibri" w:cs="Calibri" w:eastAsia="Calibri" w:hAnsi="Calibri"/>
                <w:sz w:val="21"/>
                <w:szCs w:val="21"/>
                <w:b w:val="1"/>
                <w:bCs w:val="1"/>
                <w:color w:val="0591DB"/>
                <w:w w:val="96"/>
              </w:rPr>
              <w:t>REALIZED ON</w:t>
            </w:r>
          </w:p>
        </w:tc>
        <w:tc>
          <w:tcPr>
            <w:tcW w:w="1980" w:type="dxa"/>
            <w:vAlign w:val="bottom"/>
            <w:tcBorders>
              <w:right w:val="single" w:sz="8" w:color="0591DB"/>
            </w:tcBorders>
          </w:tcPr>
          <w:p>
            <w:pPr>
              <w:jc w:val="center"/>
              <w:ind w:right="9"/>
              <w:spacing w:after="0" w:line="241" w:lineRule="exact"/>
              <w:rPr>
                <w:sz w:val="20"/>
                <w:szCs w:val="20"/>
                <w:color w:val="auto"/>
              </w:rPr>
            </w:pPr>
            <w:r>
              <w:rPr>
                <w:rFonts w:ascii="Calibri" w:cs="Calibri" w:eastAsia="Calibri" w:hAnsi="Calibri"/>
                <w:sz w:val="21"/>
                <w:szCs w:val="21"/>
                <w:b w:val="1"/>
                <w:bCs w:val="1"/>
                <w:color w:val="0591DB"/>
                <w:w w:val="95"/>
              </w:rPr>
              <w:t>ACQUIRED ON</w:t>
            </w:r>
          </w:p>
        </w:tc>
        <w:tc>
          <w:tcPr>
            <w:tcW w:w="1880" w:type="dxa"/>
            <w:vAlign w:val="bottom"/>
          </w:tcPr>
          <w:p>
            <w:pPr>
              <w:jc w:val="center"/>
              <w:ind w:right="10"/>
              <w:spacing w:after="0" w:line="241" w:lineRule="exact"/>
              <w:rPr>
                <w:sz w:val="20"/>
                <w:szCs w:val="20"/>
                <w:color w:val="auto"/>
              </w:rPr>
            </w:pPr>
            <w:r>
              <w:rPr>
                <w:rFonts w:ascii="Calibri" w:cs="Calibri" w:eastAsia="Calibri" w:hAnsi="Calibri"/>
                <w:sz w:val="21"/>
                <w:szCs w:val="21"/>
                <w:b w:val="1"/>
                <w:bCs w:val="1"/>
                <w:color w:val="0591DB"/>
                <w:w w:val="95"/>
              </w:rPr>
              <w:t>REALIZED ON</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980" w:type="dxa"/>
            <w:vAlign w:val="bottom"/>
            <w:tcBorders>
              <w:right w:val="single" w:sz="8" w:color="0591DB"/>
            </w:tcBorders>
          </w:tcPr>
          <w:p>
            <w:pPr>
              <w:spacing w:after="0"/>
              <w:rPr>
                <w:sz w:val="20"/>
                <w:szCs w:val="20"/>
                <w:color w:val="auto"/>
              </w:rPr>
            </w:pPr>
          </w:p>
        </w:tc>
        <w:tc>
          <w:tcPr>
            <w:tcW w:w="1900" w:type="dxa"/>
            <w:vAlign w:val="bottom"/>
            <w:tcBorders>
              <w:right w:val="single" w:sz="8" w:color="0591DB"/>
            </w:tcBorders>
          </w:tcPr>
          <w:p>
            <w:pPr>
              <w:jc w:val="center"/>
              <w:spacing w:after="0" w:line="241" w:lineRule="exact"/>
              <w:rPr>
                <w:sz w:val="20"/>
                <w:szCs w:val="20"/>
                <w:color w:val="auto"/>
              </w:rPr>
            </w:pPr>
            <w:r>
              <w:rPr>
                <w:rFonts w:ascii="Calibri" w:cs="Calibri" w:eastAsia="Calibri" w:hAnsi="Calibri"/>
                <w:sz w:val="21"/>
                <w:szCs w:val="21"/>
                <w:b w:val="1"/>
                <w:bCs w:val="1"/>
                <w:color w:val="0591DB"/>
                <w:w w:val="96"/>
              </w:rPr>
              <w:t>EXERCISE</w:t>
            </w:r>
          </w:p>
        </w:tc>
        <w:tc>
          <w:tcPr>
            <w:tcW w:w="1880" w:type="dxa"/>
            <w:vAlign w:val="bottom"/>
            <w:tcBorders>
              <w:right w:val="single" w:sz="8" w:color="0591DB"/>
            </w:tcBorders>
          </w:tcPr>
          <w:p>
            <w:pPr>
              <w:jc w:val="center"/>
              <w:ind w:right="30"/>
              <w:spacing w:after="0" w:line="241" w:lineRule="exact"/>
              <w:rPr>
                <w:sz w:val="20"/>
                <w:szCs w:val="20"/>
                <w:color w:val="auto"/>
              </w:rPr>
            </w:pPr>
            <w:r>
              <w:rPr>
                <w:rFonts w:ascii="Calibri" w:cs="Calibri" w:eastAsia="Calibri" w:hAnsi="Calibri"/>
                <w:sz w:val="21"/>
                <w:szCs w:val="21"/>
                <w:b w:val="1"/>
                <w:bCs w:val="1"/>
                <w:color w:val="0591DB"/>
                <w:w w:val="97"/>
              </w:rPr>
              <w:t xml:space="preserve">EXERCISE </w:t>
            </w:r>
            <w:r>
              <w:rPr>
                <w:rFonts w:ascii="Calibri" w:cs="Calibri" w:eastAsia="Calibri" w:hAnsi="Calibri"/>
                <w:sz w:val="15"/>
                <w:szCs w:val="15"/>
                <w:b w:val="1"/>
                <w:bCs w:val="1"/>
                <w:color w:val="0591DB"/>
                <w:w w:val="97"/>
              </w:rPr>
              <w:t>(1)</w:t>
            </w:r>
          </w:p>
        </w:tc>
        <w:tc>
          <w:tcPr>
            <w:tcW w:w="1980" w:type="dxa"/>
            <w:vAlign w:val="bottom"/>
            <w:tcBorders>
              <w:right w:val="single" w:sz="8" w:color="0591DB"/>
            </w:tcBorders>
          </w:tcPr>
          <w:p>
            <w:pPr>
              <w:jc w:val="center"/>
              <w:ind w:right="9"/>
              <w:spacing w:after="0" w:line="241" w:lineRule="exact"/>
              <w:rPr>
                <w:sz w:val="20"/>
                <w:szCs w:val="20"/>
                <w:color w:val="auto"/>
              </w:rPr>
            </w:pPr>
            <w:r>
              <w:rPr>
                <w:rFonts w:ascii="Calibri" w:cs="Calibri" w:eastAsia="Calibri" w:hAnsi="Calibri"/>
                <w:sz w:val="21"/>
                <w:szCs w:val="21"/>
                <w:b w:val="1"/>
                <w:bCs w:val="1"/>
                <w:color w:val="0591DB"/>
                <w:w w:val="94"/>
              </w:rPr>
              <w:t>VESTING</w:t>
            </w:r>
          </w:p>
        </w:tc>
        <w:tc>
          <w:tcPr>
            <w:tcW w:w="1880" w:type="dxa"/>
            <w:vAlign w:val="bottom"/>
          </w:tcPr>
          <w:p>
            <w:pPr>
              <w:jc w:val="center"/>
              <w:ind w:right="10"/>
              <w:spacing w:after="0" w:line="241" w:lineRule="exact"/>
              <w:rPr>
                <w:sz w:val="20"/>
                <w:szCs w:val="20"/>
                <w:color w:val="auto"/>
              </w:rPr>
            </w:pPr>
            <w:r>
              <w:rPr>
                <w:rFonts w:ascii="Calibri" w:cs="Calibri" w:eastAsia="Calibri" w:hAnsi="Calibri"/>
                <w:sz w:val="21"/>
                <w:szCs w:val="21"/>
                <w:b w:val="1"/>
                <w:bCs w:val="1"/>
                <w:color w:val="0591DB"/>
                <w:w w:val="96"/>
              </w:rPr>
              <w:t xml:space="preserve">VESTING </w:t>
            </w:r>
            <w:r>
              <w:rPr>
                <w:rFonts w:ascii="Calibri" w:cs="Calibri" w:eastAsia="Calibri" w:hAnsi="Calibri"/>
                <w:sz w:val="15"/>
                <w:szCs w:val="15"/>
                <w:b w:val="1"/>
                <w:bCs w:val="1"/>
                <w:color w:val="0591DB"/>
                <w:w w:val="96"/>
              </w:rPr>
              <w:t>(2)</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Borders>
              <w:left w:val="single" w:sz="8" w:color="0591DB"/>
              <w:right w:val="single" w:sz="8" w:color="0591DB"/>
            </w:tcBorders>
            <w:gridSpan w:val="2"/>
          </w:tcPr>
          <w:p>
            <w:pPr>
              <w:ind w:left="140"/>
              <w:spacing w:after="0"/>
              <w:rPr>
                <w:sz w:val="20"/>
                <w:szCs w:val="20"/>
                <w:color w:val="auto"/>
              </w:rPr>
            </w:pPr>
            <w:r>
              <w:rPr>
                <w:rFonts w:ascii="Calibri" w:cs="Calibri" w:eastAsia="Calibri" w:hAnsi="Calibri"/>
                <w:sz w:val="21"/>
                <w:szCs w:val="21"/>
                <w:b w:val="1"/>
                <w:bCs w:val="1"/>
                <w:color w:val="0591DB"/>
              </w:rPr>
              <w:t> NAME</w:t>
            </w:r>
          </w:p>
        </w:tc>
        <w:tc>
          <w:tcPr>
            <w:tcW w:w="1900" w:type="dxa"/>
            <w:vAlign w:val="bottom"/>
            <w:tcBorders>
              <w:right w:val="single" w:sz="8" w:color="0591DB"/>
            </w:tcBorders>
          </w:tcPr>
          <w:p>
            <w:pPr>
              <w:jc w:val="center"/>
              <w:spacing w:after="0" w:line="244" w:lineRule="exact"/>
              <w:rPr>
                <w:sz w:val="20"/>
                <w:szCs w:val="20"/>
                <w:color w:val="auto"/>
              </w:rPr>
            </w:pPr>
            <w:r>
              <w:rPr>
                <w:rFonts w:ascii="Calibri" w:cs="Calibri" w:eastAsia="Calibri" w:hAnsi="Calibri"/>
                <w:sz w:val="21"/>
                <w:szCs w:val="21"/>
                <w:b w:val="1"/>
                <w:bCs w:val="1"/>
                <w:color w:val="0591DB"/>
                <w:w w:val="93"/>
              </w:rPr>
              <w:t>(#)</w:t>
            </w:r>
          </w:p>
        </w:tc>
        <w:tc>
          <w:tcPr>
            <w:tcW w:w="1880" w:type="dxa"/>
            <w:vAlign w:val="bottom"/>
            <w:tcBorders>
              <w:right w:val="single" w:sz="8" w:color="0591DB"/>
            </w:tcBorders>
          </w:tcPr>
          <w:p>
            <w:pPr>
              <w:jc w:val="center"/>
              <w:ind w:right="30"/>
              <w:spacing w:after="0" w:line="244" w:lineRule="exact"/>
              <w:rPr>
                <w:sz w:val="20"/>
                <w:szCs w:val="20"/>
                <w:color w:val="auto"/>
              </w:rPr>
            </w:pPr>
            <w:r>
              <w:rPr>
                <w:rFonts w:ascii="Calibri" w:cs="Calibri" w:eastAsia="Calibri" w:hAnsi="Calibri"/>
                <w:sz w:val="21"/>
                <w:szCs w:val="21"/>
                <w:b w:val="1"/>
                <w:bCs w:val="1"/>
                <w:color w:val="0591DB"/>
              </w:rPr>
              <w:t>($)</w:t>
            </w:r>
          </w:p>
        </w:tc>
        <w:tc>
          <w:tcPr>
            <w:tcW w:w="1980" w:type="dxa"/>
            <w:vAlign w:val="bottom"/>
            <w:tcBorders>
              <w:right w:val="single" w:sz="8" w:color="0591DB"/>
            </w:tcBorders>
          </w:tcPr>
          <w:p>
            <w:pPr>
              <w:jc w:val="center"/>
              <w:ind w:right="29"/>
              <w:spacing w:after="0" w:line="244" w:lineRule="exact"/>
              <w:rPr>
                <w:sz w:val="20"/>
                <w:szCs w:val="20"/>
                <w:color w:val="auto"/>
              </w:rPr>
            </w:pPr>
            <w:r>
              <w:rPr>
                <w:rFonts w:ascii="Calibri" w:cs="Calibri" w:eastAsia="Calibri" w:hAnsi="Calibri"/>
                <w:sz w:val="21"/>
                <w:szCs w:val="21"/>
                <w:b w:val="1"/>
                <w:bCs w:val="1"/>
                <w:color w:val="0591DB"/>
                <w:w w:val="93"/>
              </w:rPr>
              <w:t>(#)</w:t>
            </w:r>
          </w:p>
        </w:tc>
        <w:tc>
          <w:tcPr>
            <w:tcW w:w="1880" w:type="dxa"/>
            <w:vAlign w:val="bottom"/>
          </w:tcPr>
          <w:p>
            <w:pPr>
              <w:jc w:val="center"/>
              <w:ind w:right="10"/>
              <w:spacing w:after="0" w:line="244" w:lineRule="exact"/>
              <w:rPr>
                <w:sz w:val="20"/>
                <w:szCs w:val="20"/>
                <w:color w:val="auto"/>
              </w:rPr>
            </w:pPr>
            <w:r>
              <w:rPr>
                <w:rFonts w:ascii="Calibri" w:cs="Calibri" w:eastAsia="Calibri" w:hAnsi="Calibri"/>
                <w:sz w:val="21"/>
                <w:szCs w:val="21"/>
                <w:b w:val="1"/>
                <w:bCs w:val="1"/>
                <w:color w:val="0591DB"/>
                <w:w w:val="92"/>
              </w:rPr>
              <w:t>($)</w:t>
            </w:r>
          </w:p>
        </w:tc>
        <w:tc>
          <w:tcPr>
            <w:tcW w:w="20" w:type="dxa"/>
            <w:vAlign w:val="bottom"/>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80" w:type="dxa"/>
            <w:vAlign w:val="bottom"/>
            <w:tcBorders>
              <w:left w:val="single" w:sz="8" w:color="0591DB"/>
              <w:bottom w:val="single" w:sz="8" w:color="0591DB"/>
            </w:tcBorders>
          </w:tcPr>
          <w:p>
            <w:pPr>
              <w:spacing w:after="0"/>
              <w:rPr>
                <w:sz w:val="8"/>
                <w:szCs w:val="8"/>
                <w:color w:val="auto"/>
              </w:rPr>
            </w:pPr>
          </w:p>
        </w:tc>
        <w:tc>
          <w:tcPr>
            <w:tcW w:w="980" w:type="dxa"/>
            <w:vAlign w:val="bottom"/>
            <w:tcBorders>
              <w:bottom w:val="single" w:sz="8" w:color="0591DB"/>
              <w:right w:val="single" w:sz="8" w:color="0591DB"/>
            </w:tcBorders>
          </w:tcPr>
          <w:p>
            <w:pPr>
              <w:spacing w:after="0"/>
              <w:rPr>
                <w:sz w:val="8"/>
                <w:szCs w:val="8"/>
                <w:color w:val="auto"/>
              </w:rPr>
            </w:pPr>
          </w:p>
        </w:tc>
        <w:tc>
          <w:tcPr>
            <w:tcW w:w="1900" w:type="dxa"/>
            <w:vAlign w:val="bottom"/>
            <w:tcBorders>
              <w:bottom w:val="single" w:sz="8" w:color="0591DB"/>
              <w:right w:val="single" w:sz="8" w:color="0591DB"/>
            </w:tcBorders>
          </w:tcPr>
          <w:p>
            <w:pPr>
              <w:spacing w:after="0"/>
              <w:rPr>
                <w:sz w:val="8"/>
                <w:szCs w:val="8"/>
                <w:color w:val="auto"/>
              </w:rPr>
            </w:pPr>
          </w:p>
        </w:tc>
        <w:tc>
          <w:tcPr>
            <w:tcW w:w="1880" w:type="dxa"/>
            <w:vAlign w:val="bottom"/>
            <w:tcBorders>
              <w:bottom w:val="single" w:sz="8" w:color="0591DB"/>
              <w:right w:val="single" w:sz="8" w:color="0591DB"/>
            </w:tcBorders>
          </w:tcPr>
          <w:p>
            <w:pPr>
              <w:spacing w:after="0"/>
              <w:rPr>
                <w:sz w:val="8"/>
                <w:szCs w:val="8"/>
                <w:color w:val="auto"/>
              </w:rPr>
            </w:pPr>
          </w:p>
        </w:tc>
        <w:tc>
          <w:tcPr>
            <w:tcW w:w="1980" w:type="dxa"/>
            <w:vAlign w:val="bottom"/>
            <w:tcBorders>
              <w:bottom w:val="single" w:sz="8" w:color="0591DB"/>
              <w:right w:val="single" w:sz="8" w:color="0591DB"/>
            </w:tcBorders>
          </w:tcPr>
          <w:p>
            <w:pPr>
              <w:spacing w:after="0"/>
              <w:rPr>
                <w:sz w:val="8"/>
                <w:szCs w:val="8"/>
                <w:color w:val="auto"/>
              </w:rPr>
            </w:pPr>
          </w:p>
        </w:tc>
        <w:tc>
          <w:tcPr>
            <w:tcW w:w="1880" w:type="dxa"/>
            <w:vAlign w:val="bottom"/>
            <w:tcBorders>
              <w:bottom w:val="single" w:sz="8" w:color="0591DB"/>
            </w:tcBorders>
          </w:tcPr>
          <w:p>
            <w:pPr>
              <w:spacing w:after="0"/>
              <w:rPr>
                <w:sz w:val="8"/>
                <w:szCs w:val="8"/>
                <w:color w:val="auto"/>
              </w:rPr>
            </w:pPr>
          </w:p>
        </w:tc>
        <w:tc>
          <w:tcPr>
            <w:tcW w:w="20" w:type="dxa"/>
            <w:vAlign w:val="bottom"/>
            <w:tcBorders>
              <w:bottom w:val="single" w:sz="8" w:color="0591DB"/>
            </w:tcBorders>
            <w:shd w:val="clear" w:color="auto" w:fill="0591DB"/>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left w:val="single" w:sz="8" w:color="0591DB"/>
            </w:tcBorders>
          </w:tcPr>
          <w:p>
            <w:pPr>
              <w:spacing w:after="0"/>
              <w:rPr>
                <w:sz w:val="20"/>
                <w:szCs w:val="20"/>
                <w:color w:val="auto"/>
              </w:rPr>
            </w:pPr>
          </w:p>
        </w:tc>
        <w:tc>
          <w:tcPr>
            <w:tcW w:w="980" w:type="dxa"/>
            <w:vAlign w:val="bottom"/>
            <w:tcBorders>
              <w:right w:val="single" w:sz="8" w:color="0591DB"/>
            </w:tcBorders>
          </w:tcPr>
          <w:p>
            <w:pPr>
              <w:spacing w:after="0"/>
              <w:rPr>
                <w:sz w:val="20"/>
                <w:szCs w:val="20"/>
                <w:color w:val="auto"/>
              </w:rPr>
            </w:pPr>
          </w:p>
        </w:tc>
        <w:tc>
          <w:tcPr>
            <w:tcW w:w="1900" w:type="dxa"/>
            <w:vAlign w:val="bottom"/>
            <w:tcBorders>
              <w:right w:val="single" w:sz="8" w:color="0591DB"/>
            </w:tcBorders>
          </w:tcPr>
          <w:p>
            <w:pPr>
              <w:jc w:val="center"/>
              <w:spacing w:after="0" w:line="238" w:lineRule="exact"/>
              <w:rPr>
                <w:sz w:val="20"/>
                <w:szCs w:val="20"/>
                <w:color w:val="auto"/>
              </w:rPr>
            </w:pPr>
            <w:r>
              <w:rPr>
                <w:rFonts w:ascii="Calibri" w:cs="Calibri" w:eastAsia="Calibri" w:hAnsi="Calibri"/>
                <w:sz w:val="21"/>
                <w:szCs w:val="21"/>
                <w:b w:val="1"/>
                <w:bCs w:val="1"/>
                <w:color w:val="0591DB"/>
                <w:w w:val="93"/>
              </w:rPr>
              <w:t>(a)</w:t>
            </w:r>
          </w:p>
        </w:tc>
        <w:tc>
          <w:tcPr>
            <w:tcW w:w="1880" w:type="dxa"/>
            <w:vAlign w:val="bottom"/>
            <w:tcBorders>
              <w:right w:val="single" w:sz="8" w:color="0591DB"/>
            </w:tcBorders>
          </w:tcPr>
          <w:p>
            <w:pPr>
              <w:jc w:val="center"/>
              <w:ind w:right="30"/>
              <w:spacing w:after="0" w:line="238" w:lineRule="exact"/>
              <w:rPr>
                <w:sz w:val="20"/>
                <w:szCs w:val="20"/>
                <w:color w:val="auto"/>
              </w:rPr>
            </w:pPr>
            <w:r>
              <w:rPr>
                <w:rFonts w:ascii="Calibri" w:cs="Calibri" w:eastAsia="Calibri" w:hAnsi="Calibri"/>
                <w:sz w:val="21"/>
                <w:szCs w:val="21"/>
                <w:b w:val="1"/>
                <w:bCs w:val="1"/>
                <w:color w:val="0591DB"/>
                <w:w w:val="98"/>
              </w:rPr>
              <w:t>(b)</w:t>
            </w:r>
          </w:p>
        </w:tc>
        <w:tc>
          <w:tcPr>
            <w:tcW w:w="1980" w:type="dxa"/>
            <w:vAlign w:val="bottom"/>
            <w:tcBorders>
              <w:right w:val="single" w:sz="8" w:color="0591DB"/>
            </w:tcBorders>
          </w:tcPr>
          <w:p>
            <w:pPr>
              <w:jc w:val="center"/>
              <w:ind w:right="29"/>
              <w:spacing w:after="0" w:line="238" w:lineRule="exact"/>
              <w:rPr>
                <w:sz w:val="20"/>
                <w:szCs w:val="20"/>
                <w:color w:val="auto"/>
              </w:rPr>
            </w:pPr>
            <w:r>
              <w:rPr>
                <w:rFonts w:ascii="Calibri" w:cs="Calibri" w:eastAsia="Calibri" w:hAnsi="Calibri"/>
                <w:sz w:val="21"/>
                <w:szCs w:val="21"/>
                <w:b w:val="1"/>
                <w:bCs w:val="1"/>
                <w:color w:val="0591DB"/>
              </w:rPr>
              <w:t>(c)</w:t>
            </w:r>
          </w:p>
        </w:tc>
        <w:tc>
          <w:tcPr>
            <w:tcW w:w="1880" w:type="dxa"/>
            <w:vAlign w:val="bottom"/>
          </w:tcPr>
          <w:p>
            <w:pPr>
              <w:jc w:val="center"/>
              <w:ind w:right="30"/>
              <w:spacing w:after="0" w:line="238" w:lineRule="exact"/>
              <w:rPr>
                <w:sz w:val="20"/>
                <w:szCs w:val="20"/>
                <w:color w:val="auto"/>
              </w:rPr>
            </w:pPr>
            <w:r>
              <w:rPr>
                <w:rFonts w:ascii="Calibri" w:cs="Calibri" w:eastAsia="Calibri" w:hAnsi="Calibri"/>
                <w:sz w:val="21"/>
                <w:szCs w:val="21"/>
                <w:b w:val="1"/>
                <w:bCs w:val="1"/>
                <w:color w:val="0591DB"/>
                <w:w w:val="98"/>
              </w:rPr>
              <w:t>(d)</w:t>
            </w:r>
          </w:p>
        </w:tc>
        <w:tc>
          <w:tcPr>
            <w:tcW w:w="20" w:type="dxa"/>
            <w:vAlign w:val="bottom"/>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280" w:type="dxa"/>
            <w:vAlign w:val="bottom"/>
            <w:tcBorders>
              <w:left w:val="single" w:sz="8" w:color="0591DB"/>
              <w:bottom w:val="single" w:sz="8" w:color="0591DB"/>
            </w:tcBorders>
          </w:tcPr>
          <w:p>
            <w:pPr>
              <w:spacing w:after="0"/>
              <w:rPr>
                <w:sz w:val="5"/>
                <w:szCs w:val="5"/>
                <w:color w:val="auto"/>
              </w:rPr>
            </w:pPr>
          </w:p>
        </w:tc>
        <w:tc>
          <w:tcPr>
            <w:tcW w:w="980" w:type="dxa"/>
            <w:vAlign w:val="bottom"/>
            <w:tcBorders>
              <w:bottom w:val="single" w:sz="8" w:color="0591DB"/>
              <w:right w:val="single" w:sz="8" w:color="0591DB"/>
            </w:tcBorders>
          </w:tcPr>
          <w:p>
            <w:pPr>
              <w:spacing w:after="0"/>
              <w:rPr>
                <w:sz w:val="5"/>
                <w:szCs w:val="5"/>
                <w:color w:val="auto"/>
              </w:rPr>
            </w:pPr>
          </w:p>
        </w:tc>
        <w:tc>
          <w:tcPr>
            <w:tcW w:w="1900" w:type="dxa"/>
            <w:vAlign w:val="bottom"/>
            <w:tcBorders>
              <w:bottom w:val="single" w:sz="8" w:color="0591DB"/>
              <w:right w:val="single" w:sz="8" w:color="0591DB"/>
            </w:tcBorders>
          </w:tcPr>
          <w:p>
            <w:pPr>
              <w:spacing w:after="0"/>
              <w:rPr>
                <w:sz w:val="5"/>
                <w:szCs w:val="5"/>
                <w:color w:val="auto"/>
              </w:rPr>
            </w:pPr>
          </w:p>
        </w:tc>
        <w:tc>
          <w:tcPr>
            <w:tcW w:w="1880" w:type="dxa"/>
            <w:vAlign w:val="bottom"/>
            <w:tcBorders>
              <w:bottom w:val="single" w:sz="8" w:color="0591DB"/>
              <w:right w:val="single" w:sz="8" w:color="0591DB"/>
            </w:tcBorders>
          </w:tcPr>
          <w:p>
            <w:pPr>
              <w:spacing w:after="0"/>
              <w:rPr>
                <w:sz w:val="5"/>
                <w:szCs w:val="5"/>
                <w:color w:val="auto"/>
              </w:rPr>
            </w:pPr>
          </w:p>
        </w:tc>
        <w:tc>
          <w:tcPr>
            <w:tcW w:w="1980" w:type="dxa"/>
            <w:vAlign w:val="bottom"/>
            <w:tcBorders>
              <w:bottom w:val="single" w:sz="8" w:color="0591DB"/>
              <w:right w:val="single" w:sz="8" w:color="0591DB"/>
            </w:tcBorders>
          </w:tcPr>
          <w:p>
            <w:pPr>
              <w:spacing w:after="0"/>
              <w:rPr>
                <w:sz w:val="5"/>
                <w:szCs w:val="5"/>
                <w:color w:val="auto"/>
              </w:rPr>
            </w:pPr>
          </w:p>
        </w:tc>
        <w:tc>
          <w:tcPr>
            <w:tcW w:w="1880" w:type="dxa"/>
            <w:vAlign w:val="bottom"/>
            <w:tcBorders>
              <w:bottom w:val="single" w:sz="8" w:color="0591DB"/>
            </w:tcBorders>
          </w:tcPr>
          <w:p>
            <w:pPr>
              <w:spacing w:after="0"/>
              <w:rPr>
                <w:sz w:val="5"/>
                <w:szCs w:val="5"/>
                <w:color w:val="auto"/>
              </w:rPr>
            </w:pPr>
          </w:p>
        </w:tc>
        <w:tc>
          <w:tcPr>
            <w:tcW w:w="20" w:type="dxa"/>
            <w:vAlign w:val="bottom"/>
            <w:tcBorders>
              <w:bottom w:val="single" w:sz="8" w:color="0591DB"/>
            </w:tcBorders>
            <w:shd w:val="clear" w:color="auto" w:fill="0591DB"/>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60" w:type="dxa"/>
            <w:vAlign w:val="bottom"/>
            <w:gridSpan w:val="2"/>
          </w:tcPr>
          <w:p>
            <w:pPr>
              <w:spacing w:after="0" w:line="197" w:lineRule="exact"/>
              <w:rPr>
                <w:sz w:val="20"/>
                <w:szCs w:val="20"/>
                <w:color w:val="auto"/>
              </w:rPr>
            </w:pPr>
            <w:r>
              <w:rPr>
                <w:rFonts w:ascii="Calibri" w:cs="Calibri" w:eastAsia="Calibri" w:hAnsi="Calibri"/>
                <w:sz w:val="17"/>
                <w:szCs w:val="17"/>
                <w:b w:val="1"/>
                <w:bCs w:val="1"/>
                <w:color w:val="333333"/>
              </w:rPr>
              <w:t> </w:t>
            </w:r>
            <w:r>
              <w:rPr>
                <w:rFonts w:ascii="Calibri" w:cs="Calibri" w:eastAsia="Calibri" w:hAnsi="Calibri"/>
                <w:sz w:val="17"/>
                <w:szCs w:val="17"/>
                <w:b w:val="1"/>
                <w:bCs w:val="1"/>
                <w:color w:val="0591DB"/>
              </w:rPr>
              <w:t>Steven H. Gunby</w:t>
            </w:r>
          </w:p>
        </w:tc>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ind w:left="320"/>
              <w:spacing w:after="0" w:line="203" w:lineRule="exact"/>
              <w:rPr>
                <w:sz w:val="20"/>
                <w:szCs w:val="20"/>
                <w:color w:val="auto"/>
              </w:rPr>
            </w:pPr>
            <w:r>
              <w:rPr>
                <w:rFonts w:ascii="Calibri" w:cs="Calibri" w:eastAsia="Calibri" w:hAnsi="Calibri"/>
                <w:sz w:val="17"/>
                <w:szCs w:val="17"/>
                <w:color w:val="333333"/>
              </w:rPr>
              <w:t>Optons</w:t>
            </w:r>
          </w:p>
        </w:tc>
        <w:tc>
          <w:tcPr>
            <w:tcW w:w="190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2,912</w:t>
            </w:r>
          </w:p>
        </w:tc>
        <w:tc>
          <w:tcPr>
            <w:tcW w:w="18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9"/>
              </w:rPr>
              <w:t>386,481</w:t>
            </w:r>
          </w:p>
        </w:tc>
        <w:tc>
          <w:tcPr>
            <w:tcW w:w="19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880" w:type="dxa"/>
            <w:vAlign w:val="bottom"/>
            <w:tcBorders>
              <w:bottom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320"/>
              <w:spacing w:after="0" w:line="203" w:lineRule="exact"/>
              <w:rPr>
                <w:sz w:val="20"/>
                <w:szCs w:val="20"/>
                <w:color w:val="auto"/>
              </w:rPr>
            </w:pPr>
            <w:r>
              <w:rPr>
                <w:rFonts w:ascii="Calibri" w:cs="Calibri" w:eastAsia="Calibri" w:hAnsi="Calibri"/>
                <w:sz w:val="17"/>
                <w:szCs w:val="17"/>
                <w:color w:val="333333"/>
              </w:rPr>
              <w:t>Stock</w:t>
            </w:r>
          </w:p>
        </w:tc>
        <w:tc>
          <w:tcPr>
            <w:tcW w:w="190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Pr>
          <w:p>
            <w:pPr>
              <w:jc w:val="center"/>
              <w:spacing w:after="0" w:line="203" w:lineRule="exact"/>
              <w:rPr>
                <w:sz w:val="20"/>
                <w:szCs w:val="20"/>
                <w:color w:val="auto"/>
              </w:rPr>
            </w:pPr>
            <w:r>
              <w:rPr>
                <w:rFonts w:ascii="Calibri" w:cs="Calibri" w:eastAsia="Calibri" w:hAnsi="Calibri"/>
                <w:sz w:val="17"/>
                <w:szCs w:val="17"/>
                <w:color w:val="333333"/>
              </w:rPr>
              <w:t>45,781</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8,322,406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 </w:t>
            </w:r>
            <w:r>
              <w:rPr>
                <w:rFonts w:ascii="Calibri" w:cs="Calibri" w:eastAsia="Calibri" w:hAnsi="Calibri"/>
                <w:sz w:val="17"/>
                <w:szCs w:val="17"/>
                <w:b w:val="1"/>
                <w:bCs w:val="1"/>
                <w:color w:val="0591DB"/>
              </w:rPr>
              <w:t>Paul Linton</w:t>
            </w:r>
          </w:p>
        </w:tc>
        <w:tc>
          <w:tcPr>
            <w:tcW w:w="1900" w:type="dxa"/>
            <w:vAlign w:val="bottom"/>
            <w:tcBorders>
              <w:bottom w:val="single" w:sz="8" w:color="EFF2EF"/>
              <w:right w:val="single" w:sz="8" w:color="EFF2EF"/>
            </w:tcBorders>
            <w:shd w:val="clear" w:color="auto" w:fill="EFF2EF"/>
          </w:tcPr>
          <w:p>
            <w:pPr>
              <w:spacing w:after="0"/>
              <w:rPr>
                <w:sz w:val="20"/>
                <w:szCs w:val="20"/>
                <w:color w:val="auto"/>
              </w:rPr>
            </w:pPr>
          </w:p>
        </w:tc>
        <w:tc>
          <w:tcPr>
            <w:tcW w:w="1880" w:type="dxa"/>
            <w:vAlign w:val="bottom"/>
            <w:tcBorders>
              <w:bottom w:val="single" w:sz="8" w:color="EFF2EF"/>
              <w:right w:val="single" w:sz="8" w:color="EFF2EF"/>
            </w:tcBorders>
            <w:shd w:val="clear" w:color="auto" w:fill="EFF2EF"/>
          </w:tcPr>
          <w:p>
            <w:pPr>
              <w:spacing w:after="0"/>
              <w:rPr>
                <w:sz w:val="20"/>
                <w:szCs w:val="20"/>
                <w:color w:val="auto"/>
              </w:rPr>
            </w:pPr>
          </w:p>
        </w:tc>
        <w:tc>
          <w:tcPr>
            <w:tcW w:w="1980" w:type="dxa"/>
            <w:vAlign w:val="bottom"/>
            <w:tcBorders>
              <w:bottom w:val="single" w:sz="8" w:color="EFF2EF"/>
              <w:right w:val="single" w:sz="8" w:color="EFF2EF"/>
            </w:tcBorders>
            <w:shd w:val="clear" w:color="auto" w:fill="EFF2EF"/>
          </w:tcPr>
          <w:p>
            <w:pPr>
              <w:spacing w:after="0"/>
              <w:rPr>
                <w:sz w:val="20"/>
                <w:szCs w:val="20"/>
                <w:color w:val="auto"/>
              </w:rPr>
            </w:pPr>
          </w:p>
        </w:tc>
        <w:tc>
          <w:tcPr>
            <w:tcW w:w="188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320"/>
              <w:spacing w:after="0" w:line="203" w:lineRule="exact"/>
              <w:rPr>
                <w:sz w:val="20"/>
                <w:szCs w:val="20"/>
                <w:color w:val="auto"/>
              </w:rPr>
            </w:pPr>
            <w:r>
              <w:rPr>
                <w:rFonts w:ascii="Calibri" w:cs="Calibri" w:eastAsia="Calibri" w:hAnsi="Calibri"/>
                <w:sz w:val="17"/>
                <w:szCs w:val="17"/>
                <w:color w:val="333333"/>
              </w:rPr>
              <w:t>Optons</w:t>
            </w:r>
          </w:p>
        </w:tc>
        <w:tc>
          <w:tcPr>
            <w:tcW w:w="1900" w:type="dxa"/>
            <w:vAlign w:val="bottom"/>
          </w:tcPr>
          <w:p>
            <w:pPr>
              <w:jc w:val="center"/>
              <w:spacing w:after="0" w:line="203" w:lineRule="exact"/>
              <w:rPr>
                <w:sz w:val="20"/>
                <w:szCs w:val="20"/>
                <w:color w:val="auto"/>
              </w:rPr>
            </w:pPr>
            <w:r>
              <w:rPr>
                <w:rFonts w:ascii="Calibri" w:cs="Calibri" w:eastAsia="Calibri" w:hAnsi="Calibri"/>
                <w:sz w:val="17"/>
                <w:szCs w:val="17"/>
                <w:color w:val="333333"/>
              </w:rPr>
              <w:t>14,858</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1,912,008</w:t>
            </w:r>
          </w:p>
        </w:tc>
        <w:tc>
          <w:tcPr>
            <w:tcW w:w="198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ind w:left="320"/>
              <w:spacing w:after="0" w:line="203" w:lineRule="exact"/>
              <w:rPr>
                <w:sz w:val="20"/>
                <w:szCs w:val="20"/>
                <w:color w:val="auto"/>
              </w:rPr>
            </w:pPr>
            <w:r>
              <w:rPr>
                <w:rFonts w:ascii="Calibri" w:cs="Calibri" w:eastAsia="Calibri" w:hAnsi="Calibri"/>
                <w:sz w:val="17"/>
                <w:szCs w:val="17"/>
                <w:color w:val="333333"/>
              </w:rPr>
              <w:t>Stock</w:t>
            </w:r>
          </w:p>
        </w:tc>
        <w:tc>
          <w:tcPr>
            <w:tcW w:w="190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5,194</w:t>
            </w:r>
          </w:p>
        </w:tc>
        <w:tc>
          <w:tcPr>
            <w:tcW w:w="1880" w:type="dxa"/>
            <w:vAlign w:val="bottom"/>
            <w:tcBorders>
              <w:bottom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942,925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spacing w:after="0" w:line="203" w:lineRule="exact"/>
              <w:rPr>
                <w:sz w:val="20"/>
                <w:szCs w:val="20"/>
                <w:color w:val="auto"/>
              </w:rPr>
            </w:pPr>
            <w:r>
              <w:rPr>
                <w:rFonts w:ascii="Calibri" w:cs="Calibri" w:eastAsia="Calibri" w:hAnsi="Calibri"/>
                <w:sz w:val="17"/>
                <w:szCs w:val="17"/>
                <w:b w:val="1"/>
                <w:bCs w:val="1"/>
                <w:color w:val="333333"/>
              </w:rPr>
              <w:t> </w:t>
            </w:r>
            <w:r>
              <w:rPr>
                <w:rFonts w:ascii="Calibri" w:cs="Calibri" w:eastAsia="Calibri" w:hAnsi="Calibri"/>
                <w:sz w:val="17"/>
                <w:szCs w:val="17"/>
                <w:b w:val="1"/>
                <w:bCs w:val="1"/>
                <w:color w:val="0591DB"/>
              </w:rPr>
              <w:t>Ajay Sabherwal</w:t>
            </w:r>
          </w:p>
        </w:tc>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ind w:left="320"/>
              <w:spacing w:after="0" w:line="203" w:lineRule="exact"/>
              <w:rPr>
                <w:sz w:val="20"/>
                <w:szCs w:val="20"/>
                <w:color w:val="auto"/>
              </w:rPr>
            </w:pPr>
            <w:r>
              <w:rPr>
                <w:rFonts w:ascii="Calibri" w:cs="Calibri" w:eastAsia="Calibri" w:hAnsi="Calibri"/>
                <w:sz w:val="17"/>
                <w:szCs w:val="17"/>
                <w:color w:val="333333"/>
              </w:rPr>
              <w:t>Optons</w:t>
            </w:r>
          </w:p>
        </w:tc>
        <w:tc>
          <w:tcPr>
            <w:tcW w:w="190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13,065</w:t>
            </w:r>
          </w:p>
        </w:tc>
        <w:tc>
          <w:tcPr>
            <w:tcW w:w="18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1,627,971</w:t>
            </w:r>
          </w:p>
        </w:tc>
        <w:tc>
          <w:tcPr>
            <w:tcW w:w="19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880" w:type="dxa"/>
            <w:vAlign w:val="bottom"/>
            <w:tcBorders>
              <w:bottom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320"/>
              <w:spacing w:after="0" w:line="203" w:lineRule="exact"/>
              <w:rPr>
                <w:sz w:val="20"/>
                <w:szCs w:val="20"/>
                <w:color w:val="auto"/>
              </w:rPr>
            </w:pPr>
            <w:r>
              <w:rPr>
                <w:rFonts w:ascii="Calibri" w:cs="Calibri" w:eastAsia="Calibri" w:hAnsi="Calibri"/>
                <w:sz w:val="17"/>
                <w:szCs w:val="17"/>
                <w:color w:val="333333"/>
              </w:rPr>
              <w:t>Stock</w:t>
            </w:r>
          </w:p>
        </w:tc>
        <w:tc>
          <w:tcPr>
            <w:tcW w:w="190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5,194</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942,925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 </w:t>
            </w:r>
            <w:r>
              <w:rPr>
                <w:rFonts w:ascii="Calibri" w:cs="Calibri" w:eastAsia="Calibri" w:hAnsi="Calibri"/>
                <w:sz w:val="17"/>
                <w:szCs w:val="17"/>
                <w:b w:val="1"/>
                <w:bCs w:val="1"/>
                <w:color w:val="0591DB"/>
              </w:rPr>
              <w:t>Curts P. Lu</w:t>
            </w:r>
          </w:p>
        </w:tc>
        <w:tc>
          <w:tcPr>
            <w:tcW w:w="1900" w:type="dxa"/>
            <w:vAlign w:val="bottom"/>
            <w:tcBorders>
              <w:bottom w:val="single" w:sz="8" w:color="EFF2EF"/>
              <w:right w:val="single" w:sz="8" w:color="EFF2EF"/>
            </w:tcBorders>
            <w:shd w:val="clear" w:color="auto" w:fill="EFF2EF"/>
          </w:tcPr>
          <w:p>
            <w:pPr>
              <w:spacing w:after="0"/>
              <w:rPr>
                <w:sz w:val="20"/>
                <w:szCs w:val="20"/>
                <w:color w:val="auto"/>
              </w:rPr>
            </w:pPr>
          </w:p>
        </w:tc>
        <w:tc>
          <w:tcPr>
            <w:tcW w:w="1880" w:type="dxa"/>
            <w:vAlign w:val="bottom"/>
            <w:tcBorders>
              <w:bottom w:val="single" w:sz="8" w:color="EFF2EF"/>
              <w:right w:val="single" w:sz="8" w:color="EFF2EF"/>
            </w:tcBorders>
            <w:shd w:val="clear" w:color="auto" w:fill="EFF2EF"/>
          </w:tcPr>
          <w:p>
            <w:pPr>
              <w:spacing w:after="0"/>
              <w:rPr>
                <w:sz w:val="20"/>
                <w:szCs w:val="20"/>
                <w:color w:val="auto"/>
              </w:rPr>
            </w:pPr>
          </w:p>
        </w:tc>
        <w:tc>
          <w:tcPr>
            <w:tcW w:w="1980" w:type="dxa"/>
            <w:vAlign w:val="bottom"/>
            <w:tcBorders>
              <w:bottom w:val="single" w:sz="8" w:color="EFF2EF"/>
              <w:right w:val="single" w:sz="8" w:color="EFF2EF"/>
            </w:tcBorders>
            <w:shd w:val="clear" w:color="auto" w:fill="EFF2EF"/>
          </w:tcPr>
          <w:p>
            <w:pPr>
              <w:spacing w:after="0"/>
              <w:rPr>
                <w:sz w:val="20"/>
                <w:szCs w:val="20"/>
                <w:color w:val="auto"/>
              </w:rPr>
            </w:pPr>
          </w:p>
        </w:tc>
        <w:tc>
          <w:tcPr>
            <w:tcW w:w="188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320"/>
              <w:spacing w:after="0" w:line="203" w:lineRule="exact"/>
              <w:rPr>
                <w:sz w:val="20"/>
                <w:szCs w:val="20"/>
                <w:color w:val="auto"/>
              </w:rPr>
            </w:pPr>
            <w:r>
              <w:rPr>
                <w:rFonts w:ascii="Calibri" w:cs="Calibri" w:eastAsia="Calibri" w:hAnsi="Calibri"/>
                <w:sz w:val="17"/>
                <w:szCs w:val="17"/>
                <w:color w:val="333333"/>
              </w:rPr>
              <w:t>Optons</w:t>
            </w:r>
          </w:p>
        </w:tc>
        <w:tc>
          <w:tcPr>
            <w:tcW w:w="1900" w:type="dxa"/>
            <w:vAlign w:val="bottom"/>
          </w:tcPr>
          <w:p>
            <w:pPr>
              <w:jc w:val="center"/>
              <w:spacing w:after="0" w:line="203" w:lineRule="exact"/>
              <w:rPr>
                <w:sz w:val="20"/>
                <w:szCs w:val="20"/>
                <w:color w:val="auto"/>
              </w:rPr>
            </w:pPr>
            <w:r>
              <w:rPr>
                <w:rFonts w:ascii="Calibri" w:cs="Calibri" w:eastAsia="Calibri" w:hAnsi="Calibri"/>
                <w:sz w:val="17"/>
                <w:szCs w:val="17"/>
                <w:color w:val="333333"/>
              </w:rPr>
              <w:t>4,953</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w w:val="99"/>
              </w:rPr>
              <w:t>615,529</w:t>
            </w:r>
          </w:p>
        </w:tc>
        <w:tc>
          <w:tcPr>
            <w:tcW w:w="198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ind w:left="320"/>
              <w:spacing w:after="0" w:line="203" w:lineRule="exact"/>
              <w:rPr>
                <w:sz w:val="20"/>
                <w:szCs w:val="20"/>
                <w:color w:val="auto"/>
              </w:rPr>
            </w:pPr>
            <w:r>
              <w:rPr>
                <w:rFonts w:ascii="Calibri" w:cs="Calibri" w:eastAsia="Calibri" w:hAnsi="Calibri"/>
                <w:sz w:val="17"/>
                <w:szCs w:val="17"/>
                <w:color w:val="333333"/>
              </w:rPr>
              <w:t>Stock</w:t>
            </w:r>
          </w:p>
        </w:tc>
        <w:tc>
          <w:tcPr>
            <w:tcW w:w="190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7"/>
              </w:rPr>
              <w:t>5,194</w:t>
            </w:r>
          </w:p>
        </w:tc>
        <w:tc>
          <w:tcPr>
            <w:tcW w:w="1880" w:type="dxa"/>
            <w:vAlign w:val="bottom"/>
            <w:tcBorders>
              <w:bottom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942,925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spacing w:after="0" w:line="203" w:lineRule="exact"/>
              <w:rPr>
                <w:sz w:val="20"/>
                <w:szCs w:val="20"/>
                <w:color w:val="auto"/>
              </w:rPr>
            </w:pPr>
            <w:r>
              <w:rPr>
                <w:rFonts w:ascii="Calibri" w:cs="Calibri" w:eastAsia="Calibri" w:hAnsi="Calibri"/>
                <w:sz w:val="17"/>
                <w:szCs w:val="17"/>
                <w:b w:val="1"/>
                <w:bCs w:val="1"/>
                <w:color w:val="333333"/>
              </w:rPr>
              <w:t> </w:t>
            </w:r>
            <w:r>
              <w:rPr>
                <w:rFonts w:ascii="Calibri" w:cs="Calibri" w:eastAsia="Calibri" w:hAnsi="Calibri"/>
                <w:sz w:val="17"/>
                <w:szCs w:val="17"/>
                <w:b w:val="1"/>
                <w:bCs w:val="1"/>
                <w:color w:val="0591DB"/>
              </w:rPr>
              <w:t>Holly Paul</w:t>
            </w:r>
          </w:p>
        </w:tc>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ind w:left="320"/>
              <w:spacing w:after="0" w:line="203" w:lineRule="exact"/>
              <w:rPr>
                <w:sz w:val="20"/>
                <w:szCs w:val="20"/>
                <w:color w:val="auto"/>
              </w:rPr>
            </w:pPr>
            <w:r>
              <w:rPr>
                <w:rFonts w:ascii="Calibri" w:cs="Calibri" w:eastAsia="Calibri" w:hAnsi="Calibri"/>
                <w:sz w:val="17"/>
                <w:szCs w:val="17"/>
                <w:color w:val="333333"/>
              </w:rPr>
              <w:t>Optons</w:t>
            </w:r>
          </w:p>
        </w:tc>
        <w:tc>
          <w:tcPr>
            <w:tcW w:w="190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880" w:type="dxa"/>
            <w:vAlign w:val="bottom"/>
            <w:tcBorders>
              <w:bottom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320"/>
              <w:spacing w:after="0" w:line="203" w:lineRule="exact"/>
              <w:rPr>
                <w:sz w:val="20"/>
                <w:szCs w:val="20"/>
                <w:color w:val="auto"/>
              </w:rPr>
            </w:pPr>
            <w:r>
              <w:rPr>
                <w:rFonts w:ascii="Calibri" w:cs="Calibri" w:eastAsia="Calibri" w:hAnsi="Calibri"/>
                <w:sz w:val="17"/>
                <w:szCs w:val="17"/>
                <w:color w:val="333333"/>
              </w:rPr>
              <w:t>Stock</w:t>
            </w:r>
          </w:p>
        </w:tc>
        <w:tc>
          <w:tcPr>
            <w:tcW w:w="190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Pr>
          <w:p>
            <w:pPr>
              <w:jc w:val="center"/>
              <w:spacing w:after="0" w:line="203" w:lineRule="exact"/>
              <w:rPr>
                <w:sz w:val="20"/>
                <w:szCs w:val="20"/>
                <w:color w:val="auto"/>
              </w:rPr>
            </w:pPr>
            <w:r>
              <w:rPr>
                <w:rFonts w:ascii="Calibri" w:cs="Calibri" w:eastAsia="Calibri" w:hAnsi="Calibri"/>
                <w:sz w:val="17"/>
                <w:szCs w:val="17"/>
                <w:color w:val="333333"/>
                <w:w w:val="97"/>
              </w:rPr>
              <w:t>5,081</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923,857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 </w:t>
            </w:r>
            <w:r>
              <w:rPr>
                <w:rFonts w:ascii="Calibri" w:cs="Calibri" w:eastAsia="Calibri" w:hAnsi="Calibri"/>
                <w:sz w:val="17"/>
                <w:szCs w:val="17"/>
                <w:b w:val="1"/>
                <w:bCs w:val="1"/>
                <w:color w:val="0591DB"/>
              </w:rPr>
              <w:t>Brendan J. Keatng</w:t>
            </w:r>
          </w:p>
        </w:tc>
        <w:tc>
          <w:tcPr>
            <w:tcW w:w="1900" w:type="dxa"/>
            <w:vAlign w:val="bottom"/>
            <w:tcBorders>
              <w:bottom w:val="single" w:sz="8" w:color="EFF2EF"/>
              <w:right w:val="single" w:sz="8" w:color="EFF2EF"/>
            </w:tcBorders>
            <w:shd w:val="clear" w:color="auto" w:fill="EFF2EF"/>
          </w:tcPr>
          <w:p>
            <w:pPr>
              <w:spacing w:after="0"/>
              <w:rPr>
                <w:sz w:val="20"/>
                <w:szCs w:val="20"/>
                <w:color w:val="auto"/>
              </w:rPr>
            </w:pPr>
          </w:p>
        </w:tc>
        <w:tc>
          <w:tcPr>
            <w:tcW w:w="1880" w:type="dxa"/>
            <w:vAlign w:val="bottom"/>
            <w:tcBorders>
              <w:bottom w:val="single" w:sz="8" w:color="EFF2EF"/>
              <w:right w:val="single" w:sz="8" w:color="EFF2EF"/>
            </w:tcBorders>
            <w:shd w:val="clear" w:color="auto" w:fill="EFF2EF"/>
          </w:tcPr>
          <w:p>
            <w:pPr>
              <w:spacing w:after="0"/>
              <w:rPr>
                <w:sz w:val="20"/>
                <w:szCs w:val="20"/>
                <w:color w:val="auto"/>
              </w:rPr>
            </w:pPr>
          </w:p>
        </w:tc>
        <w:tc>
          <w:tcPr>
            <w:tcW w:w="1980" w:type="dxa"/>
            <w:vAlign w:val="bottom"/>
            <w:tcBorders>
              <w:bottom w:val="single" w:sz="8" w:color="EFF2EF"/>
              <w:right w:val="single" w:sz="8" w:color="EFF2EF"/>
            </w:tcBorders>
            <w:shd w:val="clear" w:color="auto" w:fill="EFF2EF"/>
          </w:tcPr>
          <w:p>
            <w:pPr>
              <w:spacing w:after="0"/>
              <w:rPr>
                <w:sz w:val="20"/>
                <w:szCs w:val="20"/>
                <w:color w:val="auto"/>
              </w:rPr>
            </w:pPr>
          </w:p>
        </w:tc>
        <w:tc>
          <w:tcPr>
            <w:tcW w:w="188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320"/>
              <w:spacing w:after="0" w:line="203" w:lineRule="exact"/>
              <w:rPr>
                <w:sz w:val="20"/>
                <w:szCs w:val="20"/>
                <w:color w:val="auto"/>
              </w:rPr>
            </w:pPr>
            <w:r>
              <w:rPr>
                <w:rFonts w:ascii="Calibri" w:cs="Calibri" w:eastAsia="Calibri" w:hAnsi="Calibri"/>
                <w:sz w:val="17"/>
                <w:szCs w:val="17"/>
                <w:color w:val="333333"/>
              </w:rPr>
              <w:t>Optons</w:t>
            </w:r>
          </w:p>
        </w:tc>
        <w:tc>
          <w:tcPr>
            <w:tcW w:w="190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1880" w:type="dxa"/>
            <w:vAlign w:val="bottom"/>
          </w:tcPr>
          <w:p>
            <w:pPr>
              <w:jc w:val="center"/>
              <w:spacing w:after="0" w:line="203" w:lineRule="exact"/>
              <w:rPr>
                <w:sz w:val="20"/>
                <w:szCs w:val="20"/>
                <w:color w:val="auto"/>
              </w:rPr>
            </w:pPr>
            <w:r>
              <w:rPr>
                <w:rFonts w:ascii="Calibri" w:cs="Calibri" w:eastAsia="Calibri" w:hAnsi="Calibri"/>
                <w:sz w:val="17"/>
                <w:szCs w:val="17"/>
                <w:color w:val="333333"/>
                <w:w w:val="9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Borders>
              <w:left w:val="single" w:sz="8" w:color="EFF2EF"/>
              <w:bottom w:val="single" w:sz="8" w:color="EFF2EF"/>
              <w:right w:val="single" w:sz="8" w:color="EFF2EF"/>
            </w:tcBorders>
            <w:gridSpan w:val="2"/>
            <w:shd w:val="clear" w:color="auto" w:fill="EFF2EF"/>
          </w:tcPr>
          <w:p>
            <w:pPr>
              <w:ind w:left="320"/>
              <w:spacing w:after="0" w:line="203" w:lineRule="exact"/>
              <w:rPr>
                <w:sz w:val="20"/>
                <w:szCs w:val="20"/>
                <w:color w:val="auto"/>
              </w:rPr>
            </w:pPr>
            <w:r>
              <w:rPr>
                <w:rFonts w:ascii="Calibri" w:cs="Calibri" w:eastAsia="Calibri" w:hAnsi="Calibri"/>
                <w:sz w:val="17"/>
                <w:szCs w:val="17"/>
                <w:color w:val="333333"/>
              </w:rPr>
              <w:t>Stock</w:t>
            </w:r>
          </w:p>
        </w:tc>
        <w:tc>
          <w:tcPr>
            <w:tcW w:w="190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8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w:t>
            </w:r>
          </w:p>
        </w:tc>
        <w:tc>
          <w:tcPr>
            <w:tcW w:w="1980" w:type="dxa"/>
            <w:vAlign w:val="bottom"/>
            <w:tcBorders>
              <w:bottom w:val="single" w:sz="8" w:color="EFF2EF"/>
              <w:right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642</w:t>
            </w:r>
          </w:p>
        </w:tc>
        <w:tc>
          <w:tcPr>
            <w:tcW w:w="1880" w:type="dxa"/>
            <w:vAlign w:val="bottom"/>
            <w:tcBorders>
              <w:bottom w:val="single" w:sz="8" w:color="EFF2EF"/>
            </w:tcBorders>
            <w:shd w:val="clear" w:color="auto" w:fill="EFF2EF"/>
          </w:tcPr>
          <w:p>
            <w:pPr>
              <w:jc w:val="center"/>
              <w:spacing w:after="0" w:line="203" w:lineRule="exact"/>
              <w:rPr>
                <w:sz w:val="20"/>
                <w:szCs w:val="20"/>
                <w:color w:val="auto"/>
              </w:rPr>
            </w:pPr>
            <w:r>
              <w:rPr>
                <w:rFonts w:ascii="Calibri" w:cs="Calibri" w:eastAsia="Calibri" w:hAnsi="Calibri"/>
                <w:sz w:val="17"/>
                <w:szCs w:val="17"/>
                <w:color w:val="333333"/>
              </w:rPr>
              <w:t>108,338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bottom w:val="single" w:sz="8" w:color="333333"/>
            </w:tcBorders>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0" w:right="280" w:hanging="433"/>
        <w:spacing w:after="0" w:line="232" w:lineRule="auto"/>
        <w:tabs>
          <w:tab w:leader="none" w:pos="600" w:val="left"/>
        </w:tabs>
        <w:numPr>
          <w:ilvl w:val="0"/>
          <w:numId w:val="111"/>
        </w:numPr>
        <w:rPr>
          <w:rFonts w:ascii="Calibri" w:cs="Calibri" w:eastAsia="Calibri" w:hAnsi="Calibri"/>
          <w:sz w:val="13"/>
          <w:szCs w:val="13"/>
          <w:color w:val="333333"/>
        </w:rPr>
      </w:pPr>
      <w:r>
        <w:rPr>
          <w:rFonts w:ascii="Calibri" w:cs="Calibri" w:eastAsia="Calibri" w:hAnsi="Calibri"/>
          <w:sz w:val="17"/>
          <w:szCs w:val="17"/>
          <w:color w:val="333333"/>
        </w:rPr>
        <w:t>The value realized upon the exercise of stock optons is computed by multplying (a) the diference between (i) the market price of the underlying shares of Common Stock at the exercise date and (ii) the exercise price of the optons by (b) the number of shares for which the optons were exercised.</w:t>
      </w:r>
    </w:p>
    <w:p>
      <w:pPr>
        <w:spacing w:after="0" w:line="120" w:lineRule="exact"/>
        <w:rPr>
          <w:rFonts w:ascii="Calibri" w:cs="Calibri" w:eastAsia="Calibri" w:hAnsi="Calibri"/>
          <w:sz w:val="13"/>
          <w:szCs w:val="13"/>
          <w:color w:val="333333"/>
        </w:rPr>
      </w:pPr>
    </w:p>
    <w:p>
      <w:pPr>
        <w:ind w:left="600" w:right="320" w:hanging="433"/>
        <w:spacing w:after="0" w:line="233" w:lineRule="auto"/>
        <w:tabs>
          <w:tab w:leader="none" w:pos="600" w:val="left"/>
        </w:tabs>
        <w:numPr>
          <w:ilvl w:val="0"/>
          <w:numId w:val="111"/>
        </w:numPr>
        <w:rPr>
          <w:rFonts w:ascii="Calibri" w:cs="Calibri" w:eastAsia="Calibri" w:hAnsi="Calibri"/>
          <w:sz w:val="13"/>
          <w:szCs w:val="13"/>
          <w:color w:val="333333"/>
        </w:rPr>
      </w:pPr>
      <w:r>
        <w:rPr>
          <w:rFonts w:ascii="Calibri" w:cs="Calibri" w:eastAsia="Calibri" w:hAnsi="Calibri"/>
          <w:sz w:val="17"/>
          <w:szCs w:val="17"/>
          <w:color w:val="333333"/>
        </w:rPr>
        <w:t>The value realized on vestng of restricted stock is computed by multplying (a) the market value of the shares of Common Stock at the applicable vestng date by (b) the number of restricted shares that vested on that date.</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93</w:t>
      </w:r>
    </w:p>
    <w:p>
      <w:pPr>
        <w:sectPr>
          <w:pgSz w:w="11900" w:h="16838" w:orient="portrait"/>
          <w:cols w:equalWidth="0" w:num="1">
            <w:col w:w="11100"/>
          </w:cols>
          <w:pgMar w:left="320" w:top="478"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PAY VERSUS PERFORMANCE DISCLOSURE</w:t>
      </w:r>
    </w:p>
    <w:p>
      <w:pPr>
        <w:spacing w:after="0" w:line="212"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 xml:space="preserve">As required by Secton 953(a) of the Dodd-Frank Wall Street Reform and Consumer Protecton Act, we are providing the following disclosure of “compensaton actually paid” (“CAP”), as calculated in accordance with SEC rules, to our NEOs and certain Company performance measures for the fscal years listed below. For informaton regarding the Company’s pay-for-performance philosophy and how the Company aligns executve pay with performance, refer to our CD&amp;A beginning on </w:t>
      </w:r>
      <w:r>
        <w:rPr>
          <w:rFonts w:ascii="Calibri" w:cs="Calibri" w:eastAsia="Calibri" w:hAnsi="Calibri"/>
          <w:sz w:val="17"/>
          <w:szCs w:val="17"/>
          <w:color w:val="0591DB"/>
        </w:rPr>
        <w:t>page 49</w:t>
      </w:r>
      <w:r>
        <w:rPr>
          <w:rFonts w:ascii="Calibri" w:cs="Calibri" w:eastAsia="Calibri" w:hAnsi="Calibri"/>
          <w:sz w:val="17"/>
          <w:szCs w:val="17"/>
          <w:color w:val="333333"/>
        </w:rPr>
        <w: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Pay versus Performance Disclosure Table</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40" w:type="dxa"/>
            <w:vAlign w:val="bottom"/>
            <w:tcBorders>
              <w:right w:val="single" w:sz="8" w:color="0591DB"/>
            </w:tcBorders>
          </w:tcPr>
          <w:p>
            <w:pPr>
              <w:spacing w:after="0"/>
              <w:rPr>
                <w:sz w:val="17"/>
                <w:szCs w:val="17"/>
                <w:color w:val="auto"/>
              </w:rPr>
            </w:pPr>
          </w:p>
        </w:tc>
        <w:tc>
          <w:tcPr>
            <w:tcW w:w="2560" w:type="dxa"/>
            <w:vAlign w:val="bottom"/>
            <w:tcBorders>
              <w:top w:val="single" w:sz="8" w:color="0591DB"/>
              <w:right w:val="single" w:sz="8" w:color="0591DB"/>
            </w:tcBorders>
          </w:tcPr>
          <w:p>
            <w:pPr>
              <w:spacing w:after="0"/>
              <w:rPr>
                <w:sz w:val="17"/>
                <w:szCs w:val="17"/>
                <w:color w:val="auto"/>
              </w:rPr>
            </w:pPr>
          </w:p>
        </w:tc>
        <w:tc>
          <w:tcPr>
            <w:tcW w:w="1100" w:type="dxa"/>
            <w:vAlign w:val="bottom"/>
            <w:tcBorders>
              <w:top w:val="single" w:sz="8" w:color="0591DB"/>
            </w:tcBorders>
          </w:tcPr>
          <w:p>
            <w:pPr>
              <w:spacing w:after="0"/>
              <w:rPr>
                <w:sz w:val="17"/>
                <w:szCs w:val="17"/>
                <w:color w:val="auto"/>
              </w:rPr>
            </w:pPr>
          </w:p>
        </w:tc>
        <w:tc>
          <w:tcPr>
            <w:tcW w:w="1100" w:type="dxa"/>
            <w:vAlign w:val="bottom"/>
            <w:tcBorders>
              <w:top w:val="single" w:sz="8" w:color="0591DB"/>
              <w:right w:val="single" w:sz="8" w:color="0591DB"/>
            </w:tcBorders>
          </w:tcPr>
          <w:p>
            <w:pPr>
              <w:spacing w:after="0"/>
              <w:rPr>
                <w:sz w:val="17"/>
                <w:szCs w:val="17"/>
                <w:color w:val="auto"/>
              </w:rPr>
            </w:pPr>
          </w:p>
        </w:tc>
        <w:tc>
          <w:tcPr>
            <w:tcW w:w="1200" w:type="dxa"/>
            <w:vAlign w:val="bottom"/>
            <w:tcBorders>
              <w:top w:val="single" w:sz="8" w:color="0591DB"/>
            </w:tcBorders>
          </w:tcPr>
          <w:p>
            <w:pPr>
              <w:spacing w:after="0"/>
              <w:rPr>
                <w:sz w:val="17"/>
                <w:szCs w:val="17"/>
                <w:color w:val="auto"/>
              </w:rPr>
            </w:pPr>
          </w:p>
        </w:tc>
        <w:tc>
          <w:tcPr>
            <w:tcW w:w="1220" w:type="dxa"/>
            <w:vAlign w:val="bottom"/>
            <w:tcBorders>
              <w:top w:val="single" w:sz="8" w:color="0591DB"/>
              <w:right w:val="single" w:sz="8" w:color="0591DB"/>
            </w:tcBorders>
          </w:tcPr>
          <w:p>
            <w:pPr>
              <w:spacing w:after="0"/>
              <w:rPr>
                <w:sz w:val="17"/>
                <w:szCs w:val="17"/>
                <w:color w:val="auto"/>
              </w:rPr>
            </w:pPr>
          </w:p>
        </w:tc>
        <w:tc>
          <w:tcPr>
            <w:tcW w:w="2060" w:type="dxa"/>
            <w:vAlign w:val="bottom"/>
            <w:tcBorders>
              <w:top w:val="single" w:sz="8" w:color="0591DB"/>
              <w:right w:val="single" w:sz="8" w:color="0591DB"/>
            </w:tcBorders>
            <w:gridSpan w:val="2"/>
          </w:tcPr>
          <w:p>
            <w:pPr>
              <w:ind w:left="340"/>
              <w:spacing w:after="0"/>
              <w:rPr>
                <w:sz w:val="20"/>
                <w:szCs w:val="20"/>
                <w:color w:val="auto"/>
              </w:rPr>
            </w:pPr>
            <w:r>
              <w:rPr>
                <w:rFonts w:ascii="Calibri" w:cs="Calibri" w:eastAsia="Calibri" w:hAnsi="Calibri"/>
                <w:sz w:val="12"/>
                <w:szCs w:val="12"/>
                <w:b w:val="1"/>
                <w:bCs w:val="1"/>
                <w:color w:val="0591DB"/>
              </w:rPr>
              <w:t>VALUE OF INITIAL $100</w:t>
            </w:r>
          </w:p>
        </w:tc>
        <w:tc>
          <w:tcPr>
            <w:tcW w:w="880" w:type="dxa"/>
            <w:vAlign w:val="bottom"/>
            <w:tcBorders>
              <w:top w:val="single" w:sz="8" w:color="0591DB"/>
              <w:right w:val="single" w:sz="8" w:color="0591DB"/>
            </w:tcBorders>
          </w:tcPr>
          <w:p>
            <w:pPr>
              <w:spacing w:after="0"/>
              <w:rPr>
                <w:sz w:val="17"/>
                <w:szCs w:val="17"/>
                <w:color w:val="auto"/>
              </w:rPr>
            </w:pPr>
          </w:p>
        </w:tc>
        <w:tc>
          <w:tcPr>
            <w:tcW w:w="760" w:type="dxa"/>
            <w:vAlign w:val="bottom"/>
            <w:tcBorders>
              <w:top w:val="single" w:sz="8" w:color="0591DB"/>
            </w:tcBorders>
          </w:tcPr>
          <w:p>
            <w:pPr>
              <w:spacing w:after="0"/>
              <w:rPr>
                <w:sz w:val="17"/>
                <w:szCs w:val="17"/>
                <w:color w:val="auto"/>
              </w:rPr>
            </w:pPr>
          </w:p>
        </w:tc>
        <w:tc>
          <w:tcPr>
            <w:tcW w:w="20" w:type="dxa"/>
            <w:vAlign w:val="bottom"/>
            <w:tcBorders>
              <w:top w:val="single" w:sz="8" w:color="0591DB"/>
            </w:tcBorders>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Borders>
              <w:right w:val="single" w:sz="8" w:color="0591DB"/>
            </w:tcBorders>
          </w:tcPr>
          <w:p>
            <w:pPr>
              <w:spacing w:after="0"/>
              <w:rPr>
                <w:sz w:val="13"/>
                <w:szCs w:val="13"/>
                <w:color w:val="auto"/>
              </w:rPr>
            </w:pPr>
          </w:p>
        </w:tc>
        <w:tc>
          <w:tcPr>
            <w:tcW w:w="2560" w:type="dxa"/>
            <w:vAlign w:val="bottom"/>
            <w:tcBorders>
              <w:right w:val="single" w:sz="8" w:color="0591DB"/>
            </w:tcBorders>
          </w:tcPr>
          <w:p>
            <w:pPr>
              <w:spacing w:after="0"/>
              <w:rPr>
                <w:sz w:val="13"/>
                <w:szCs w:val="13"/>
                <w:color w:val="auto"/>
              </w:rPr>
            </w:pPr>
          </w:p>
        </w:tc>
        <w:tc>
          <w:tcPr>
            <w:tcW w:w="2200" w:type="dxa"/>
            <w:vAlign w:val="bottom"/>
            <w:tcBorders>
              <w:bottom w:val="single" w:sz="8" w:color="0591DB"/>
              <w:right w:val="single" w:sz="8" w:color="0591DB"/>
            </w:tcBorders>
            <w:gridSpan w:val="2"/>
          </w:tcPr>
          <w:p>
            <w:pPr>
              <w:jc w:val="right"/>
              <w:ind w:right="566"/>
              <w:spacing w:after="0"/>
              <w:rPr>
                <w:sz w:val="20"/>
                <w:szCs w:val="20"/>
                <w:color w:val="auto"/>
              </w:rPr>
            </w:pPr>
            <w:r>
              <w:rPr>
                <w:rFonts w:ascii="Calibri" w:cs="Calibri" w:eastAsia="Calibri" w:hAnsi="Calibri"/>
                <w:sz w:val="12"/>
                <w:szCs w:val="12"/>
                <w:b w:val="1"/>
                <w:bCs w:val="1"/>
                <w:color w:val="0591DB"/>
              </w:rPr>
              <w:t>CEO COMPENSATION</w:t>
            </w:r>
          </w:p>
        </w:tc>
        <w:tc>
          <w:tcPr>
            <w:tcW w:w="2420" w:type="dxa"/>
            <w:vAlign w:val="bottom"/>
            <w:tcBorders>
              <w:bottom w:val="single" w:sz="8" w:color="0591DB"/>
              <w:right w:val="single" w:sz="8" w:color="0591DB"/>
            </w:tcBorders>
            <w:gridSpan w:val="2"/>
          </w:tcPr>
          <w:p>
            <w:pPr>
              <w:jc w:val="right"/>
              <w:ind w:right="225"/>
              <w:spacing w:after="0"/>
              <w:rPr>
                <w:sz w:val="20"/>
                <w:szCs w:val="20"/>
                <w:color w:val="auto"/>
              </w:rPr>
            </w:pPr>
            <w:r>
              <w:rPr>
                <w:rFonts w:ascii="Calibri" w:cs="Calibri" w:eastAsia="Calibri" w:hAnsi="Calibri"/>
                <w:sz w:val="12"/>
                <w:szCs w:val="12"/>
                <w:b w:val="1"/>
                <w:bCs w:val="1"/>
                <w:color w:val="0591DB"/>
              </w:rPr>
              <w:t>AVERAGE OTHER NEO COMPENSATION</w:t>
            </w:r>
          </w:p>
        </w:tc>
        <w:tc>
          <w:tcPr>
            <w:tcW w:w="2060" w:type="dxa"/>
            <w:vAlign w:val="bottom"/>
            <w:tcBorders>
              <w:bottom w:val="single" w:sz="8" w:color="0591DB"/>
              <w:right w:val="single" w:sz="8" w:color="0591DB"/>
            </w:tcBorders>
            <w:gridSpan w:val="2"/>
          </w:tcPr>
          <w:p>
            <w:pPr>
              <w:ind w:left="300"/>
              <w:spacing w:after="0"/>
              <w:rPr>
                <w:sz w:val="20"/>
                <w:szCs w:val="20"/>
                <w:color w:val="auto"/>
              </w:rPr>
            </w:pPr>
            <w:r>
              <w:rPr>
                <w:rFonts w:ascii="Calibri" w:cs="Calibri" w:eastAsia="Calibri" w:hAnsi="Calibri"/>
                <w:sz w:val="12"/>
                <w:szCs w:val="12"/>
                <w:b w:val="1"/>
                <w:bCs w:val="1"/>
                <w:color w:val="0591DB"/>
              </w:rPr>
              <w:t>INVESTMENT BASED ON:</w:t>
            </w:r>
          </w:p>
        </w:tc>
        <w:tc>
          <w:tcPr>
            <w:tcW w:w="880" w:type="dxa"/>
            <w:vAlign w:val="bottom"/>
            <w:tcBorders>
              <w:bottom w:val="single" w:sz="8" w:color="0591DB"/>
              <w:right w:val="single" w:sz="8" w:color="0591DB"/>
            </w:tcBorders>
          </w:tcPr>
          <w:p>
            <w:pPr>
              <w:spacing w:after="0"/>
              <w:rPr>
                <w:sz w:val="13"/>
                <w:szCs w:val="13"/>
                <w:color w:val="auto"/>
              </w:rPr>
            </w:pPr>
          </w:p>
        </w:tc>
        <w:tc>
          <w:tcPr>
            <w:tcW w:w="760" w:type="dxa"/>
            <w:vAlign w:val="bottom"/>
            <w:tcBorders>
              <w:bottom w:val="single" w:sz="8" w:color="0591DB"/>
            </w:tcBorders>
          </w:tcPr>
          <w:p>
            <w:pPr>
              <w:spacing w:after="0"/>
              <w:rPr>
                <w:sz w:val="13"/>
                <w:szCs w:val="13"/>
                <w:color w:val="auto"/>
              </w:rPr>
            </w:pPr>
          </w:p>
        </w:tc>
        <w:tc>
          <w:tcPr>
            <w:tcW w:w="20" w:type="dxa"/>
            <w:vAlign w:val="bottom"/>
            <w:tcBorders>
              <w:bottom w:val="single" w:sz="8" w:color="0591DB"/>
            </w:tcBorders>
            <w:shd w:val="clear" w:color="auto" w:fill="0591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0591DB"/>
            </w:tcBorders>
          </w:tcPr>
          <w:p>
            <w:pPr>
              <w:spacing w:after="0"/>
              <w:rPr>
                <w:sz w:val="11"/>
                <w:szCs w:val="11"/>
                <w:color w:val="auto"/>
              </w:rPr>
            </w:pPr>
          </w:p>
        </w:tc>
        <w:tc>
          <w:tcPr>
            <w:tcW w:w="2560" w:type="dxa"/>
            <w:vAlign w:val="bottom"/>
            <w:tcBorders>
              <w:right w:val="single" w:sz="8" w:color="0591DB"/>
            </w:tcBorders>
          </w:tcPr>
          <w:p>
            <w:pPr>
              <w:spacing w:after="0"/>
              <w:rPr>
                <w:sz w:val="11"/>
                <w:szCs w:val="11"/>
                <w:color w:val="auto"/>
              </w:rPr>
            </w:pPr>
          </w:p>
        </w:tc>
        <w:tc>
          <w:tcPr>
            <w:tcW w:w="1100" w:type="dxa"/>
            <w:vAlign w:val="bottom"/>
            <w:tcBorders>
              <w:right w:val="single" w:sz="8" w:color="0591DB"/>
            </w:tcBorders>
          </w:tcPr>
          <w:p>
            <w:pPr>
              <w:jc w:val="center"/>
              <w:ind w:right="108"/>
              <w:spacing w:after="0" w:line="135" w:lineRule="exact"/>
              <w:rPr>
                <w:sz w:val="20"/>
                <w:szCs w:val="20"/>
                <w:color w:val="auto"/>
              </w:rPr>
            </w:pPr>
            <w:r>
              <w:rPr>
                <w:rFonts w:ascii="Calibri" w:cs="Calibri" w:eastAsia="Calibri" w:hAnsi="Calibri"/>
                <w:sz w:val="12"/>
                <w:szCs w:val="12"/>
                <w:b w:val="1"/>
                <w:bCs w:val="1"/>
                <w:color w:val="0591DB"/>
              </w:rPr>
              <w:t>AS DISCLOSED</w:t>
            </w:r>
          </w:p>
        </w:tc>
        <w:tc>
          <w:tcPr>
            <w:tcW w:w="1100" w:type="dxa"/>
            <w:vAlign w:val="bottom"/>
            <w:tcBorders>
              <w:right w:val="single" w:sz="8" w:color="0591DB"/>
            </w:tcBorders>
          </w:tcPr>
          <w:p>
            <w:pPr>
              <w:spacing w:after="0"/>
              <w:rPr>
                <w:sz w:val="11"/>
                <w:szCs w:val="11"/>
                <w:color w:val="auto"/>
              </w:rPr>
            </w:pPr>
          </w:p>
        </w:tc>
        <w:tc>
          <w:tcPr>
            <w:tcW w:w="1200" w:type="dxa"/>
            <w:vAlign w:val="bottom"/>
            <w:tcBorders>
              <w:right w:val="single" w:sz="8" w:color="0591DB"/>
            </w:tcBorders>
          </w:tcPr>
          <w:p>
            <w:pPr>
              <w:jc w:val="center"/>
              <w:ind w:right="128"/>
              <w:spacing w:after="0" w:line="135" w:lineRule="exact"/>
              <w:rPr>
                <w:sz w:val="20"/>
                <w:szCs w:val="20"/>
                <w:color w:val="auto"/>
              </w:rPr>
            </w:pPr>
            <w:r>
              <w:rPr>
                <w:rFonts w:ascii="Calibri" w:cs="Calibri" w:eastAsia="Calibri" w:hAnsi="Calibri"/>
                <w:sz w:val="12"/>
                <w:szCs w:val="12"/>
                <w:b w:val="1"/>
                <w:bCs w:val="1"/>
                <w:color w:val="0591DB"/>
              </w:rPr>
              <w:t>AS DISCLOSED IN</w:t>
            </w:r>
          </w:p>
        </w:tc>
        <w:tc>
          <w:tcPr>
            <w:tcW w:w="1220" w:type="dxa"/>
            <w:vAlign w:val="bottom"/>
            <w:tcBorders>
              <w:right w:val="single" w:sz="8" w:color="0591DB"/>
            </w:tcBorders>
          </w:tcPr>
          <w:p>
            <w:pPr>
              <w:spacing w:after="0"/>
              <w:rPr>
                <w:sz w:val="11"/>
                <w:szCs w:val="11"/>
                <w:color w:val="auto"/>
              </w:rPr>
            </w:pPr>
          </w:p>
        </w:tc>
        <w:tc>
          <w:tcPr>
            <w:tcW w:w="1040" w:type="dxa"/>
            <w:vAlign w:val="bottom"/>
            <w:tcBorders>
              <w:right w:val="single" w:sz="8" w:color="0591DB"/>
            </w:tcBorders>
          </w:tcPr>
          <w:p>
            <w:pPr>
              <w:spacing w:after="0"/>
              <w:rPr>
                <w:sz w:val="11"/>
                <w:szCs w:val="11"/>
                <w:color w:val="auto"/>
              </w:rPr>
            </w:pPr>
          </w:p>
        </w:tc>
        <w:tc>
          <w:tcPr>
            <w:tcW w:w="1020" w:type="dxa"/>
            <w:vAlign w:val="bottom"/>
            <w:tcBorders>
              <w:right w:val="single" w:sz="8" w:color="0591DB"/>
            </w:tcBorders>
          </w:tcPr>
          <w:p>
            <w:pPr>
              <w:jc w:val="center"/>
              <w:ind w:right="127"/>
              <w:spacing w:after="0" w:line="135" w:lineRule="exact"/>
              <w:rPr>
                <w:sz w:val="20"/>
                <w:szCs w:val="20"/>
                <w:color w:val="auto"/>
              </w:rPr>
            </w:pPr>
            <w:r>
              <w:rPr>
                <w:rFonts w:ascii="Calibri" w:cs="Calibri" w:eastAsia="Calibri" w:hAnsi="Calibri"/>
                <w:sz w:val="12"/>
                <w:szCs w:val="12"/>
                <w:b w:val="1"/>
                <w:bCs w:val="1"/>
                <w:color w:val="0591DB"/>
              </w:rPr>
              <w:t>PEER GROUP</w:t>
            </w:r>
          </w:p>
        </w:tc>
        <w:tc>
          <w:tcPr>
            <w:tcW w:w="880" w:type="dxa"/>
            <w:vAlign w:val="bottom"/>
            <w:tcBorders>
              <w:right w:val="single" w:sz="8" w:color="0591DB"/>
            </w:tcBorders>
            <w:vMerge w:val="restart"/>
          </w:tcPr>
          <w:p>
            <w:pPr>
              <w:jc w:val="center"/>
              <w:ind w:right="126"/>
              <w:spacing w:after="0"/>
              <w:rPr>
                <w:sz w:val="20"/>
                <w:szCs w:val="20"/>
                <w:color w:val="auto"/>
              </w:rPr>
            </w:pPr>
            <w:r>
              <w:rPr>
                <w:rFonts w:ascii="Calibri" w:cs="Calibri" w:eastAsia="Calibri" w:hAnsi="Calibri"/>
                <w:sz w:val="12"/>
                <w:szCs w:val="12"/>
                <w:b w:val="1"/>
                <w:bCs w:val="1"/>
                <w:color w:val="0591DB"/>
              </w:rPr>
              <w:t>NET</w:t>
            </w:r>
          </w:p>
        </w:tc>
        <w:tc>
          <w:tcPr>
            <w:tcW w:w="760" w:type="dxa"/>
            <w:vAlign w:val="bottom"/>
          </w:tcPr>
          <w:p>
            <w:pPr>
              <w:spacing w:after="0"/>
              <w:rPr>
                <w:sz w:val="11"/>
                <w:szCs w:val="11"/>
                <w:color w:val="auto"/>
              </w:rPr>
            </w:pP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0591DB"/>
            </w:tcBorders>
          </w:tcPr>
          <w:p>
            <w:pPr>
              <w:spacing w:after="0"/>
              <w:rPr>
                <w:sz w:val="11"/>
                <w:szCs w:val="11"/>
                <w:color w:val="auto"/>
              </w:rPr>
            </w:pPr>
          </w:p>
        </w:tc>
        <w:tc>
          <w:tcPr>
            <w:tcW w:w="2560" w:type="dxa"/>
            <w:vAlign w:val="bottom"/>
            <w:tcBorders>
              <w:right w:val="single" w:sz="8" w:color="0591DB"/>
            </w:tcBorders>
          </w:tcPr>
          <w:p>
            <w:pPr>
              <w:spacing w:after="0"/>
              <w:rPr>
                <w:sz w:val="11"/>
                <w:szCs w:val="11"/>
                <w:color w:val="auto"/>
              </w:rPr>
            </w:pPr>
          </w:p>
        </w:tc>
        <w:tc>
          <w:tcPr>
            <w:tcW w:w="1100" w:type="dxa"/>
            <w:vAlign w:val="bottom"/>
            <w:tcBorders>
              <w:right w:val="single" w:sz="8" w:color="0591DB"/>
            </w:tcBorders>
          </w:tcPr>
          <w:p>
            <w:pPr>
              <w:jc w:val="center"/>
              <w:ind w:right="108"/>
              <w:spacing w:after="0" w:line="134" w:lineRule="exact"/>
              <w:rPr>
                <w:sz w:val="20"/>
                <w:szCs w:val="20"/>
                <w:color w:val="auto"/>
              </w:rPr>
            </w:pPr>
            <w:r>
              <w:rPr>
                <w:rFonts w:ascii="Calibri" w:cs="Calibri" w:eastAsia="Calibri" w:hAnsi="Calibri"/>
                <w:sz w:val="12"/>
                <w:szCs w:val="12"/>
                <w:b w:val="1"/>
                <w:bCs w:val="1"/>
                <w:color w:val="0591DB"/>
              </w:rPr>
              <w:t>IN SUMMARY</w:t>
            </w:r>
          </w:p>
        </w:tc>
        <w:tc>
          <w:tcPr>
            <w:tcW w:w="1100" w:type="dxa"/>
            <w:vAlign w:val="bottom"/>
            <w:tcBorders>
              <w:right w:val="single" w:sz="8" w:color="0591DB"/>
            </w:tcBorders>
          </w:tcPr>
          <w:p>
            <w:pPr>
              <w:jc w:val="center"/>
              <w:ind w:right="126"/>
              <w:spacing w:after="0" w:line="134" w:lineRule="exact"/>
              <w:rPr>
                <w:sz w:val="20"/>
                <w:szCs w:val="20"/>
                <w:color w:val="auto"/>
              </w:rPr>
            </w:pPr>
            <w:r>
              <w:rPr>
                <w:rFonts w:ascii="Calibri" w:cs="Calibri" w:eastAsia="Calibri" w:hAnsi="Calibri"/>
                <w:sz w:val="12"/>
                <w:szCs w:val="12"/>
                <w:b w:val="1"/>
                <w:bCs w:val="1"/>
                <w:color w:val="0591DB"/>
              </w:rPr>
              <w:t>COMPENSATION</w:t>
            </w:r>
          </w:p>
        </w:tc>
        <w:tc>
          <w:tcPr>
            <w:tcW w:w="1200" w:type="dxa"/>
            <w:vAlign w:val="bottom"/>
            <w:tcBorders>
              <w:right w:val="single" w:sz="8" w:color="0591DB"/>
            </w:tcBorders>
          </w:tcPr>
          <w:p>
            <w:pPr>
              <w:jc w:val="center"/>
              <w:ind w:right="128"/>
              <w:spacing w:after="0" w:line="134" w:lineRule="exact"/>
              <w:rPr>
                <w:sz w:val="20"/>
                <w:szCs w:val="20"/>
                <w:color w:val="auto"/>
              </w:rPr>
            </w:pPr>
            <w:r>
              <w:rPr>
                <w:rFonts w:ascii="Calibri" w:cs="Calibri" w:eastAsia="Calibri" w:hAnsi="Calibri"/>
                <w:sz w:val="12"/>
                <w:szCs w:val="12"/>
                <w:b w:val="1"/>
                <w:bCs w:val="1"/>
                <w:color w:val="0591DB"/>
              </w:rPr>
              <w:t>SUMMARY</w:t>
            </w:r>
          </w:p>
        </w:tc>
        <w:tc>
          <w:tcPr>
            <w:tcW w:w="1220" w:type="dxa"/>
            <w:vAlign w:val="bottom"/>
            <w:tcBorders>
              <w:right w:val="single" w:sz="8" w:color="0591DB"/>
            </w:tcBorders>
          </w:tcPr>
          <w:p>
            <w:pPr>
              <w:spacing w:after="0"/>
              <w:rPr>
                <w:sz w:val="11"/>
                <w:szCs w:val="11"/>
                <w:color w:val="auto"/>
              </w:rPr>
            </w:pPr>
          </w:p>
        </w:tc>
        <w:tc>
          <w:tcPr>
            <w:tcW w:w="1040" w:type="dxa"/>
            <w:vAlign w:val="bottom"/>
            <w:tcBorders>
              <w:right w:val="single" w:sz="8" w:color="0591DB"/>
            </w:tcBorders>
          </w:tcPr>
          <w:p>
            <w:pPr>
              <w:jc w:val="center"/>
              <w:ind w:right="128"/>
              <w:spacing w:after="0" w:line="134" w:lineRule="exact"/>
              <w:rPr>
                <w:sz w:val="20"/>
                <w:szCs w:val="20"/>
                <w:color w:val="auto"/>
              </w:rPr>
            </w:pPr>
            <w:r>
              <w:rPr>
                <w:rFonts w:ascii="Calibri" w:cs="Calibri" w:eastAsia="Calibri" w:hAnsi="Calibri"/>
                <w:sz w:val="12"/>
                <w:szCs w:val="12"/>
                <w:b w:val="1"/>
                <w:bCs w:val="1"/>
                <w:color w:val="0591DB"/>
                <w:w w:val="98"/>
              </w:rPr>
              <w:t>TOTAL</w:t>
            </w:r>
          </w:p>
        </w:tc>
        <w:tc>
          <w:tcPr>
            <w:tcW w:w="1020" w:type="dxa"/>
            <w:vAlign w:val="bottom"/>
            <w:tcBorders>
              <w:right w:val="single" w:sz="8" w:color="0591DB"/>
            </w:tcBorders>
          </w:tcPr>
          <w:p>
            <w:pPr>
              <w:jc w:val="center"/>
              <w:ind w:right="107"/>
              <w:spacing w:after="0" w:line="134" w:lineRule="exact"/>
              <w:rPr>
                <w:sz w:val="20"/>
                <w:szCs w:val="20"/>
                <w:color w:val="auto"/>
              </w:rPr>
            </w:pPr>
            <w:r>
              <w:rPr>
                <w:rFonts w:ascii="Calibri" w:cs="Calibri" w:eastAsia="Calibri" w:hAnsi="Calibri"/>
                <w:sz w:val="12"/>
                <w:szCs w:val="12"/>
                <w:b w:val="1"/>
                <w:bCs w:val="1"/>
                <w:color w:val="0591DB"/>
                <w:w w:val="98"/>
              </w:rPr>
              <w:t>TOTAL</w:t>
            </w:r>
          </w:p>
        </w:tc>
        <w:tc>
          <w:tcPr>
            <w:tcW w:w="880" w:type="dxa"/>
            <w:vAlign w:val="bottom"/>
            <w:tcBorders>
              <w:right w:val="single" w:sz="8" w:color="0591DB"/>
            </w:tcBorders>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0591DB"/>
            </w:tcBorders>
          </w:tcPr>
          <w:p>
            <w:pPr>
              <w:spacing w:after="0"/>
              <w:rPr>
                <w:sz w:val="12"/>
                <w:szCs w:val="12"/>
                <w:color w:val="auto"/>
              </w:rPr>
            </w:pPr>
          </w:p>
        </w:tc>
        <w:tc>
          <w:tcPr>
            <w:tcW w:w="2560" w:type="dxa"/>
            <w:vAlign w:val="bottom"/>
            <w:tcBorders>
              <w:right w:val="single" w:sz="8" w:color="0591DB"/>
            </w:tcBorders>
          </w:tcPr>
          <w:p>
            <w:pPr>
              <w:spacing w:after="0"/>
              <w:rPr>
                <w:sz w:val="12"/>
                <w:szCs w:val="12"/>
                <w:color w:val="auto"/>
              </w:rPr>
            </w:pPr>
          </w:p>
        </w:tc>
        <w:tc>
          <w:tcPr>
            <w:tcW w:w="1100" w:type="dxa"/>
            <w:vAlign w:val="bottom"/>
            <w:tcBorders>
              <w:right w:val="single" w:sz="8" w:color="0591DB"/>
            </w:tcBorders>
          </w:tcPr>
          <w:p>
            <w:pPr>
              <w:jc w:val="center"/>
              <w:ind w:right="108"/>
              <w:spacing w:after="0"/>
              <w:rPr>
                <w:sz w:val="20"/>
                <w:szCs w:val="20"/>
                <w:color w:val="auto"/>
              </w:rPr>
            </w:pPr>
            <w:r>
              <w:rPr>
                <w:rFonts w:ascii="Calibri" w:cs="Calibri" w:eastAsia="Calibri" w:hAnsi="Calibri"/>
                <w:sz w:val="12"/>
                <w:szCs w:val="12"/>
                <w:b w:val="1"/>
                <w:bCs w:val="1"/>
                <w:color w:val="0591DB"/>
              </w:rPr>
              <w:t>COMPENSATION</w:t>
            </w:r>
          </w:p>
        </w:tc>
        <w:tc>
          <w:tcPr>
            <w:tcW w:w="1100" w:type="dxa"/>
            <w:vAlign w:val="bottom"/>
            <w:tcBorders>
              <w:right w:val="single" w:sz="8" w:color="0591DB"/>
            </w:tcBorders>
          </w:tcPr>
          <w:p>
            <w:pPr>
              <w:jc w:val="center"/>
              <w:ind w:right="106"/>
              <w:spacing w:after="0"/>
              <w:rPr>
                <w:sz w:val="20"/>
                <w:szCs w:val="20"/>
                <w:color w:val="auto"/>
              </w:rPr>
            </w:pPr>
            <w:r>
              <w:rPr>
                <w:rFonts w:ascii="Calibri" w:cs="Calibri" w:eastAsia="Calibri" w:hAnsi="Calibri"/>
                <w:sz w:val="12"/>
                <w:szCs w:val="12"/>
                <w:b w:val="1"/>
                <w:bCs w:val="1"/>
                <w:color w:val="0591DB"/>
              </w:rPr>
              <w:t>ACTUALLY</w:t>
            </w:r>
          </w:p>
        </w:tc>
        <w:tc>
          <w:tcPr>
            <w:tcW w:w="1200" w:type="dxa"/>
            <w:vAlign w:val="bottom"/>
            <w:tcBorders>
              <w:right w:val="single" w:sz="8" w:color="0591DB"/>
            </w:tcBorders>
          </w:tcPr>
          <w:p>
            <w:pPr>
              <w:jc w:val="center"/>
              <w:ind w:right="128"/>
              <w:spacing w:after="0"/>
              <w:rPr>
                <w:sz w:val="20"/>
                <w:szCs w:val="20"/>
                <w:color w:val="auto"/>
              </w:rPr>
            </w:pPr>
            <w:r>
              <w:rPr>
                <w:rFonts w:ascii="Calibri" w:cs="Calibri" w:eastAsia="Calibri" w:hAnsi="Calibri"/>
                <w:sz w:val="12"/>
                <w:szCs w:val="12"/>
                <w:b w:val="1"/>
                <w:bCs w:val="1"/>
                <w:color w:val="0591DB"/>
              </w:rPr>
              <w:t>COMPENSATION</w:t>
            </w:r>
          </w:p>
        </w:tc>
        <w:tc>
          <w:tcPr>
            <w:tcW w:w="1220" w:type="dxa"/>
            <w:vAlign w:val="bottom"/>
            <w:tcBorders>
              <w:right w:val="single" w:sz="8" w:color="0591DB"/>
            </w:tcBorders>
          </w:tcPr>
          <w:p>
            <w:pPr>
              <w:jc w:val="center"/>
              <w:ind w:right="125"/>
              <w:spacing w:after="0"/>
              <w:rPr>
                <w:sz w:val="20"/>
                <w:szCs w:val="20"/>
                <w:color w:val="auto"/>
              </w:rPr>
            </w:pPr>
            <w:r>
              <w:rPr>
                <w:rFonts w:ascii="Calibri" w:cs="Calibri" w:eastAsia="Calibri" w:hAnsi="Calibri"/>
                <w:sz w:val="12"/>
                <w:szCs w:val="12"/>
                <w:b w:val="1"/>
                <w:bCs w:val="1"/>
                <w:color w:val="0591DB"/>
              </w:rPr>
              <w:t>COMPENSATION</w:t>
            </w:r>
          </w:p>
        </w:tc>
        <w:tc>
          <w:tcPr>
            <w:tcW w:w="1040" w:type="dxa"/>
            <w:vAlign w:val="bottom"/>
            <w:tcBorders>
              <w:right w:val="single" w:sz="8" w:color="0591DB"/>
            </w:tcBorders>
          </w:tcPr>
          <w:p>
            <w:pPr>
              <w:jc w:val="center"/>
              <w:ind w:right="128"/>
              <w:spacing w:after="0"/>
              <w:rPr>
                <w:sz w:val="20"/>
                <w:szCs w:val="20"/>
                <w:color w:val="auto"/>
              </w:rPr>
            </w:pPr>
            <w:r>
              <w:rPr>
                <w:rFonts w:ascii="Calibri" w:cs="Calibri" w:eastAsia="Calibri" w:hAnsi="Calibri"/>
                <w:sz w:val="12"/>
                <w:szCs w:val="12"/>
                <w:b w:val="1"/>
                <w:bCs w:val="1"/>
                <w:color w:val="0591DB"/>
              </w:rPr>
              <w:t>SHAREHOLDER</w:t>
            </w:r>
          </w:p>
        </w:tc>
        <w:tc>
          <w:tcPr>
            <w:tcW w:w="1020" w:type="dxa"/>
            <w:vAlign w:val="bottom"/>
            <w:tcBorders>
              <w:right w:val="single" w:sz="8" w:color="0591DB"/>
            </w:tcBorders>
          </w:tcPr>
          <w:p>
            <w:pPr>
              <w:jc w:val="right"/>
              <w:ind w:right="147"/>
              <w:spacing w:after="0"/>
              <w:rPr>
                <w:sz w:val="20"/>
                <w:szCs w:val="20"/>
                <w:color w:val="auto"/>
              </w:rPr>
            </w:pPr>
            <w:r>
              <w:rPr>
                <w:rFonts w:ascii="Calibri" w:cs="Calibri" w:eastAsia="Calibri" w:hAnsi="Calibri"/>
                <w:sz w:val="12"/>
                <w:szCs w:val="12"/>
                <w:b w:val="1"/>
                <w:bCs w:val="1"/>
                <w:color w:val="0591DB"/>
              </w:rPr>
              <w:t>SHAREHOLDER</w:t>
            </w:r>
          </w:p>
        </w:tc>
        <w:tc>
          <w:tcPr>
            <w:tcW w:w="880" w:type="dxa"/>
            <w:vAlign w:val="bottom"/>
            <w:tcBorders>
              <w:right w:val="single" w:sz="8" w:color="0591DB"/>
            </w:tcBorders>
          </w:tcPr>
          <w:p>
            <w:pPr>
              <w:jc w:val="center"/>
              <w:ind w:right="126"/>
              <w:spacing w:after="0"/>
              <w:rPr>
                <w:sz w:val="20"/>
                <w:szCs w:val="20"/>
                <w:color w:val="auto"/>
              </w:rPr>
            </w:pPr>
            <w:r>
              <w:rPr>
                <w:rFonts w:ascii="Calibri" w:cs="Calibri" w:eastAsia="Calibri" w:hAnsi="Calibri"/>
                <w:sz w:val="12"/>
                <w:szCs w:val="12"/>
                <w:b w:val="1"/>
                <w:bCs w:val="1"/>
                <w:color w:val="0591DB"/>
              </w:rPr>
              <w:t>INCOME</w:t>
            </w:r>
          </w:p>
        </w:tc>
        <w:tc>
          <w:tcPr>
            <w:tcW w:w="760" w:type="dxa"/>
            <w:vAlign w:val="bottom"/>
          </w:tcPr>
          <w:p>
            <w:pPr>
              <w:jc w:val="right"/>
              <w:ind w:right="125"/>
              <w:spacing w:after="0"/>
              <w:rPr>
                <w:sz w:val="20"/>
                <w:szCs w:val="20"/>
                <w:color w:val="auto"/>
              </w:rPr>
            </w:pPr>
            <w:r>
              <w:rPr>
                <w:rFonts w:ascii="Calibri" w:cs="Calibri" w:eastAsia="Calibri" w:hAnsi="Calibri"/>
                <w:sz w:val="12"/>
                <w:szCs w:val="12"/>
                <w:b w:val="1"/>
                <w:bCs w:val="1"/>
                <w:color w:val="0591DB"/>
              </w:rPr>
              <w:t>ADJUSTED</w:t>
            </w: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0591DB"/>
            </w:tcBorders>
          </w:tcPr>
          <w:p>
            <w:pPr>
              <w:spacing w:after="0"/>
              <w:rPr>
                <w:sz w:val="14"/>
                <w:szCs w:val="14"/>
                <w:color w:val="auto"/>
              </w:rPr>
            </w:pPr>
          </w:p>
        </w:tc>
        <w:tc>
          <w:tcPr>
            <w:tcW w:w="2560" w:type="dxa"/>
            <w:vAlign w:val="bottom"/>
            <w:tcBorders>
              <w:right w:val="single" w:sz="8" w:color="0591DB"/>
            </w:tcBorders>
          </w:tcPr>
          <w:p>
            <w:pPr>
              <w:spacing w:after="0"/>
              <w:rPr>
                <w:sz w:val="14"/>
                <w:szCs w:val="14"/>
                <w:color w:val="auto"/>
              </w:rPr>
            </w:pPr>
          </w:p>
        </w:tc>
        <w:tc>
          <w:tcPr>
            <w:tcW w:w="1100" w:type="dxa"/>
            <w:vAlign w:val="bottom"/>
            <w:tcBorders>
              <w:bottom w:val="single" w:sz="8" w:color="0591DB"/>
              <w:right w:val="single" w:sz="8" w:color="0591DB"/>
            </w:tcBorders>
          </w:tcPr>
          <w:p>
            <w:pPr>
              <w:jc w:val="center"/>
              <w:ind w:right="108"/>
              <w:spacing w:after="0" w:line="171" w:lineRule="exact"/>
              <w:rPr>
                <w:sz w:val="20"/>
                <w:szCs w:val="20"/>
                <w:color w:val="auto"/>
              </w:rPr>
            </w:pPr>
            <w:r>
              <w:rPr>
                <w:rFonts w:ascii="Calibri" w:cs="Calibri" w:eastAsia="Calibri" w:hAnsi="Calibri"/>
                <w:sz w:val="12"/>
                <w:szCs w:val="12"/>
                <w:b w:val="1"/>
                <w:bCs w:val="1"/>
                <w:color w:val="0591DB"/>
                <w:w w:val="97"/>
              </w:rPr>
              <w:t xml:space="preserve">TABLE </w:t>
            </w:r>
            <w:r>
              <w:rPr>
                <w:rFonts w:ascii="Calibri" w:cs="Calibri" w:eastAsia="Calibri" w:hAnsi="Calibri"/>
                <w:sz w:val="15"/>
                <w:szCs w:val="15"/>
                <w:b w:val="1"/>
                <w:bCs w:val="1"/>
                <w:color w:val="0591DB"/>
                <w:w w:val="97"/>
                <w:vertAlign w:val="superscript"/>
              </w:rPr>
              <w:t>(1)</w:t>
            </w:r>
          </w:p>
        </w:tc>
        <w:tc>
          <w:tcPr>
            <w:tcW w:w="1100" w:type="dxa"/>
            <w:vAlign w:val="bottom"/>
            <w:tcBorders>
              <w:bottom w:val="single" w:sz="8" w:color="0591DB"/>
              <w:right w:val="single" w:sz="8" w:color="0591DB"/>
            </w:tcBorders>
          </w:tcPr>
          <w:p>
            <w:pPr>
              <w:jc w:val="center"/>
              <w:ind w:right="106"/>
              <w:spacing w:after="0" w:line="171" w:lineRule="exact"/>
              <w:rPr>
                <w:sz w:val="20"/>
                <w:szCs w:val="20"/>
                <w:color w:val="auto"/>
              </w:rPr>
            </w:pPr>
            <w:r>
              <w:rPr>
                <w:rFonts w:ascii="Calibri" w:cs="Calibri" w:eastAsia="Calibri" w:hAnsi="Calibri"/>
                <w:sz w:val="12"/>
                <w:szCs w:val="12"/>
                <w:b w:val="1"/>
                <w:bCs w:val="1"/>
                <w:color w:val="0591DB"/>
                <w:w w:val="93"/>
              </w:rPr>
              <w:t xml:space="preserve">PAID </w:t>
            </w:r>
            <w:r>
              <w:rPr>
                <w:rFonts w:ascii="Calibri" w:cs="Calibri" w:eastAsia="Calibri" w:hAnsi="Calibri"/>
                <w:sz w:val="15"/>
                <w:szCs w:val="15"/>
                <w:b w:val="1"/>
                <w:bCs w:val="1"/>
                <w:color w:val="0591DB"/>
                <w:w w:val="93"/>
                <w:vertAlign w:val="superscript"/>
              </w:rPr>
              <w:t>(2)</w:t>
            </w:r>
          </w:p>
        </w:tc>
        <w:tc>
          <w:tcPr>
            <w:tcW w:w="1200" w:type="dxa"/>
            <w:vAlign w:val="bottom"/>
            <w:tcBorders>
              <w:bottom w:val="single" w:sz="8" w:color="0591DB"/>
              <w:right w:val="single" w:sz="8" w:color="0591DB"/>
            </w:tcBorders>
          </w:tcPr>
          <w:p>
            <w:pPr>
              <w:jc w:val="center"/>
              <w:ind w:right="108"/>
              <w:spacing w:after="0" w:line="171" w:lineRule="exact"/>
              <w:rPr>
                <w:sz w:val="20"/>
                <w:szCs w:val="20"/>
                <w:color w:val="auto"/>
              </w:rPr>
            </w:pPr>
            <w:r>
              <w:rPr>
                <w:rFonts w:ascii="Calibri" w:cs="Calibri" w:eastAsia="Calibri" w:hAnsi="Calibri"/>
                <w:sz w:val="12"/>
                <w:szCs w:val="12"/>
                <w:b w:val="1"/>
                <w:bCs w:val="1"/>
                <w:color w:val="0591DB"/>
                <w:w w:val="93"/>
              </w:rPr>
              <w:t xml:space="preserve">TABLE </w:t>
            </w:r>
            <w:r>
              <w:rPr>
                <w:rFonts w:ascii="Calibri" w:cs="Calibri" w:eastAsia="Calibri" w:hAnsi="Calibri"/>
                <w:sz w:val="15"/>
                <w:szCs w:val="15"/>
                <w:b w:val="1"/>
                <w:bCs w:val="1"/>
                <w:color w:val="0591DB"/>
                <w:w w:val="93"/>
                <w:vertAlign w:val="superscript"/>
              </w:rPr>
              <w:t>(3)</w:t>
            </w:r>
          </w:p>
        </w:tc>
        <w:tc>
          <w:tcPr>
            <w:tcW w:w="1220" w:type="dxa"/>
            <w:vAlign w:val="bottom"/>
            <w:tcBorders>
              <w:bottom w:val="single" w:sz="8" w:color="0591DB"/>
              <w:right w:val="single" w:sz="8" w:color="0591DB"/>
            </w:tcBorders>
          </w:tcPr>
          <w:p>
            <w:pPr>
              <w:jc w:val="center"/>
              <w:ind w:right="125"/>
              <w:spacing w:after="0" w:line="171" w:lineRule="exact"/>
              <w:rPr>
                <w:sz w:val="20"/>
                <w:szCs w:val="20"/>
                <w:color w:val="auto"/>
              </w:rPr>
            </w:pPr>
            <w:r>
              <w:rPr>
                <w:rFonts w:ascii="Calibri" w:cs="Calibri" w:eastAsia="Calibri" w:hAnsi="Calibri"/>
                <w:sz w:val="12"/>
                <w:szCs w:val="12"/>
                <w:b w:val="1"/>
                <w:bCs w:val="1"/>
                <w:color w:val="0591DB"/>
                <w:w w:val="97"/>
              </w:rPr>
              <w:t xml:space="preserve">ACTUALLY PAID </w:t>
            </w:r>
            <w:r>
              <w:rPr>
                <w:rFonts w:ascii="Calibri" w:cs="Calibri" w:eastAsia="Calibri" w:hAnsi="Calibri"/>
                <w:sz w:val="15"/>
                <w:szCs w:val="15"/>
                <w:b w:val="1"/>
                <w:bCs w:val="1"/>
                <w:color w:val="0591DB"/>
                <w:w w:val="97"/>
                <w:vertAlign w:val="superscript"/>
              </w:rPr>
              <w:t>(4)</w:t>
            </w:r>
          </w:p>
        </w:tc>
        <w:tc>
          <w:tcPr>
            <w:tcW w:w="1040" w:type="dxa"/>
            <w:vAlign w:val="bottom"/>
            <w:tcBorders>
              <w:bottom w:val="single" w:sz="8" w:color="0591DB"/>
              <w:right w:val="single" w:sz="8" w:color="0591DB"/>
            </w:tcBorders>
          </w:tcPr>
          <w:p>
            <w:pPr>
              <w:jc w:val="center"/>
              <w:ind w:right="108"/>
              <w:spacing w:after="0"/>
              <w:rPr>
                <w:sz w:val="20"/>
                <w:szCs w:val="20"/>
                <w:color w:val="auto"/>
              </w:rPr>
            </w:pPr>
            <w:r>
              <w:rPr>
                <w:rFonts w:ascii="Calibri" w:cs="Calibri" w:eastAsia="Calibri" w:hAnsi="Calibri"/>
                <w:sz w:val="12"/>
                <w:szCs w:val="12"/>
                <w:b w:val="1"/>
                <w:bCs w:val="1"/>
                <w:color w:val="0591DB"/>
              </w:rPr>
              <w:t>RETURN</w:t>
            </w:r>
          </w:p>
        </w:tc>
        <w:tc>
          <w:tcPr>
            <w:tcW w:w="1020" w:type="dxa"/>
            <w:vAlign w:val="bottom"/>
            <w:tcBorders>
              <w:bottom w:val="single" w:sz="8" w:color="0591DB"/>
              <w:right w:val="single" w:sz="8" w:color="0591DB"/>
            </w:tcBorders>
          </w:tcPr>
          <w:p>
            <w:pPr>
              <w:jc w:val="center"/>
              <w:ind w:right="127"/>
              <w:spacing w:after="0" w:line="171" w:lineRule="exact"/>
              <w:rPr>
                <w:sz w:val="20"/>
                <w:szCs w:val="20"/>
                <w:color w:val="auto"/>
              </w:rPr>
            </w:pPr>
            <w:r>
              <w:rPr>
                <w:rFonts w:ascii="Calibri" w:cs="Calibri" w:eastAsia="Calibri" w:hAnsi="Calibri"/>
                <w:sz w:val="12"/>
                <w:szCs w:val="12"/>
                <w:b w:val="1"/>
                <w:bCs w:val="1"/>
                <w:color w:val="0591DB"/>
                <w:w w:val="97"/>
              </w:rPr>
              <w:t xml:space="preserve">RETURN </w:t>
            </w:r>
            <w:r>
              <w:rPr>
                <w:rFonts w:ascii="Calibri" w:cs="Calibri" w:eastAsia="Calibri" w:hAnsi="Calibri"/>
                <w:sz w:val="15"/>
                <w:szCs w:val="15"/>
                <w:b w:val="1"/>
                <w:bCs w:val="1"/>
                <w:color w:val="0591DB"/>
                <w:w w:val="97"/>
                <w:vertAlign w:val="superscript"/>
              </w:rPr>
              <w:t>(5)</w:t>
            </w:r>
          </w:p>
        </w:tc>
        <w:tc>
          <w:tcPr>
            <w:tcW w:w="880" w:type="dxa"/>
            <w:vAlign w:val="bottom"/>
            <w:tcBorders>
              <w:bottom w:val="single" w:sz="8" w:color="0591DB"/>
              <w:right w:val="single" w:sz="8" w:color="0591DB"/>
            </w:tcBorders>
          </w:tcPr>
          <w:p>
            <w:pPr>
              <w:jc w:val="right"/>
              <w:ind w:right="306"/>
              <w:spacing w:after="0"/>
              <w:rPr>
                <w:sz w:val="20"/>
                <w:szCs w:val="20"/>
                <w:color w:val="auto"/>
              </w:rPr>
            </w:pPr>
            <w:r>
              <w:rPr>
                <w:rFonts w:ascii="Calibri" w:cs="Calibri" w:eastAsia="Calibri" w:hAnsi="Calibri"/>
                <w:sz w:val="12"/>
                <w:szCs w:val="12"/>
                <w:b w:val="1"/>
                <w:bCs w:val="1"/>
                <w:color w:val="0591DB"/>
              </w:rPr>
              <w:t>($000)</w:t>
            </w:r>
          </w:p>
        </w:tc>
        <w:tc>
          <w:tcPr>
            <w:tcW w:w="760" w:type="dxa"/>
            <w:vAlign w:val="bottom"/>
            <w:tcBorders>
              <w:bottom w:val="single" w:sz="8" w:color="0591DB"/>
            </w:tcBorders>
          </w:tcPr>
          <w:p>
            <w:pPr>
              <w:jc w:val="right"/>
              <w:ind w:right="245"/>
              <w:spacing w:after="0" w:line="171" w:lineRule="exact"/>
              <w:rPr>
                <w:sz w:val="20"/>
                <w:szCs w:val="20"/>
                <w:color w:val="auto"/>
              </w:rPr>
            </w:pPr>
            <w:r>
              <w:rPr>
                <w:rFonts w:ascii="Calibri" w:cs="Calibri" w:eastAsia="Calibri" w:hAnsi="Calibri"/>
                <w:sz w:val="12"/>
                <w:szCs w:val="12"/>
                <w:b w:val="1"/>
                <w:bCs w:val="1"/>
                <w:color w:val="0591DB"/>
              </w:rPr>
              <w:t xml:space="preserve">EPS </w:t>
            </w:r>
            <w:r>
              <w:rPr>
                <w:rFonts w:ascii="Calibri" w:cs="Calibri" w:eastAsia="Calibri" w:hAnsi="Calibri"/>
                <w:sz w:val="15"/>
                <w:szCs w:val="15"/>
                <w:b w:val="1"/>
                <w:bCs w:val="1"/>
                <w:color w:val="0591DB"/>
                <w:vertAlign w:val="superscript"/>
              </w:rPr>
              <w:t>(6)</w:t>
            </w:r>
          </w:p>
        </w:tc>
        <w:tc>
          <w:tcPr>
            <w:tcW w:w="20" w:type="dxa"/>
            <w:vAlign w:val="bottom"/>
            <w:tcBorders>
              <w:bottom w:val="single" w:sz="8" w:color="0591DB"/>
            </w:tcBorders>
            <w:shd w:val="clear" w:color="auto" w:fill="0591DB"/>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tcBorders>
              <w:right w:val="single" w:sz="8" w:color="0591DB"/>
            </w:tcBorders>
          </w:tcPr>
          <w:p>
            <w:pPr>
              <w:spacing w:after="0"/>
              <w:rPr>
                <w:sz w:val="11"/>
                <w:szCs w:val="11"/>
                <w:color w:val="auto"/>
              </w:rPr>
            </w:pPr>
          </w:p>
        </w:tc>
        <w:tc>
          <w:tcPr>
            <w:tcW w:w="2560" w:type="dxa"/>
            <w:vAlign w:val="bottom"/>
            <w:tcBorders>
              <w:right w:val="single" w:sz="8" w:color="0591DB"/>
            </w:tcBorders>
          </w:tcPr>
          <w:p>
            <w:pPr>
              <w:spacing w:after="0"/>
              <w:rPr>
                <w:sz w:val="11"/>
                <w:szCs w:val="11"/>
                <w:color w:val="auto"/>
              </w:rPr>
            </w:pPr>
          </w:p>
        </w:tc>
        <w:tc>
          <w:tcPr>
            <w:tcW w:w="1100" w:type="dxa"/>
            <w:vAlign w:val="bottom"/>
            <w:tcBorders>
              <w:right w:val="single" w:sz="8" w:color="0591DB"/>
            </w:tcBorders>
          </w:tcPr>
          <w:p>
            <w:pPr>
              <w:jc w:val="center"/>
              <w:ind w:right="128"/>
              <w:spacing w:after="0" w:line="130" w:lineRule="exact"/>
              <w:rPr>
                <w:sz w:val="20"/>
                <w:szCs w:val="20"/>
                <w:color w:val="auto"/>
              </w:rPr>
            </w:pPr>
            <w:r>
              <w:rPr>
                <w:rFonts w:ascii="Calibri" w:cs="Calibri" w:eastAsia="Calibri" w:hAnsi="Calibri"/>
                <w:sz w:val="12"/>
                <w:szCs w:val="12"/>
                <w:b w:val="1"/>
                <w:bCs w:val="1"/>
                <w:color w:val="0591DB"/>
              </w:rPr>
              <w:t>($)</w:t>
            </w:r>
          </w:p>
        </w:tc>
        <w:tc>
          <w:tcPr>
            <w:tcW w:w="1100" w:type="dxa"/>
            <w:vAlign w:val="bottom"/>
            <w:tcBorders>
              <w:right w:val="single" w:sz="8" w:color="0591DB"/>
            </w:tcBorders>
          </w:tcPr>
          <w:p>
            <w:pPr>
              <w:jc w:val="center"/>
              <w:ind w:right="126"/>
              <w:spacing w:after="0" w:line="130" w:lineRule="exact"/>
              <w:rPr>
                <w:sz w:val="20"/>
                <w:szCs w:val="20"/>
                <w:color w:val="auto"/>
              </w:rPr>
            </w:pPr>
            <w:r>
              <w:rPr>
                <w:rFonts w:ascii="Calibri" w:cs="Calibri" w:eastAsia="Calibri" w:hAnsi="Calibri"/>
                <w:sz w:val="12"/>
                <w:szCs w:val="12"/>
                <w:b w:val="1"/>
                <w:bCs w:val="1"/>
                <w:color w:val="0591DB"/>
              </w:rPr>
              <w:t>($)</w:t>
            </w:r>
          </w:p>
        </w:tc>
        <w:tc>
          <w:tcPr>
            <w:tcW w:w="1200" w:type="dxa"/>
            <w:vAlign w:val="bottom"/>
            <w:tcBorders>
              <w:right w:val="single" w:sz="8" w:color="0591DB"/>
            </w:tcBorders>
          </w:tcPr>
          <w:p>
            <w:pPr>
              <w:jc w:val="center"/>
              <w:ind w:right="108"/>
              <w:spacing w:after="0" w:line="130" w:lineRule="exact"/>
              <w:rPr>
                <w:sz w:val="20"/>
                <w:szCs w:val="20"/>
                <w:color w:val="auto"/>
              </w:rPr>
            </w:pPr>
            <w:r>
              <w:rPr>
                <w:rFonts w:ascii="Calibri" w:cs="Calibri" w:eastAsia="Calibri" w:hAnsi="Calibri"/>
                <w:sz w:val="12"/>
                <w:szCs w:val="12"/>
                <w:b w:val="1"/>
                <w:bCs w:val="1"/>
                <w:color w:val="0591DB"/>
              </w:rPr>
              <w:t>($)</w:t>
            </w:r>
          </w:p>
        </w:tc>
        <w:tc>
          <w:tcPr>
            <w:tcW w:w="1220" w:type="dxa"/>
            <w:vAlign w:val="bottom"/>
            <w:tcBorders>
              <w:right w:val="single" w:sz="8" w:color="0591DB"/>
            </w:tcBorders>
          </w:tcPr>
          <w:p>
            <w:pPr>
              <w:jc w:val="center"/>
              <w:ind w:right="125"/>
              <w:spacing w:after="0" w:line="130" w:lineRule="exact"/>
              <w:rPr>
                <w:sz w:val="20"/>
                <w:szCs w:val="20"/>
                <w:color w:val="auto"/>
              </w:rPr>
            </w:pPr>
            <w:r>
              <w:rPr>
                <w:rFonts w:ascii="Calibri" w:cs="Calibri" w:eastAsia="Calibri" w:hAnsi="Calibri"/>
                <w:sz w:val="12"/>
                <w:szCs w:val="12"/>
                <w:b w:val="1"/>
                <w:bCs w:val="1"/>
                <w:color w:val="0591DB"/>
              </w:rPr>
              <w:t>($)</w:t>
            </w:r>
          </w:p>
        </w:tc>
        <w:tc>
          <w:tcPr>
            <w:tcW w:w="1040" w:type="dxa"/>
            <w:vAlign w:val="bottom"/>
            <w:tcBorders>
              <w:right w:val="single" w:sz="8" w:color="0591DB"/>
            </w:tcBorders>
          </w:tcPr>
          <w:p>
            <w:pPr>
              <w:ind w:left="360"/>
              <w:spacing w:after="0" w:line="130" w:lineRule="exact"/>
              <w:rPr>
                <w:sz w:val="20"/>
                <w:szCs w:val="20"/>
                <w:color w:val="auto"/>
              </w:rPr>
            </w:pPr>
            <w:r>
              <w:rPr>
                <w:rFonts w:ascii="Calibri" w:cs="Calibri" w:eastAsia="Calibri" w:hAnsi="Calibri"/>
                <w:sz w:val="12"/>
                <w:szCs w:val="12"/>
                <w:b w:val="1"/>
                <w:bCs w:val="1"/>
                <w:color w:val="0591DB"/>
              </w:rPr>
              <w:t>($)</w:t>
            </w:r>
          </w:p>
        </w:tc>
        <w:tc>
          <w:tcPr>
            <w:tcW w:w="1020" w:type="dxa"/>
            <w:vAlign w:val="bottom"/>
            <w:tcBorders>
              <w:right w:val="single" w:sz="8" w:color="0591DB"/>
            </w:tcBorders>
          </w:tcPr>
          <w:p>
            <w:pPr>
              <w:jc w:val="center"/>
              <w:ind w:right="127"/>
              <w:spacing w:after="0" w:line="130" w:lineRule="exact"/>
              <w:rPr>
                <w:sz w:val="20"/>
                <w:szCs w:val="20"/>
                <w:color w:val="auto"/>
              </w:rPr>
            </w:pPr>
            <w:r>
              <w:rPr>
                <w:rFonts w:ascii="Calibri" w:cs="Calibri" w:eastAsia="Calibri" w:hAnsi="Calibri"/>
                <w:sz w:val="12"/>
                <w:szCs w:val="12"/>
                <w:b w:val="1"/>
                <w:bCs w:val="1"/>
                <w:color w:val="0591DB"/>
              </w:rPr>
              <w:t>($)</w:t>
            </w:r>
          </w:p>
        </w:tc>
        <w:tc>
          <w:tcPr>
            <w:tcW w:w="880" w:type="dxa"/>
            <w:vAlign w:val="bottom"/>
            <w:tcBorders>
              <w:right w:val="single" w:sz="8" w:color="0591DB"/>
            </w:tcBorders>
          </w:tcPr>
          <w:p>
            <w:pPr>
              <w:jc w:val="right"/>
              <w:ind w:right="386"/>
              <w:spacing w:after="0" w:line="130" w:lineRule="exact"/>
              <w:rPr>
                <w:sz w:val="20"/>
                <w:szCs w:val="20"/>
                <w:color w:val="auto"/>
              </w:rPr>
            </w:pPr>
            <w:r>
              <w:rPr>
                <w:rFonts w:ascii="Calibri" w:cs="Calibri" w:eastAsia="Calibri" w:hAnsi="Calibri"/>
                <w:sz w:val="12"/>
                <w:szCs w:val="12"/>
                <w:b w:val="1"/>
                <w:bCs w:val="1"/>
                <w:color w:val="0591DB"/>
              </w:rPr>
              <w:t>($)</w:t>
            </w:r>
          </w:p>
        </w:tc>
        <w:tc>
          <w:tcPr>
            <w:tcW w:w="760" w:type="dxa"/>
            <w:vAlign w:val="bottom"/>
          </w:tcPr>
          <w:p>
            <w:pPr>
              <w:jc w:val="right"/>
              <w:ind w:right="325"/>
              <w:spacing w:after="0" w:line="130" w:lineRule="exact"/>
              <w:rPr>
                <w:sz w:val="20"/>
                <w:szCs w:val="20"/>
                <w:color w:val="auto"/>
              </w:rPr>
            </w:pPr>
            <w:r>
              <w:rPr>
                <w:rFonts w:ascii="Calibri" w:cs="Calibri" w:eastAsia="Calibri" w:hAnsi="Calibri"/>
                <w:sz w:val="12"/>
                <w:szCs w:val="12"/>
                <w:b w:val="1"/>
                <w:bCs w:val="1"/>
                <w:color w:val="0591DB"/>
              </w:rPr>
              <w:t>($)</w:t>
            </w:r>
          </w:p>
        </w:tc>
        <w:tc>
          <w:tcPr>
            <w:tcW w:w="20" w:type="dxa"/>
            <w:vAlign w:val="bottom"/>
            <w:shd w:val="clear" w:color="auto" w:fill="0591DB"/>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 w:type="dxa"/>
            <w:vAlign w:val="bottom"/>
            <w:tcBorders>
              <w:right w:val="single" w:sz="8" w:color="0591DB"/>
            </w:tcBorders>
          </w:tcPr>
          <w:p>
            <w:pPr>
              <w:spacing w:after="0"/>
              <w:rPr>
                <w:sz w:val="14"/>
                <w:szCs w:val="14"/>
                <w:color w:val="auto"/>
              </w:rPr>
            </w:pPr>
          </w:p>
        </w:tc>
        <w:tc>
          <w:tcPr>
            <w:tcW w:w="2560" w:type="dxa"/>
            <w:vAlign w:val="bottom"/>
            <w:tcBorders>
              <w:bottom w:val="single" w:sz="8" w:color="0591DB"/>
              <w:right w:val="single" w:sz="8" w:color="0591DB"/>
            </w:tcBorders>
          </w:tcPr>
          <w:p>
            <w:pPr>
              <w:ind w:left="120"/>
              <w:spacing w:after="0"/>
              <w:rPr>
                <w:sz w:val="20"/>
                <w:szCs w:val="20"/>
                <w:color w:val="auto"/>
              </w:rPr>
            </w:pPr>
            <w:r>
              <w:rPr>
                <w:rFonts w:ascii="Calibri" w:cs="Calibri" w:eastAsia="Calibri" w:hAnsi="Calibri"/>
                <w:sz w:val="12"/>
                <w:szCs w:val="12"/>
                <w:b w:val="1"/>
                <w:bCs w:val="1"/>
                <w:color w:val="0591DB"/>
              </w:rPr>
              <w:t> YEAR</w:t>
            </w:r>
          </w:p>
        </w:tc>
        <w:tc>
          <w:tcPr>
            <w:tcW w:w="1100" w:type="dxa"/>
            <w:vAlign w:val="bottom"/>
            <w:tcBorders>
              <w:bottom w:val="single" w:sz="8" w:color="0591DB"/>
              <w:right w:val="single" w:sz="8" w:color="0591DB"/>
            </w:tcBorders>
          </w:tcPr>
          <w:p>
            <w:pPr>
              <w:jc w:val="center"/>
              <w:ind w:right="128"/>
              <w:spacing w:after="0"/>
              <w:rPr>
                <w:sz w:val="20"/>
                <w:szCs w:val="20"/>
                <w:color w:val="auto"/>
              </w:rPr>
            </w:pPr>
            <w:r>
              <w:rPr>
                <w:rFonts w:ascii="Calibri" w:cs="Calibri" w:eastAsia="Calibri" w:hAnsi="Calibri"/>
                <w:sz w:val="12"/>
                <w:szCs w:val="12"/>
                <w:b w:val="1"/>
                <w:bCs w:val="1"/>
                <w:color w:val="0591DB"/>
              </w:rPr>
              <w:t>(a)</w:t>
            </w:r>
          </w:p>
        </w:tc>
        <w:tc>
          <w:tcPr>
            <w:tcW w:w="1100" w:type="dxa"/>
            <w:vAlign w:val="bottom"/>
            <w:tcBorders>
              <w:bottom w:val="single" w:sz="8" w:color="0591DB"/>
              <w:right w:val="single" w:sz="8" w:color="0591DB"/>
            </w:tcBorders>
          </w:tcPr>
          <w:p>
            <w:pPr>
              <w:jc w:val="center"/>
              <w:ind w:right="126"/>
              <w:spacing w:after="0"/>
              <w:rPr>
                <w:sz w:val="20"/>
                <w:szCs w:val="20"/>
                <w:color w:val="auto"/>
              </w:rPr>
            </w:pPr>
            <w:r>
              <w:rPr>
                <w:rFonts w:ascii="Calibri" w:cs="Calibri" w:eastAsia="Calibri" w:hAnsi="Calibri"/>
                <w:sz w:val="12"/>
                <w:szCs w:val="12"/>
                <w:b w:val="1"/>
                <w:bCs w:val="1"/>
                <w:color w:val="0591DB"/>
              </w:rPr>
              <w:t>(b)</w:t>
            </w:r>
          </w:p>
        </w:tc>
        <w:tc>
          <w:tcPr>
            <w:tcW w:w="1200" w:type="dxa"/>
            <w:vAlign w:val="bottom"/>
            <w:tcBorders>
              <w:bottom w:val="single" w:sz="8" w:color="0591DB"/>
              <w:right w:val="single" w:sz="8" w:color="0591DB"/>
            </w:tcBorders>
          </w:tcPr>
          <w:p>
            <w:pPr>
              <w:jc w:val="center"/>
              <w:ind w:right="128"/>
              <w:spacing w:after="0"/>
              <w:rPr>
                <w:sz w:val="20"/>
                <w:szCs w:val="20"/>
                <w:color w:val="auto"/>
              </w:rPr>
            </w:pPr>
            <w:r>
              <w:rPr>
                <w:rFonts w:ascii="Calibri" w:cs="Calibri" w:eastAsia="Calibri" w:hAnsi="Calibri"/>
                <w:sz w:val="12"/>
                <w:szCs w:val="12"/>
                <w:b w:val="1"/>
                <w:bCs w:val="1"/>
                <w:color w:val="0591DB"/>
                <w:w w:val="95"/>
              </w:rPr>
              <w:t>(c)</w:t>
            </w:r>
          </w:p>
        </w:tc>
        <w:tc>
          <w:tcPr>
            <w:tcW w:w="1220" w:type="dxa"/>
            <w:vAlign w:val="bottom"/>
            <w:tcBorders>
              <w:bottom w:val="single" w:sz="8" w:color="0591DB"/>
              <w:right w:val="single" w:sz="8" w:color="0591DB"/>
            </w:tcBorders>
          </w:tcPr>
          <w:p>
            <w:pPr>
              <w:jc w:val="center"/>
              <w:ind w:right="125"/>
              <w:spacing w:after="0"/>
              <w:rPr>
                <w:sz w:val="20"/>
                <w:szCs w:val="20"/>
                <w:color w:val="auto"/>
              </w:rPr>
            </w:pPr>
            <w:r>
              <w:rPr>
                <w:rFonts w:ascii="Calibri" w:cs="Calibri" w:eastAsia="Calibri" w:hAnsi="Calibri"/>
                <w:sz w:val="12"/>
                <w:szCs w:val="12"/>
                <w:b w:val="1"/>
                <w:bCs w:val="1"/>
                <w:color w:val="0591DB"/>
              </w:rPr>
              <w:t>(d)</w:t>
            </w:r>
          </w:p>
        </w:tc>
        <w:tc>
          <w:tcPr>
            <w:tcW w:w="1040" w:type="dxa"/>
            <w:vAlign w:val="bottom"/>
            <w:tcBorders>
              <w:bottom w:val="single" w:sz="8" w:color="0591DB"/>
              <w:right w:val="single" w:sz="8" w:color="0591DB"/>
            </w:tcBorders>
          </w:tcPr>
          <w:p>
            <w:pPr>
              <w:ind w:left="360"/>
              <w:spacing w:after="0"/>
              <w:rPr>
                <w:sz w:val="20"/>
                <w:szCs w:val="20"/>
                <w:color w:val="auto"/>
              </w:rPr>
            </w:pPr>
            <w:r>
              <w:rPr>
                <w:rFonts w:ascii="Calibri" w:cs="Calibri" w:eastAsia="Calibri" w:hAnsi="Calibri"/>
                <w:sz w:val="12"/>
                <w:szCs w:val="12"/>
                <w:b w:val="1"/>
                <w:bCs w:val="1"/>
                <w:color w:val="0591DB"/>
              </w:rPr>
              <w:t>(e)</w:t>
            </w:r>
          </w:p>
        </w:tc>
        <w:tc>
          <w:tcPr>
            <w:tcW w:w="1020" w:type="dxa"/>
            <w:vAlign w:val="bottom"/>
            <w:tcBorders>
              <w:bottom w:val="single" w:sz="8" w:color="0591DB"/>
              <w:right w:val="single" w:sz="8" w:color="0591DB"/>
            </w:tcBorders>
          </w:tcPr>
          <w:p>
            <w:pPr>
              <w:jc w:val="center"/>
              <w:ind w:right="107"/>
              <w:spacing w:after="0"/>
              <w:rPr>
                <w:sz w:val="20"/>
                <w:szCs w:val="20"/>
                <w:color w:val="auto"/>
              </w:rPr>
            </w:pPr>
            <w:r>
              <w:rPr>
                <w:rFonts w:ascii="Calibri" w:cs="Calibri" w:eastAsia="Calibri" w:hAnsi="Calibri"/>
                <w:sz w:val="12"/>
                <w:szCs w:val="12"/>
                <w:b w:val="1"/>
                <w:bCs w:val="1"/>
                <w:color w:val="0591DB"/>
              </w:rPr>
              <w:t>(f)</w:t>
            </w:r>
          </w:p>
        </w:tc>
        <w:tc>
          <w:tcPr>
            <w:tcW w:w="880" w:type="dxa"/>
            <w:vAlign w:val="bottom"/>
            <w:tcBorders>
              <w:bottom w:val="single" w:sz="8" w:color="0591DB"/>
              <w:right w:val="single" w:sz="8" w:color="0591DB"/>
            </w:tcBorders>
          </w:tcPr>
          <w:p>
            <w:pPr>
              <w:jc w:val="center"/>
              <w:ind w:right="106"/>
              <w:spacing w:after="0"/>
              <w:rPr>
                <w:sz w:val="20"/>
                <w:szCs w:val="20"/>
                <w:color w:val="auto"/>
              </w:rPr>
            </w:pPr>
            <w:r>
              <w:rPr>
                <w:rFonts w:ascii="Calibri" w:cs="Calibri" w:eastAsia="Calibri" w:hAnsi="Calibri"/>
                <w:sz w:val="12"/>
                <w:szCs w:val="12"/>
                <w:b w:val="1"/>
                <w:bCs w:val="1"/>
                <w:color w:val="0591DB"/>
              </w:rPr>
              <w:t>(g)</w:t>
            </w:r>
          </w:p>
        </w:tc>
        <w:tc>
          <w:tcPr>
            <w:tcW w:w="760" w:type="dxa"/>
            <w:vAlign w:val="bottom"/>
            <w:tcBorders>
              <w:bottom w:val="single" w:sz="8" w:color="0591DB"/>
            </w:tcBorders>
          </w:tcPr>
          <w:p>
            <w:pPr>
              <w:jc w:val="right"/>
              <w:ind w:right="325"/>
              <w:spacing w:after="0"/>
              <w:rPr>
                <w:sz w:val="20"/>
                <w:szCs w:val="20"/>
                <w:color w:val="auto"/>
              </w:rPr>
            </w:pPr>
            <w:r>
              <w:rPr>
                <w:rFonts w:ascii="Calibri" w:cs="Calibri" w:eastAsia="Calibri" w:hAnsi="Calibri"/>
                <w:sz w:val="12"/>
                <w:szCs w:val="12"/>
                <w:b w:val="1"/>
                <w:bCs w:val="1"/>
                <w:color w:val="0591DB"/>
              </w:rPr>
              <w:t>(h)</w:t>
            </w:r>
          </w:p>
        </w:tc>
        <w:tc>
          <w:tcPr>
            <w:tcW w:w="20" w:type="dxa"/>
            <w:vAlign w:val="bottom"/>
            <w:tcBorders>
              <w:bottom w:val="single" w:sz="8" w:color="0591DB"/>
            </w:tcBorders>
            <w:shd w:val="clear" w:color="auto" w:fill="0591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Calibri" w:cs="Calibri" w:eastAsia="Calibri" w:hAnsi="Calibri"/>
                <w:sz w:val="17"/>
                <w:szCs w:val="17"/>
                <w:color w:val="333333"/>
              </w:rPr>
              <w:t> 2025</w:t>
            </w:r>
          </w:p>
        </w:tc>
        <w:tc>
          <w:tcPr>
            <w:tcW w:w="1100" w:type="dxa"/>
            <w:vAlign w:val="bottom"/>
          </w:tcPr>
          <w:p>
            <w:pPr>
              <w:jc w:val="right"/>
              <w:ind w:right="148"/>
              <w:spacing w:after="0" w:line="201" w:lineRule="exact"/>
              <w:rPr>
                <w:sz w:val="20"/>
                <w:szCs w:val="20"/>
                <w:color w:val="auto"/>
              </w:rPr>
            </w:pPr>
            <w:r>
              <w:rPr>
                <w:rFonts w:ascii="Calibri" w:cs="Calibri" w:eastAsia="Calibri" w:hAnsi="Calibri"/>
                <w:sz w:val="17"/>
                <w:szCs w:val="17"/>
                <w:color w:val="333333"/>
              </w:rPr>
              <w:t>10,273,735</w:t>
            </w:r>
          </w:p>
        </w:tc>
        <w:tc>
          <w:tcPr>
            <w:tcW w:w="1100" w:type="dxa"/>
            <w:vAlign w:val="bottom"/>
          </w:tcPr>
          <w:p>
            <w:pPr>
              <w:jc w:val="right"/>
              <w:ind w:right="146"/>
              <w:spacing w:after="0" w:line="201" w:lineRule="exact"/>
              <w:rPr>
                <w:sz w:val="20"/>
                <w:szCs w:val="20"/>
                <w:color w:val="auto"/>
              </w:rPr>
            </w:pPr>
            <w:r>
              <w:rPr>
                <w:rFonts w:ascii="Calibri" w:cs="Calibri" w:eastAsia="Calibri" w:hAnsi="Calibri"/>
                <w:sz w:val="17"/>
                <w:szCs w:val="17"/>
                <w:color w:val="333333"/>
              </w:rPr>
              <w:t>5,948,143</w:t>
            </w:r>
          </w:p>
        </w:tc>
        <w:tc>
          <w:tcPr>
            <w:tcW w:w="1200" w:type="dxa"/>
            <w:vAlign w:val="bottom"/>
          </w:tcPr>
          <w:p>
            <w:pPr>
              <w:jc w:val="right"/>
              <w:ind w:right="168"/>
              <w:spacing w:after="0" w:line="201" w:lineRule="exact"/>
              <w:rPr>
                <w:sz w:val="20"/>
                <w:szCs w:val="20"/>
                <w:color w:val="auto"/>
              </w:rPr>
            </w:pPr>
            <w:r>
              <w:rPr>
                <w:rFonts w:ascii="Calibri" w:cs="Calibri" w:eastAsia="Calibri" w:hAnsi="Calibri"/>
                <w:sz w:val="17"/>
                <w:szCs w:val="17"/>
                <w:color w:val="333333"/>
              </w:rPr>
              <w:t>2,339,636</w:t>
            </w:r>
          </w:p>
        </w:tc>
        <w:tc>
          <w:tcPr>
            <w:tcW w:w="1220" w:type="dxa"/>
            <w:vAlign w:val="bottom"/>
          </w:tcPr>
          <w:p>
            <w:pPr>
              <w:jc w:val="right"/>
              <w:ind w:right="145"/>
              <w:spacing w:after="0" w:line="201" w:lineRule="exact"/>
              <w:rPr>
                <w:sz w:val="20"/>
                <w:szCs w:val="20"/>
                <w:color w:val="auto"/>
              </w:rPr>
            </w:pPr>
            <w:r>
              <w:rPr>
                <w:rFonts w:ascii="Calibri" w:cs="Calibri" w:eastAsia="Calibri" w:hAnsi="Calibri"/>
                <w:sz w:val="17"/>
                <w:szCs w:val="17"/>
                <w:color w:val="333333"/>
              </w:rPr>
              <w:t>2,000,747</w:t>
            </w:r>
          </w:p>
        </w:tc>
        <w:tc>
          <w:tcPr>
            <w:tcW w:w="1040" w:type="dxa"/>
            <w:vAlign w:val="bottom"/>
          </w:tcPr>
          <w:p>
            <w:pPr>
              <w:ind w:left="320"/>
              <w:spacing w:after="0" w:line="201" w:lineRule="exact"/>
              <w:rPr>
                <w:sz w:val="20"/>
                <w:szCs w:val="20"/>
                <w:color w:val="auto"/>
              </w:rPr>
            </w:pPr>
            <w:r>
              <w:rPr>
                <w:rFonts w:ascii="Calibri" w:cs="Calibri" w:eastAsia="Calibri" w:hAnsi="Calibri"/>
                <w:sz w:val="17"/>
                <w:szCs w:val="17"/>
                <w:color w:val="333333"/>
              </w:rPr>
              <w:t>152.91</w:t>
            </w:r>
          </w:p>
        </w:tc>
        <w:tc>
          <w:tcPr>
            <w:tcW w:w="1020" w:type="dxa"/>
            <w:vAlign w:val="bottom"/>
          </w:tcPr>
          <w:p>
            <w:pPr>
              <w:jc w:val="right"/>
              <w:ind w:right="147"/>
              <w:spacing w:after="0" w:line="201" w:lineRule="exact"/>
              <w:rPr>
                <w:sz w:val="20"/>
                <w:szCs w:val="20"/>
                <w:color w:val="auto"/>
              </w:rPr>
            </w:pPr>
            <w:r>
              <w:rPr>
                <w:rFonts w:ascii="Calibri" w:cs="Calibri" w:eastAsia="Calibri" w:hAnsi="Calibri"/>
                <w:sz w:val="17"/>
                <w:szCs w:val="17"/>
                <w:color w:val="333333"/>
              </w:rPr>
              <w:t>171.02</w:t>
            </w:r>
          </w:p>
        </w:tc>
        <w:tc>
          <w:tcPr>
            <w:tcW w:w="880" w:type="dxa"/>
            <w:vAlign w:val="bottom"/>
          </w:tcPr>
          <w:p>
            <w:pPr>
              <w:jc w:val="right"/>
              <w:ind w:right="166"/>
              <w:spacing w:after="0" w:line="201" w:lineRule="exact"/>
              <w:rPr>
                <w:sz w:val="20"/>
                <w:szCs w:val="20"/>
                <w:color w:val="auto"/>
              </w:rPr>
            </w:pPr>
            <w:r>
              <w:rPr>
                <w:rFonts w:ascii="Calibri" w:cs="Calibri" w:eastAsia="Calibri" w:hAnsi="Calibri"/>
                <w:sz w:val="17"/>
                <w:szCs w:val="17"/>
                <w:color w:val="333333"/>
              </w:rPr>
              <w:t>270,871</w:t>
            </w:r>
          </w:p>
        </w:tc>
        <w:tc>
          <w:tcPr>
            <w:tcW w:w="760" w:type="dxa"/>
            <w:vAlign w:val="bottom"/>
          </w:tcPr>
          <w:p>
            <w:pPr>
              <w:jc w:val="right"/>
              <w:ind w:right="125"/>
              <w:spacing w:after="0" w:line="201" w:lineRule="exact"/>
              <w:rPr>
                <w:sz w:val="20"/>
                <w:szCs w:val="20"/>
                <w:color w:val="auto"/>
              </w:rPr>
            </w:pPr>
            <w:r>
              <w:rPr>
                <w:rFonts w:ascii="Calibri" w:cs="Calibri" w:eastAsia="Calibri" w:hAnsi="Calibri"/>
                <w:sz w:val="17"/>
                <w:szCs w:val="17"/>
                <w:color w:val="333333"/>
              </w:rPr>
              <w:t>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right w:val="single" w:sz="8" w:color="EFF2EF"/>
            </w:tcBorders>
          </w:tcPr>
          <w:p>
            <w:pPr>
              <w:spacing w:after="0"/>
              <w:rPr>
                <w:sz w:val="17"/>
                <w:szCs w:val="17"/>
                <w:color w:val="auto"/>
              </w:rPr>
            </w:pPr>
          </w:p>
        </w:tc>
        <w:tc>
          <w:tcPr>
            <w:tcW w:w="2560" w:type="dxa"/>
            <w:vAlign w:val="bottom"/>
            <w:tcBorders>
              <w:right w:val="single" w:sz="8" w:color="EFF2EF"/>
            </w:tcBorders>
            <w:shd w:val="clear" w:color="auto" w:fill="EFF2EF"/>
          </w:tcPr>
          <w:p>
            <w:pPr>
              <w:spacing w:after="0" w:line="201" w:lineRule="exact"/>
              <w:rPr>
                <w:sz w:val="20"/>
                <w:szCs w:val="20"/>
                <w:color w:val="auto"/>
              </w:rPr>
            </w:pPr>
            <w:r>
              <w:rPr>
                <w:rFonts w:ascii="Calibri" w:cs="Calibri" w:eastAsia="Calibri" w:hAnsi="Calibri"/>
                <w:sz w:val="17"/>
                <w:szCs w:val="17"/>
                <w:color w:val="333333"/>
              </w:rPr>
              <w:t> 2024</w:t>
            </w:r>
          </w:p>
        </w:tc>
        <w:tc>
          <w:tcPr>
            <w:tcW w:w="1100" w:type="dxa"/>
            <w:vAlign w:val="bottom"/>
            <w:tcBorders>
              <w:right w:val="single" w:sz="8" w:color="EFF2EF"/>
            </w:tcBorders>
            <w:shd w:val="clear" w:color="auto" w:fill="EFF2EF"/>
          </w:tcPr>
          <w:p>
            <w:pPr>
              <w:jc w:val="right"/>
              <w:ind w:right="148"/>
              <w:spacing w:after="0" w:line="201" w:lineRule="exact"/>
              <w:rPr>
                <w:sz w:val="20"/>
                <w:szCs w:val="20"/>
                <w:color w:val="auto"/>
              </w:rPr>
            </w:pPr>
            <w:r>
              <w:rPr>
                <w:rFonts w:ascii="Calibri" w:cs="Calibri" w:eastAsia="Calibri" w:hAnsi="Calibri"/>
                <w:sz w:val="17"/>
                <w:szCs w:val="17"/>
                <w:color w:val="333333"/>
              </w:rPr>
              <w:t>8,989,878</w:t>
            </w:r>
          </w:p>
        </w:tc>
        <w:tc>
          <w:tcPr>
            <w:tcW w:w="1100" w:type="dxa"/>
            <w:vAlign w:val="bottom"/>
            <w:tcBorders>
              <w:right w:val="single" w:sz="8" w:color="EFF2EF"/>
            </w:tcBorders>
            <w:shd w:val="clear" w:color="auto" w:fill="EFF2EF"/>
          </w:tcPr>
          <w:p>
            <w:pPr>
              <w:jc w:val="right"/>
              <w:ind w:right="146"/>
              <w:spacing w:after="0" w:line="201" w:lineRule="exact"/>
              <w:rPr>
                <w:sz w:val="20"/>
                <w:szCs w:val="20"/>
                <w:color w:val="auto"/>
              </w:rPr>
            </w:pPr>
            <w:r>
              <w:rPr>
                <w:rFonts w:ascii="Calibri" w:cs="Calibri" w:eastAsia="Calibri" w:hAnsi="Calibri"/>
                <w:sz w:val="17"/>
                <w:szCs w:val="17"/>
                <w:color w:val="333333"/>
              </w:rPr>
              <w:t>6,205,682</w:t>
            </w:r>
          </w:p>
        </w:tc>
        <w:tc>
          <w:tcPr>
            <w:tcW w:w="1200" w:type="dxa"/>
            <w:vAlign w:val="bottom"/>
            <w:tcBorders>
              <w:right w:val="single" w:sz="8" w:color="EFF2EF"/>
            </w:tcBorders>
            <w:shd w:val="clear" w:color="auto" w:fill="EFF2EF"/>
          </w:tcPr>
          <w:p>
            <w:pPr>
              <w:jc w:val="right"/>
              <w:ind w:right="168"/>
              <w:spacing w:after="0" w:line="201" w:lineRule="exact"/>
              <w:rPr>
                <w:sz w:val="20"/>
                <w:szCs w:val="20"/>
                <w:color w:val="auto"/>
              </w:rPr>
            </w:pPr>
            <w:r>
              <w:rPr>
                <w:rFonts w:ascii="Calibri" w:cs="Calibri" w:eastAsia="Calibri" w:hAnsi="Calibri"/>
                <w:sz w:val="17"/>
                <w:szCs w:val="17"/>
                <w:color w:val="333333"/>
              </w:rPr>
              <w:t>2,290,941</w:t>
            </w:r>
          </w:p>
        </w:tc>
        <w:tc>
          <w:tcPr>
            <w:tcW w:w="1220" w:type="dxa"/>
            <w:vAlign w:val="bottom"/>
            <w:tcBorders>
              <w:right w:val="single" w:sz="8" w:color="EFF2EF"/>
            </w:tcBorders>
            <w:shd w:val="clear" w:color="auto" w:fill="EFF2EF"/>
          </w:tcPr>
          <w:p>
            <w:pPr>
              <w:jc w:val="right"/>
              <w:ind w:right="145"/>
              <w:spacing w:after="0" w:line="201" w:lineRule="exact"/>
              <w:rPr>
                <w:sz w:val="20"/>
                <w:szCs w:val="20"/>
                <w:color w:val="auto"/>
              </w:rPr>
            </w:pPr>
            <w:r>
              <w:rPr>
                <w:rFonts w:ascii="Calibri" w:cs="Calibri" w:eastAsia="Calibri" w:hAnsi="Calibri"/>
                <w:sz w:val="17"/>
                <w:szCs w:val="17"/>
                <w:color w:val="333333"/>
              </w:rPr>
              <w:t>2,018,574</w:t>
            </w:r>
          </w:p>
        </w:tc>
        <w:tc>
          <w:tcPr>
            <w:tcW w:w="1040" w:type="dxa"/>
            <w:vAlign w:val="bottom"/>
            <w:tcBorders>
              <w:right w:val="single" w:sz="8" w:color="EFF2EF"/>
            </w:tcBorders>
            <w:shd w:val="clear" w:color="auto" w:fill="EFF2EF"/>
          </w:tcPr>
          <w:p>
            <w:pPr>
              <w:ind w:left="320"/>
              <w:spacing w:after="0" w:line="201" w:lineRule="exact"/>
              <w:rPr>
                <w:sz w:val="20"/>
                <w:szCs w:val="20"/>
                <w:color w:val="auto"/>
              </w:rPr>
            </w:pPr>
            <w:r>
              <w:rPr>
                <w:rFonts w:ascii="Calibri" w:cs="Calibri" w:eastAsia="Calibri" w:hAnsi="Calibri"/>
                <w:sz w:val="17"/>
                <w:szCs w:val="17"/>
                <w:color w:val="333333"/>
              </w:rPr>
              <w:t>171.08</w:t>
            </w:r>
          </w:p>
        </w:tc>
        <w:tc>
          <w:tcPr>
            <w:tcW w:w="1020" w:type="dxa"/>
            <w:vAlign w:val="bottom"/>
            <w:tcBorders>
              <w:right w:val="single" w:sz="8" w:color="EFF2EF"/>
            </w:tcBorders>
            <w:shd w:val="clear" w:color="auto" w:fill="EFF2EF"/>
          </w:tcPr>
          <w:p>
            <w:pPr>
              <w:jc w:val="right"/>
              <w:ind w:right="147"/>
              <w:spacing w:after="0" w:line="201" w:lineRule="exact"/>
              <w:rPr>
                <w:sz w:val="20"/>
                <w:szCs w:val="20"/>
                <w:color w:val="auto"/>
              </w:rPr>
            </w:pPr>
            <w:r>
              <w:rPr>
                <w:rFonts w:ascii="Calibri" w:cs="Calibri" w:eastAsia="Calibri" w:hAnsi="Calibri"/>
                <w:sz w:val="17"/>
                <w:szCs w:val="17"/>
                <w:color w:val="333333"/>
              </w:rPr>
              <w:t>163.66</w:t>
            </w:r>
          </w:p>
        </w:tc>
        <w:tc>
          <w:tcPr>
            <w:tcW w:w="880" w:type="dxa"/>
            <w:vAlign w:val="bottom"/>
            <w:tcBorders>
              <w:right w:val="single" w:sz="8" w:color="EFF2EF"/>
            </w:tcBorders>
            <w:shd w:val="clear" w:color="auto" w:fill="EFF2EF"/>
          </w:tcPr>
          <w:p>
            <w:pPr>
              <w:jc w:val="right"/>
              <w:ind w:right="166"/>
              <w:spacing w:after="0" w:line="201" w:lineRule="exact"/>
              <w:rPr>
                <w:sz w:val="20"/>
                <w:szCs w:val="20"/>
                <w:color w:val="auto"/>
              </w:rPr>
            </w:pPr>
            <w:r>
              <w:rPr>
                <w:rFonts w:ascii="Calibri" w:cs="Calibri" w:eastAsia="Calibri" w:hAnsi="Calibri"/>
                <w:sz w:val="17"/>
                <w:szCs w:val="17"/>
                <w:color w:val="333333"/>
              </w:rPr>
              <w:t>280,088</w:t>
            </w:r>
          </w:p>
        </w:tc>
        <w:tc>
          <w:tcPr>
            <w:tcW w:w="760" w:type="dxa"/>
            <w:vAlign w:val="bottom"/>
            <w:shd w:val="clear" w:color="auto" w:fill="EFF2EF"/>
          </w:tcPr>
          <w:p>
            <w:pPr>
              <w:jc w:val="right"/>
              <w:ind w:right="125"/>
              <w:spacing w:after="0" w:line="201" w:lineRule="exact"/>
              <w:rPr>
                <w:sz w:val="20"/>
                <w:szCs w:val="20"/>
                <w:color w:val="auto"/>
              </w:rPr>
            </w:pPr>
            <w:r>
              <w:rPr>
                <w:rFonts w:ascii="Calibri" w:cs="Calibri" w:eastAsia="Calibri" w:hAnsi="Calibri"/>
                <w:sz w:val="17"/>
                <w:szCs w:val="17"/>
                <w:color w:val="333333"/>
              </w:rPr>
              <w:t>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Calibri" w:cs="Calibri" w:eastAsia="Calibri" w:hAnsi="Calibri"/>
                <w:sz w:val="17"/>
                <w:szCs w:val="17"/>
                <w:color w:val="333333"/>
              </w:rPr>
              <w:t> 2023</w:t>
            </w:r>
          </w:p>
        </w:tc>
        <w:tc>
          <w:tcPr>
            <w:tcW w:w="1100" w:type="dxa"/>
            <w:vAlign w:val="bottom"/>
          </w:tcPr>
          <w:p>
            <w:pPr>
              <w:jc w:val="right"/>
              <w:ind w:right="148"/>
              <w:spacing w:after="0" w:line="201" w:lineRule="exact"/>
              <w:rPr>
                <w:sz w:val="20"/>
                <w:szCs w:val="20"/>
                <w:color w:val="auto"/>
              </w:rPr>
            </w:pPr>
            <w:r>
              <w:rPr>
                <w:rFonts w:ascii="Calibri" w:cs="Calibri" w:eastAsia="Calibri" w:hAnsi="Calibri"/>
                <w:sz w:val="17"/>
                <w:szCs w:val="17"/>
                <w:color w:val="333333"/>
              </w:rPr>
              <w:t>9,372,564</w:t>
            </w:r>
          </w:p>
        </w:tc>
        <w:tc>
          <w:tcPr>
            <w:tcW w:w="1100" w:type="dxa"/>
            <w:vAlign w:val="bottom"/>
          </w:tcPr>
          <w:p>
            <w:pPr>
              <w:jc w:val="right"/>
              <w:ind w:right="146"/>
              <w:spacing w:after="0" w:line="201" w:lineRule="exact"/>
              <w:rPr>
                <w:sz w:val="20"/>
                <w:szCs w:val="20"/>
                <w:color w:val="auto"/>
              </w:rPr>
            </w:pPr>
            <w:r>
              <w:rPr>
                <w:rFonts w:ascii="Calibri" w:cs="Calibri" w:eastAsia="Calibri" w:hAnsi="Calibri"/>
                <w:sz w:val="17"/>
                <w:szCs w:val="17"/>
                <w:color w:val="333333"/>
              </w:rPr>
              <w:t>14,812,253</w:t>
            </w:r>
          </w:p>
        </w:tc>
        <w:tc>
          <w:tcPr>
            <w:tcW w:w="1200" w:type="dxa"/>
            <w:vAlign w:val="bottom"/>
          </w:tcPr>
          <w:p>
            <w:pPr>
              <w:jc w:val="right"/>
              <w:ind w:right="168"/>
              <w:spacing w:after="0" w:line="201" w:lineRule="exact"/>
              <w:rPr>
                <w:sz w:val="20"/>
                <w:szCs w:val="20"/>
                <w:color w:val="auto"/>
              </w:rPr>
            </w:pPr>
            <w:r>
              <w:rPr>
                <w:rFonts w:ascii="Calibri" w:cs="Calibri" w:eastAsia="Calibri" w:hAnsi="Calibri"/>
                <w:sz w:val="17"/>
                <w:szCs w:val="17"/>
                <w:color w:val="333333"/>
              </w:rPr>
              <w:t>2,301,899</w:t>
            </w:r>
          </w:p>
        </w:tc>
        <w:tc>
          <w:tcPr>
            <w:tcW w:w="1220" w:type="dxa"/>
            <w:vAlign w:val="bottom"/>
          </w:tcPr>
          <w:p>
            <w:pPr>
              <w:jc w:val="right"/>
              <w:ind w:right="145"/>
              <w:spacing w:after="0" w:line="201" w:lineRule="exact"/>
              <w:rPr>
                <w:sz w:val="20"/>
                <w:szCs w:val="20"/>
                <w:color w:val="auto"/>
              </w:rPr>
            </w:pPr>
            <w:r>
              <w:rPr>
                <w:rFonts w:ascii="Calibri" w:cs="Calibri" w:eastAsia="Calibri" w:hAnsi="Calibri"/>
                <w:sz w:val="17"/>
                <w:szCs w:val="17"/>
                <w:color w:val="333333"/>
              </w:rPr>
              <w:t>2,918,345</w:t>
            </w:r>
          </w:p>
        </w:tc>
        <w:tc>
          <w:tcPr>
            <w:tcW w:w="1040" w:type="dxa"/>
            <w:vAlign w:val="bottom"/>
          </w:tcPr>
          <w:p>
            <w:pPr>
              <w:ind w:left="320"/>
              <w:spacing w:after="0" w:line="201" w:lineRule="exact"/>
              <w:rPr>
                <w:sz w:val="20"/>
                <w:szCs w:val="20"/>
                <w:color w:val="auto"/>
              </w:rPr>
            </w:pPr>
            <w:r>
              <w:rPr>
                <w:rFonts w:ascii="Calibri" w:cs="Calibri" w:eastAsia="Calibri" w:hAnsi="Calibri"/>
                <w:sz w:val="17"/>
                <w:szCs w:val="17"/>
                <w:color w:val="333333"/>
              </w:rPr>
              <w:t>178.26</w:t>
            </w:r>
          </w:p>
        </w:tc>
        <w:tc>
          <w:tcPr>
            <w:tcW w:w="1020" w:type="dxa"/>
            <w:vAlign w:val="bottom"/>
          </w:tcPr>
          <w:p>
            <w:pPr>
              <w:jc w:val="right"/>
              <w:ind w:right="147"/>
              <w:spacing w:after="0" w:line="201" w:lineRule="exact"/>
              <w:rPr>
                <w:sz w:val="20"/>
                <w:szCs w:val="20"/>
                <w:color w:val="auto"/>
              </w:rPr>
            </w:pPr>
            <w:r>
              <w:rPr>
                <w:rFonts w:ascii="Calibri" w:cs="Calibri" w:eastAsia="Calibri" w:hAnsi="Calibri"/>
                <w:sz w:val="17"/>
                <w:szCs w:val="17"/>
                <w:color w:val="333333"/>
              </w:rPr>
              <w:t>131.53</w:t>
            </w:r>
          </w:p>
        </w:tc>
        <w:tc>
          <w:tcPr>
            <w:tcW w:w="880" w:type="dxa"/>
            <w:vAlign w:val="bottom"/>
          </w:tcPr>
          <w:p>
            <w:pPr>
              <w:jc w:val="right"/>
              <w:ind w:right="166"/>
              <w:spacing w:after="0" w:line="201" w:lineRule="exact"/>
              <w:rPr>
                <w:sz w:val="20"/>
                <w:szCs w:val="20"/>
                <w:color w:val="auto"/>
              </w:rPr>
            </w:pPr>
            <w:r>
              <w:rPr>
                <w:rFonts w:ascii="Calibri" w:cs="Calibri" w:eastAsia="Calibri" w:hAnsi="Calibri"/>
                <w:sz w:val="17"/>
                <w:szCs w:val="17"/>
                <w:color w:val="333333"/>
              </w:rPr>
              <w:t>274,892</w:t>
            </w:r>
          </w:p>
        </w:tc>
        <w:tc>
          <w:tcPr>
            <w:tcW w:w="760" w:type="dxa"/>
            <w:vAlign w:val="bottom"/>
          </w:tcPr>
          <w:p>
            <w:pPr>
              <w:jc w:val="right"/>
              <w:ind w:right="125"/>
              <w:spacing w:after="0" w:line="201" w:lineRule="exact"/>
              <w:rPr>
                <w:sz w:val="20"/>
                <w:szCs w:val="20"/>
                <w:color w:val="auto"/>
              </w:rPr>
            </w:pPr>
            <w:r>
              <w:rPr>
                <w:rFonts w:ascii="Calibri" w:cs="Calibri" w:eastAsia="Calibri" w:hAnsi="Calibri"/>
                <w:sz w:val="17"/>
                <w:szCs w:val="17"/>
                <w:color w:val="333333"/>
              </w:rPr>
              <w:t>7.71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right w:val="single" w:sz="8" w:color="EFF2EF"/>
            </w:tcBorders>
          </w:tcPr>
          <w:p>
            <w:pPr>
              <w:spacing w:after="0"/>
              <w:rPr>
                <w:sz w:val="17"/>
                <w:szCs w:val="17"/>
                <w:color w:val="auto"/>
              </w:rPr>
            </w:pPr>
          </w:p>
        </w:tc>
        <w:tc>
          <w:tcPr>
            <w:tcW w:w="2560" w:type="dxa"/>
            <w:vAlign w:val="bottom"/>
            <w:tcBorders>
              <w:right w:val="single" w:sz="8" w:color="EFF2EF"/>
            </w:tcBorders>
            <w:shd w:val="clear" w:color="auto" w:fill="EFF2EF"/>
          </w:tcPr>
          <w:p>
            <w:pPr>
              <w:spacing w:after="0" w:line="201" w:lineRule="exact"/>
              <w:rPr>
                <w:sz w:val="20"/>
                <w:szCs w:val="20"/>
                <w:color w:val="auto"/>
              </w:rPr>
            </w:pPr>
            <w:r>
              <w:rPr>
                <w:rFonts w:ascii="Calibri" w:cs="Calibri" w:eastAsia="Calibri" w:hAnsi="Calibri"/>
                <w:sz w:val="17"/>
                <w:szCs w:val="17"/>
                <w:color w:val="333333"/>
              </w:rPr>
              <w:t> 2022</w:t>
            </w:r>
          </w:p>
        </w:tc>
        <w:tc>
          <w:tcPr>
            <w:tcW w:w="1100" w:type="dxa"/>
            <w:vAlign w:val="bottom"/>
            <w:tcBorders>
              <w:right w:val="single" w:sz="8" w:color="EFF2EF"/>
            </w:tcBorders>
            <w:shd w:val="clear" w:color="auto" w:fill="EFF2EF"/>
          </w:tcPr>
          <w:p>
            <w:pPr>
              <w:jc w:val="right"/>
              <w:ind w:right="148"/>
              <w:spacing w:after="0" w:line="201" w:lineRule="exact"/>
              <w:rPr>
                <w:sz w:val="20"/>
                <w:szCs w:val="20"/>
                <w:color w:val="auto"/>
              </w:rPr>
            </w:pPr>
            <w:r>
              <w:rPr>
                <w:rFonts w:ascii="Calibri" w:cs="Calibri" w:eastAsia="Calibri" w:hAnsi="Calibri"/>
                <w:sz w:val="17"/>
                <w:szCs w:val="17"/>
                <w:color w:val="333333"/>
              </w:rPr>
              <w:t>9,135,687</w:t>
            </w:r>
          </w:p>
        </w:tc>
        <w:tc>
          <w:tcPr>
            <w:tcW w:w="1100" w:type="dxa"/>
            <w:vAlign w:val="bottom"/>
            <w:tcBorders>
              <w:right w:val="single" w:sz="8" w:color="EFF2EF"/>
            </w:tcBorders>
            <w:shd w:val="clear" w:color="auto" w:fill="EFF2EF"/>
          </w:tcPr>
          <w:p>
            <w:pPr>
              <w:jc w:val="right"/>
              <w:ind w:right="146"/>
              <w:spacing w:after="0" w:line="201" w:lineRule="exact"/>
              <w:rPr>
                <w:sz w:val="20"/>
                <w:szCs w:val="20"/>
                <w:color w:val="auto"/>
              </w:rPr>
            </w:pPr>
            <w:r>
              <w:rPr>
                <w:rFonts w:ascii="Calibri" w:cs="Calibri" w:eastAsia="Calibri" w:hAnsi="Calibri"/>
                <w:sz w:val="17"/>
                <w:szCs w:val="17"/>
                <w:color w:val="333333"/>
              </w:rPr>
              <w:t>12,370,328</w:t>
            </w:r>
          </w:p>
        </w:tc>
        <w:tc>
          <w:tcPr>
            <w:tcW w:w="1200" w:type="dxa"/>
            <w:vAlign w:val="bottom"/>
            <w:tcBorders>
              <w:right w:val="single" w:sz="8" w:color="EFF2EF"/>
            </w:tcBorders>
            <w:shd w:val="clear" w:color="auto" w:fill="EFF2EF"/>
          </w:tcPr>
          <w:p>
            <w:pPr>
              <w:jc w:val="right"/>
              <w:ind w:right="168"/>
              <w:spacing w:after="0" w:line="201" w:lineRule="exact"/>
              <w:rPr>
                <w:sz w:val="20"/>
                <w:szCs w:val="20"/>
                <w:color w:val="auto"/>
              </w:rPr>
            </w:pPr>
            <w:r>
              <w:rPr>
                <w:rFonts w:ascii="Calibri" w:cs="Calibri" w:eastAsia="Calibri" w:hAnsi="Calibri"/>
                <w:sz w:val="17"/>
                <w:szCs w:val="17"/>
                <w:color w:val="333333"/>
              </w:rPr>
              <w:t>2,115,869</w:t>
            </w:r>
          </w:p>
        </w:tc>
        <w:tc>
          <w:tcPr>
            <w:tcW w:w="1220" w:type="dxa"/>
            <w:vAlign w:val="bottom"/>
            <w:tcBorders>
              <w:right w:val="single" w:sz="8" w:color="EFF2EF"/>
            </w:tcBorders>
            <w:shd w:val="clear" w:color="auto" w:fill="EFF2EF"/>
          </w:tcPr>
          <w:p>
            <w:pPr>
              <w:jc w:val="right"/>
              <w:ind w:right="145"/>
              <w:spacing w:after="0" w:line="201" w:lineRule="exact"/>
              <w:rPr>
                <w:sz w:val="20"/>
                <w:szCs w:val="20"/>
                <w:color w:val="auto"/>
              </w:rPr>
            </w:pPr>
            <w:r>
              <w:rPr>
                <w:rFonts w:ascii="Calibri" w:cs="Calibri" w:eastAsia="Calibri" w:hAnsi="Calibri"/>
                <w:sz w:val="17"/>
                <w:szCs w:val="17"/>
                <w:color w:val="333333"/>
              </w:rPr>
              <w:t>2,489,268</w:t>
            </w:r>
          </w:p>
        </w:tc>
        <w:tc>
          <w:tcPr>
            <w:tcW w:w="1040" w:type="dxa"/>
            <w:vAlign w:val="bottom"/>
            <w:tcBorders>
              <w:right w:val="single" w:sz="8" w:color="EFF2EF"/>
            </w:tcBorders>
            <w:shd w:val="clear" w:color="auto" w:fill="EFF2EF"/>
          </w:tcPr>
          <w:p>
            <w:pPr>
              <w:ind w:left="320"/>
              <w:spacing w:after="0" w:line="201" w:lineRule="exact"/>
              <w:rPr>
                <w:sz w:val="20"/>
                <w:szCs w:val="20"/>
                <w:color w:val="auto"/>
              </w:rPr>
            </w:pPr>
            <w:r>
              <w:rPr>
                <w:rFonts w:ascii="Calibri" w:cs="Calibri" w:eastAsia="Calibri" w:hAnsi="Calibri"/>
                <w:sz w:val="17"/>
                <w:szCs w:val="17"/>
                <w:color w:val="333333"/>
              </w:rPr>
              <w:t>142.14</w:t>
            </w:r>
          </w:p>
        </w:tc>
        <w:tc>
          <w:tcPr>
            <w:tcW w:w="1020" w:type="dxa"/>
            <w:vAlign w:val="bottom"/>
            <w:tcBorders>
              <w:right w:val="single" w:sz="8" w:color="EFF2EF"/>
            </w:tcBorders>
            <w:shd w:val="clear" w:color="auto" w:fill="EFF2EF"/>
          </w:tcPr>
          <w:p>
            <w:pPr>
              <w:jc w:val="right"/>
              <w:ind w:right="147"/>
              <w:spacing w:after="0" w:line="201" w:lineRule="exact"/>
              <w:rPr>
                <w:sz w:val="20"/>
                <w:szCs w:val="20"/>
                <w:color w:val="auto"/>
              </w:rPr>
            </w:pPr>
            <w:r>
              <w:rPr>
                <w:rFonts w:ascii="Calibri" w:cs="Calibri" w:eastAsia="Calibri" w:hAnsi="Calibri"/>
                <w:sz w:val="17"/>
                <w:szCs w:val="17"/>
                <w:color w:val="333333"/>
              </w:rPr>
              <w:t>113.00</w:t>
            </w:r>
          </w:p>
        </w:tc>
        <w:tc>
          <w:tcPr>
            <w:tcW w:w="880" w:type="dxa"/>
            <w:vAlign w:val="bottom"/>
            <w:tcBorders>
              <w:right w:val="single" w:sz="8" w:color="EFF2EF"/>
            </w:tcBorders>
            <w:shd w:val="clear" w:color="auto" w:fill="EFF2EF"/>
          </w:tcPr>
          <w:p>
            <w:pPr>
              <w:jc w:val="right"/>
              <w:ind w:right="166"/>
              <w:spacing w:after="0" w:line="201" w:lineRule="exact"/>
              <w:rPr>
                <w:sz w:val="20"/>
                <w:szCs w:val="20"/>
                <w:color w:val="auto"/>
              </w:rPr>
            </w:pPr>
            <w:r>
              <w:rPr>
                <w:rFonts w:ascii="Calibri" w:cs="Calibri" w:eastAsia="Calibri" w:hAnsi="Calibri"/>
                <w:sz w:val="17"/>
                <w:szCs w:val="17"/>
                <w:color w:val="333333"/>
              </w:rPr>
              <w:t>235,514</w:t>
            </w:r>
          </w:p>
        </w:tc>
        <w:tc>
          <w:tcPr>
            <w:tcW w:w="760" w:type="dxa"/>
            <w:vAlign w:val="bottom"/>
            <w:shd w:val="clear" w:color="auto" w:fill="EFF2EF"/>
          </w:tcPr>
          <w:p>
            <w:pPr>
              <w:jc w:val="right"/>
              <w:ind w:right="125"/>
              <w:spacing w:after="0" w:line="201" w:lineRule="exact"/>
              <w:rPr>
                <w:sz w:val="20"/>
                <w:szCs w:val="20"/>
                <w:color w:val="auto"/>
              </w:rPr>
            </w:pPr>
            <w:r>
              <w:rPr>
                <w:rFonts w:ascii="Calibri" w:cs="Calibri" w:eastAsia="Calibri" w:hAnsi="Calibri"/>
                <w:sz w:val="17"/>
                <w:szCs w:val="17"/>
                <w:color w:val="333333"/>
              </w:rPr>
              <w:t>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tcPr>
          <w:p>
            <w:pPr>
              <w:spacing w:after="0" w:line="203" w:lineRule="exact"/>
              <w:rPr>
                <w:sz w:val="20"/>
                <w:szCs w:val="20"/>
                <w:color w:val="auto"/>
              </w:rPr>
            </w:pPr>
            <w:r>
              <w:rPr>
                <w:rFonts w:ascii="Calibri" w:cs="Calibri" w:eastAsia="Calibri" w:hAnsi="Calibri"/>
                <w:sz w:val="17"/>
                <w:szCs w:val="17"/>
                <w:color w:val="333333"/>
              </w:rPr>
              <w:t> 2021</w:t>
            </w:r>
          </w:p>
        </w:tc>
        <w:tc>
          <w:tcPr>
            <w:tcW w:w="1100" w:type="dxa"/>
            <w:vAlign w:val="bottom"/>
          </w:tcPr>
          <w:p>
            <w:pPr>
              <w:jc w:val="right"/>
              <w:ind w:right="148"/>
              <w:spacing w:after="0" w:line="203" w:lineRule="exact"/>
              <w:rPr>
                <w:sz w:val="20"/>
                <w:szCs w:val="20"/>
                <w:color w:val="auto"/>
              </w:rPr>
            </w:pPr>
            <w:r>
              <w:rPr>
                <w:rFonts w:ascii="Calibri" w:cs="Calibri" w:eastAsia="Calibri" w:hAnsi="Calibri"/>
                <w:sz w:val="17"/>
                <w:szCs w:val="17"/>
                <w:color w:val="333333"/>
              </w:rPr>
              <w:t>7,910,637</w:t>
            </w:r>
          </w:p>
        </w:tc>
        <w:tc>
          <w:tcPr>
            <w:tcW w:w="1100" w:type="dxa"/>
            <w:vAlign w:val="bottom"/>
          </w:tcPr>
          <w:p>
            <w:pPr>
              <w:jc w:val="right"/>
              <w:ind w:right="146"/>
              <w:spacing w:after="0" w:line="203" w:lineRule="exact"/>
              <w:rPr>
                <w:sz w:val="20"/>
                <w:szCs w:val="20"/>
                <w:color w:val="auto"/>
              </w:rPr>
            </w:pPr>
            <w:r>
              <w:rPr>
                <w:rFonts w:ascii="Calibri" w:cs="Calibri" w:eastAsia="Calibri" w:hAnsi="Calibri"/>
                <w:sz w:val="17"/>
                <w:szCs w:val="17"/>
                <w:color w:val="333333"/>
              </w:rPr>
              <w:t>13,643,454</w:t>
            </w:r>
          </w:p>
        </w:tc>
        <w:tc>
          <w:tcPr>
            <w:tcW w:w="1200" w:type="dxa"/>
            <w:vAlign w:val="bottom"/>
          </w:tcPr>
          <w:p>
            <w:pPr>
              <w:jc w:val="right"/>
              <w:ind w:right="168"/>
              <w:spacing w:after="0" w:line="203" w:lineRule="exact"/>
              <w:rPr>
                <w:sz w:val="20"/>
                <w:szCs w:val="20"/>
                <w:color w:val="auto"/>
              </w:rPr>
            </w:pPr>
            <w:r>
              <w:rPr>
                <w:rFonts w:ascii="Calibri" w:cs="Calibri" w:eastAsia="Calibri" w:hAnsi="Calibri"/>
                <w:sz w:val="17"/>
                <w:szCs w:val="17"/>
                <w:color w:val="333333"/>
              </w:rPr>
              <w:t>1,976,730</w:t>
            </w:r>
          </w:p>
        </w:tc>
        <w:tc>
          <w:tcPr>
            <w:tcW w:w="1220" w:type="dxa"/>
            <w:vAlign w:val="bottom"/>
          </w:tcPr>
          <w:p>
            <w:pPr>
              <w:jc w:val="right"/>
              <w:ind w:right="145"/>
              <w:spacing w:after="0" w:line="203" w:lineRule="exact"/>
              <w:rPr>
                <w:sz w:val="20"/>
                <w:szCs w:val="20"/>
                <w:color w:val="auto"/>
              </w:rPr>
            </w:pPr>
            <w:r>
              <w:rPr>
                <w:rFonts w:ascii="Calibri" w:cs="Calibri" w:eastAsia="Calibri" w:hAnsi="Calibri"/>
                <w:sz w:val="17"/>
                <w:szCs w:val="17"/>
                <w:color w:val="333333"/>
              </w:rPr>
              <w:t>2,692,363</w:t>
            </w:r>
          </w:p>
        </w:tc>
        <w:tc>
          <w:tcPr>
            <w:tcW w:w="1040" w:type="dxa"/>
            <w:vAlign w:val="bottom"/>
          </w:tcPr>
          <w:p>
            <w:pPr>
              <w:ind w:left="320"/>
              <w:spacing w:after="0" w:line="203" w:lineRule="exact"/>
              <w:rPr>
                <w:sz w:val="20"/>
                <w:szCs w:val="20"/>
                <w:color w:val="auto"/>
              </w:rPr>
            </w:pPr>
            <w:r>
              <w:rPr>
                <w:rFonts w:ascii="Calibri" w:cs="Calibri" w:eastAsia="Calibri" w:hAnsi="Calibri"/>
                <w:sz w:val="17"/>
                <w:szCs w:val="17"/>
                <w:color w:val="333333"/>
              </w:rPr>
              <w:t>137.33</w:t>
            </w:r>
          </w:p>
        </w:tc>
        <w:tc>
          <w:tcPr>
            <w:tcW w:w="1020" w:type="dxa"/>
            <w:vAlign w:val="bottom"/>
          </w:tcPr>
          <w:p>
            <w:pPr>
              <w:jc w:val="right"/>
              <w:ind w:right="147"/>
              <w:spacing w:after="0" w:line="203" w:lineRule="exact"/>
              <w:rPr>
                <w:sz w:val="20"/>
                <w:szCs w:val="20"/>
                <w:color w:val="auto"/>
              </w:rPr>
            </w:pPr>
            <w:r>
              <w:rPr>
                <w:rFonts w:ascii="Calibri" w:cs="Calibri" w:eastAsia="Calibri" w:hAnsi="Calibri"/>
                <w:sz w:val="17"/>
                <w:szCs w:val="17"/>
                <w:color w:val="333333"/>
              </w:rPr>
              <w:t>133.24</w:t>
            </w:r>
          </w:p>
        </w:tc>
        <w:tc>
          <w:tcPr>
            <w:tcW w:w="880" w:type="dxa"/>
            <w:vAlign w:val="bottom"/>
          </w:tcPr>
          <w:p>
            <w:pPr>
              <w:jc w:val="right"/>
              <w:ind w:right="166"/>
              <w:spacing w:after="0" w:line="203" w:lineRule="exact"/>
              <w:rPr>
                <w:sz w:val="20"/>
                <w:szCs w:val="20"/>
                <w:color w:val="auto"/>
              </w:rPr>
            </w:pPr>
            <w:r>
              <w:rPr>
                <w:rFonts w:ascii="Calibri" w:cs="Calibri" w:eastAsia="Calibri" w:hAnsi="Calibri"/>
                <w:sz w:val="17"/>
                <w:szCs w:val="17"/>
                <w:color w:val="333333"/>
              </w:rPr>
              <w:t>234,966</w:t>
            </w:r>
          </w:p>
        </w:tc>
        <w:tc>
          <w:tcPr>
            <w:tcW w:w="760" w:type="dxa"/>
            <w:vAlign w:val="bottom"/>
          </w:tcPr>
          <w:p>
            <w:pPr>
              <w:jc w:val="right"/>
              <w:ind w:right="125"/>
              <w:spacing w:after="0" w:line="203" w:lineRule="exact"/>
              <w:rPr>
                <w:sz w:val="20"/>
                <w:szCs w:val="20"/>
                <w:color w:val="auto"/>
              </w:rPr>
            </w:pPr>
            <w:r>
              <w:rPr>
                <w:rFonts w:ascii="Calibri" w:cs="Calibri" w:eastAsia="Calibri" w:hAnsi="Calibri"/>
                <w:sz w:val="17"/>
                <w:szCs w:val="17"/>
                <w:color w:val="333333"/>
              </w:rPr>
              <w:t>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14522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38" w:lineRule="exact"/>
        <w:rPr>
          <w:sz w:val="20"/>
          <w:szCs w:val="20"/>
          <w:color w:val="auto"/>
        </w:rPr>
      </w:pPr>
    </w:p>
    <w:p>
      <w:pPr>
        <w:ind w:left="600" w:right="1020" w:hanging="433"/>
        <w:spacing w:after="0" w:line="233" w:lineRule="auto"/>
        <w:tabs>
          <w:tab w:leader="none" w:pos="600" w:val="left"/>
        </w:tabs>
        <w:numPr>
          <w:ilvl w:val="0"/>
          <w:numId w:val="112"/>
        </w:numPr>
        <w:rPr>
          <w:rFonts w:ascii="Calibri" w:cs="Calibri" w:eastAsia="Calibri" w:hAnsi="Calibri"/>
          <w:sz w:val="11"/>
          <w:szCs w:val="11"/>
          <w:color w:val="333333"/>
        </w:rPr>
      </w:pPr>
      <w:r>
        <w:rPr>
          <w:rFonts w:ascii="Calibri" w:cs="Calibri" w:eastAsia="Calibri" w:hAnsi="Calibri"/>
          <w:sz w:val="17"/>
          <w:szCs w:val="17"/>
          <w:color w:val="333333"/>
        </w:rPr>
        <w:t>The dollar amounts reported in Column (a) are the amounts reported for our CEO in the “Total” compensaton column of the Summary Compensaton Table in the applicable year.</w:t>
      </w:r>
    </w:p>
    <w:p>
      <w:pPr>
        <w:spacing w:after="0" w:line="118" w:lineRule="exact"/>
        <w:rPr>
          <w:rFonts w:ascii="Calibri" w:cs="Calibri" w:eastAsia="Calibri" w:hAnsi="Calibri"/>
          <w:sz w:val="11"/>
          <w:szCs w:val="11"/>
          <w:color w:val="333333"/>
        </w:rPr>
      </w:pPr>
    </w:p>
    <w:p>
      <w:pPr>
        <w:ind w:left="600" w:right="60" w:hanging="433"/>
        <w:spacing w:after="0" w:line="232" w:lineRule="auto"/>
        <w:tabs>
          <w:tab w:leader="none" w:pos="600" w:val="left"/>
        </w:tabs>
        <w:numPr>
          <w:ilvl w:val="0"/>
          <w:numId w:val="112"/>
        </w:numPr>
        <w:rPr>
          <w:rFonts w:ascii="Calibri" w:cs="Calibri" w:eastAsia="Calibri" w:hAnsi="Calibri"/>
          <w:sz w:val="11"/>
          <w:szCs w:val="11"/>
          <w:color w:val="333333"/>
        </w:rPr>
      </w:pPr>
      <w:r>
        <w:rPr>
          <w:rFonts w:ascii="Calibri" w:cs="Calibri" w:eastAsia="Calibri" w:hAnsi="Calibri"/>
          <w:sz w:val="17"/>
          <w:szCs w:val="17"/>
          <w:color w:val="333333"/>
        </w:rPr>
        <w:t>The dollar amounts reported in Column (b) represent the amount of CAP for Mr. Gunby, computed in accordance with Item 402(v) of Regulaton S-K. The dollar amounts do not refect the actual amount of compensaton earned by or paid to Mr. Gunby during the applicable year. In accordance with the requirements of Item 402(v) of Regulaton S-K, the following adjustments were made to Mr. Gunby’s total compensaton for each year to determine the compensaton actually paid:</w:t>
      </w:r>
    </w:p>
    <w:p>
      <w:pPr>
        <w:spacing w:after="0" w:line="128" w:lineRule="exact"/>
        <w:rPr>
          <w:sz w:val="20"/>
          <w:szCs w:val="20"/>
          <w:color w:val="auto"/>
        </w:rPr>
      </w:pPr>
    </w:p>
    <w:tbl>
      <w:tblPr>
        <w:tblLayout w:type="fixed"/>
        <w:tblInd w:w="170" w:type="dxa"/>
        <w:tblCellMar>
          <w:top w:w="0" w:type="dxa"/>
          <w:left w:w="0" w:type="dxa"/>
          <w:bottom w:w="0" w:type="dxa"/>
          <w:right w:w="0" w:type="dxa"/>
        </w:tblCellMar>
      </w:tblPr>
      <w:tr>
        <w:trPr>
          <w:trHeight w:val="234"/>
        </w:trPr>
        <w:tc>
          <w:tcPr>
            <w:tcW w:w="5020" w:type="dxa"/>
            <w:vAlign w:val="bottom"/>
            <w:tcBorders>
              <w:top w:val="single" w:sz="8" w:color="0591DB"/>
              <w:left w:val="single" w:sz="8" w:color="0591DB"/>
              <w:bottom w:val="single" w:sz="8" w:color="0591DB"/>
              <w:right w:val="single" w:sz="8" w:color="0591DB"/>
            </w:tcBorders>
          </w:tcPr>
          <w:p>
            <w:pPr>
              <w:ind w:left="160"/>
              <w:spacing w:after="0"/>
              <w:rPr>
                <w:sz w:val="20"/>
                <w:szCs w:val="20"/>
                <w:color w:val="auto"/>
              </w:rPr>
            </w:pPr>
            <w:r>
              <w:rPr>
                <w:rFonts w:ascii="Calibri" w:cs="Calibri" w:eastAsia="Calibri" w:hAnsi="Calibri"/>
                <w:sz w:val="14"/>
                <w:szCs w:val="14"/>
                <w:b w:val="1"/>
                <w:bCs w:val="1"/>
                <w:color w:val="0591DB"/>
              </w:rPr>
              <w:t> ADJUSTMENTS TO DETERMINE COMPENSATION ACTUALLY PAID</w:t>
            </w:r>
          </w:p>
        </w:tc>
        <w:tc>
          <w:tcPr>
            <w:tcW w:w="1220" w:type="dxa"/>
            <w:vAlign w:val="bottom"/>
            <w:tcBorders>
              <w:top w:val="single" w:sz="8" w:color="0591DB"/>
              <w:bottom w:val="single" w:sz="8" w:color="0591DB"/>
              <w:right w:val="single" w:sz="8" w:color="0591DB"/>
            </w:tcBorders>
          </w:tcPr>
          <w:p>
            <w:pPr>
              <w:jc w:val="right"/>
              <w:ind w:right="400"/>
              <w:spacing w:after="0"/>
              <w:rPr>
                <w:sz w:val="20"/>
                <w:szCs w:val="20"/>
                <w:color w:val="auto"/>
              </w:rPr>
            </w:pPr>
            <w:r>
              <w:rPr>
                <w:rFonts w:ascii="Calibri" w:cs="Calibri" w:eastAsia="Calibri" w:hAnsi="Calibri"/>
                <w:sz w:val="14"/>
                <w:szCs w:val="14"/>
                <w:b w:val="1"/>
                <w:bCs w:val="1"/>
                <w:color w:val="0591DB"/>
              </w:rPr>
              <w:t>2025</w:t>
            </w:r>
          </w:p>
        </w:tc>
        <w:tc>
          <w:tcPr>
            <w:tcW w:w="1160" w:type="dxa"/>
            <w:vAlign w:val="bottom"/>
            <w:tcBorders>
              <w:top w:val="single" w:sz="8" w:color="0591DB"/>
              <w:bottom w:val="single" w:sz="8" w:color="0591DB"/>
              <w:right w:val="single" w:sz="8" w:color="0591DB"/>
            </w:tcBorders>
          </w:tcPr>
          <w:p>
            <w:pPr>
              <w:jc w:val="right"/>
              <w:ind w:right="360"/>
              <w:spacing w:after="0"/>
              <w:rPr>
                <w:sz w:val="20"/>
                <w:szCs w:val="20"/>
                <w:color w:val="auto"/>
              </w:rPr>
            </w:pPr>
            <w:r>
              <w:rPr>
                <w:rFonts w:ascii="Calibri" w:cs="Calibri" w:eastAsia="Calibri" w:hAnsi="Calibri"/>
                <w:sz w:val="14"/>
                <w:szCs w:val="14"/>
                <w:b w:val="1"/>
                <w:bCs w:val="1"/>
                <w:color w:val="0591DB"/>
              </w:rPr>
              <w:t>2024</w:t>
            </w:r>
          </w:p>
        </w:tc>
        <w:tc>
          <w:tcPr>
            <w:tcW w:w="1180" w:type="dxa"/>
            <w:vAlign w:val="bottom"/>
            <w:tcBorders>
              <w:top w:val="single" w:sz="8" w:color="0591DB"/>
              <w:bottom w:val="single" w:sz="8" w:color="0591DB"/>
              <w:right w:val="single" w:sz="8" w:color="0591DB"/>
            </w:tcBorders>
          </w:tcPr>
          <w:p>
            <w:pPr>
              <w:jc w:val="right"/>
              <w:ind w:right="380"/>
              <w:spacing w:after="0"/>
              <w:rPr>
                <w:sz w:val="20"/>
                <w:szCs w:val="20"/>
                <w:color w:val="auto"/>
              </w:rPr>
            </w:pPr>
            <w:r>
              <w:rPr>
                <w:rFonts w:ascii="Calibri" w:cs="Calibri" w:eastAsia="Calibri" w:hAnsi="Calibri"/>
                <w:sz w:val="14"/>
                <w:szCs w:val="14"/>
                <w:b w:val="1"/>
                <w:bCs w:val="1"/>
                <w:color w:val="0591DB"/>
              </w:rPr>
              <w:t>2023</w:t>
            </w:r>
          </w:p>
        </w:tc>
        <w:tc>
          <w:tcPr>
            <w:tcW w:w="1180" w:type="dxa"/>
            <w:vAlign w:val="bottom"/>
            <w:tcBorders>
              <w:top w:val="single" w:sz="8" w:color="0591DB"/>
              <w:bottom w:val="single" w:sz="8" w:color="0591DB"/>
              <w:right w:val="single" w:sz="8" w:color="0591DB"/>
            </w:tcBorders>
          </w:tcPr>
          <w:p>
            <w:pPr>
              <w:jc w:val="right"/>
              <w:ind w:right="380"/>
              <w:spacing w:after="0"/>
              <w:rPr>
                <w:sz w:val="20"/>
                <w:szCs w:val="20"/>
                <w:color w:val="auto"/>
              </w:rPr>
            </w:pPr>
            <w:r>
              <w:rPr>
                <w:rFonts w:ascii="Calibri" w:cs="Calibri" w:eastAsia="Calibri" w:hAnsi="Calibri"/>
                <w:sz w:val="14"/>
                <w:szCs w:val="14"/>
                <w:b w:val="1"/>
                <w:bCs w:val="1"/>
                <w:color w:val="0591DB"/>
              </w:rPr>
              <w:t>2022</w:t>
            </w:r>
          </w:p>
        </w:tc>
        <w:tc>
          <w:tcPr>
            <w:tcW w:w="1180" w:type="dxa"/>
            <w:vAlign w:val="bottom"/>
            <w:tcBorders>
              <w:top w:val="single" w:sz="8" w:color="0591DB"/>
              <w:bottom w:val="single" w:sz="8" w:color="0591DB"/>
              <w:right w:val="single" w:sz="8" w:color="0591DB"/>
            </w:tcBorders>
          </w:tcPr>
          <w:p>
            <w:pPr>
              <w:jc w:val="right"/>
              <w:ind w:right="400"/>
              <w:spacing w:after="0"/>
              <w:rPr>
                <w:sz w:val="20"/>
                <w:szCs w:val="20"/>
                <w:color w:val="auto"/>
              </w:rPr>
            </w:pPr>
            <w:r>
              <w:rPr>
                <w:rFonts w:ascii="Calibri" w:cs="Calibri" w:eastAsia="Calibri" w:hAnsi="Calibri"/>
                <w:sz w:val="14"/>
                <w:szCs w:val="14"/>
                <w:b w:val="1"/>
                <w:bCs w:val="1"/>
                <w:color w:val="0591DB"/>
              </w:rPr>
              <w:t>2021</w:t>
            </w:r>
          </w:p>
        </w:tc>
      </w:tr>
      <w:tr>
        <w:trPr>
          <w:trHeight w:val="173"/>
        </w:trPr>
        <w:tc>
          <w:tcPr>
            <w:tcW w:w="5020" w:type="dxa"/>
            <w:vAlign w:val="bottom"/>
          </w:tcPr>
          <w:p>
            <w:pPr>
              <w:ind w:left="320"/>
              <w:spacing w:after="0" w:line="173" w:lineRule="exact"/>
              <w:rPr>
                <w:sz w:val="20"/>
                <w:szCs w:val="20"/>
                <w:color w:val="auto"/>
              </w:rPr>
            </w:pPr>
            <w:r>
              <w:rPr>
                <w:rFonts w:ascii="Calibri" w:cs="Calibri" w:eastAsia="Calibri" w:hAnsi="Calibri"/>
                <w:sz w:val="17"/>
                <w:szCs w:val="17"/>
                <w:color w:val="333333"/>
              </w:rPr>
              <w:t>Amounts reported under the “Total” Compensaton column in the</w:t>
            </w:r>
          </w:p>
        </w:tc>
        <w:tc>
          <w:tcPr>
            <w:tcW w:w="1220" w:type="dxa"/>
            <w:vAlign w:val="bottom"/>
          </w:tcPr>
          <w:p>
            <w:pPr>
              <w:jc w:val="right"/>
              <w:ind w:right="40"/>
              <w:spacing w:after="0" w:line="173" w:lineRule="exact"/>
              <w:rPr>
                <w:sz w:val="20"/>
                <w:szCs w:val="20"/>
                <w:color w:val="auto"/>
              </w:rPr>
            </w:pPr>
            <w:r>
              <w:rPr>
                <w:rFonts w:ascii="Calibri" w:cs="Calibri" w:eastAsia="Calibri" w:hAnsi="Calibri"/>
                <w:sz w:val="17"/>
                <w:szCs w:val="17"/>
                <w:color w:val="333333"/>
              </w:rPr>
              <w:t>10,273,735</w:t>
            </w:r>
          </w:p>
        </w:tc>
        <w:tc>
          <w:tcPr>
            <w:tcW w:w="1160" w:type="dxa"/>
            <w:vAlign w:val="bottom"/>
          </w:tcPr>
          <w:p>
            <w:pPr>
              <w:jc w:val="right"/>
              <w:ind w:right="40"/>
              <w:spacing w:after="0" w:line="173" w:lineRule="exact"/>
              <w:rPr>
                <w:sz w:val="20"/>
                <w:szCs w:val="20"/>
                <w:color w:val="auto"/>
              </w:rPr>
            </w:pPr>
            <w:r>
              <w:rPr>
                <w:rFonts w:ascii="Calibri" w:cs="Calibri" w:eastAsia="Calibri" w:hAnsi="Calibri"/>
                <w:sz w:val="17"/>
                <w:szCs w:val="17"/>
                <w:color w:val="333333"/>
              </w:rPr>
              <w:t>8,989,878</w:t>
            </w:r>
          </w:p>
        </w:tc>
        <w:tc>
          <w:tcPr>
            <w:tcW w:w="1180" w:type="dxa"/>
            <w:vAlign w:val="bottom"/>
          </w:tcPr>
          <w:p>
            <w:pPr>
              <w:jc w:val="right"/>
              <w:ind w:right="40"/>
              <w:spacing w:after="0" w:line="173" w:lineRule="exact"/>
              <w:rPr>
                <w:sz w:val="20"/>
                <w:szCs w:val="20"/>
                <w:color w:val="auto"/>
              </w:rPr>
            </w:pPr>
            <w:r>
              <w:rPr>
                <w:rFonts w:ascii="Calibri" w:cs="Calibri" w:eastAsia="Calibri" w:hAnsi="Calibri"/>
                <w:sz w:val="17"/>
                <w:szCs w:val="17"/>
                <w:color w:val="333333"/>
              </w:rPr>
              <w:t>9,372,564</w:t>
            </w:r>
          </w:p>
        </w:tc>
        <w:tc>
          <w:tcPr>
            <w:tcW w:w="1180" w:type="dxa"/>
            <w:vAlign w:val="bottom"/>
          </w:tcPr>
          <w:p>
            <w:pPr>
              <w:jc w:val="right"/>
              <w:ind w:right="40"/>
              <w:spacing w:after="0" w:line="173" w:lineRule="exact"/>
              <w:rPr>
                <w:sz w:val="20"/>
                <w:szCs w:val="20"/>
                <w:color w:val="auto"/>
              </w:rPr>
            </w:pPr>
            <w:r>
              <w:rPr>
                <w:rFonts w:ascii="Calibri" w:cs="Calibri" w:eastAsia="Calibri" w:hAnsi="Calibri"/>
                <w:sz w:val="17"/>
                <w:szCs w:val="17"/>
                <w:color w:val="333333"/>
              </w:rPr>
              <w:t>9,135,687</w:t>
            </w:r>
          </w:p>
        </w:tc>
        <w:tc>
          <w:tcPr>
            <w:tcW w:w="1180" w:type="dxa"/>
            <w:vAlign w:val="bottom"/>
          </w:tcPr>
          <w:p>
            <w:pPr>
              <w:jc w:val="right"/>
              <w:ind w:right="40"/>
              <w:spacing w:after="0" w:line="173" w:lineRule="exact"/>
              <w:rPr>
                <w:sz w:val="20"/>
                <w:szCs w:val="20"/>
                <w:color w:val="auto"/>
              </w:rPr>
            </w:pPr>
            <w:r>
              <w:rPr>
                <w:rFonts w:ascii="Calibri" w:cs="Calibri" w:eastAsia="Calibri" w:hAnsi="Calibri"/>
                <w:sz w:val="17"/>
                <w:szCs w:val="17"/>
                <w:color w:val="333333"/>
              </w:rPr>
              <w:t>7,910,637</w:t>
            </w:r>
          </w:p>
        </w:tc>
      </w:tr>
      <w:tr>
        <w:trPr>
          <w:trHeight w:val="201"/>
        </w:trPr>
        <w:tc>
          <w:tcPr>
            <w:tcW w:w="5020" w:type="dxa"/>
            <w:vAlign w:val="bottom"/>
          </w:tcPr>
          <w:p>
            <w:pPr>
              <w:ind w:left="320"/>
              <w:spacing w:after="0" w:line="201" w:lineRule="exact"/>
              <w:rPr>
                <w:sz w:val="20"/>
                <w:szCs w:val="20"/>
                <w:color w:val="auto"/>
              </w:rPr>
            </w:pPr>
            <w:r>
              <w:rPr>
                <w:rFonts w:ascii="Calibri" w:cs="Calibri" w:eastAsia="Calibri" w:hAnsi="Calibri"/>
                <w:sz w:val="17"/>
                <w:szCs w:val="17"/>
                <w:color w:val="333333"/>
              </w:rPr>
              <w:t>Summary Compensaton Table in (i) this Proxy Statement</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020" w:type="dxa"/>
            <w:vAlign w:val="bottom"/>
          </w:tcPr>
          <w:p>
            <w:pPr>
              <w:ind w:left="320"/>
              <w:spacing w:after="0" w:line="201" w:lineRule="exact"/>
              <w:rPr>
                <w:sz w:val="20"/>
                <w:szCs w:val="20"/>
                <w:color w:val="auto"/>
              </w:rPr>
            </w:pPr>
            <w:r>
              <w:rPr>
                <w:rFonts w:ascii="Calibri" w:cs="Calibri" w:eastAsia="Calibri" w:hAnsi="Calibri"/>
                <w:sz w:val="17"/>
                <w:szCs w:val="17"/>
                <w:color w:val="333333"/>
              </w:rPr>
              <w:t xml:space="preserve">beginning on </w:t>
            </w:r>
            <w:r>
              <w:rPr>
                <w:rFonts w:ascii="Calibri" w:cs="Calibri" w:eastAsia="Calibri" w:hAnsi="Calibri"/>
                <w:sz w:val="17"/>
                <w:szCs w:val="17"/>
                <w:color w:val="0591DB"/>
              </w:rPr>
              <w:t>page 85</w:t>
            </w:r>
            <w:r>
              <w:rPr>
                <w:rFonts w:ascii="Calibri" w:cs="Calibri" w:eastAsia="Calibri" w:hAnsi="Calibri"/>
                <w:sz w:val="17"/>
                <w:szCs w:val="17"/>
                <w:color w:val="333333"/>
              </w:rPr>
              <w:t xml:space="preserve"> for the years ended December 31, 2024,</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020" w:type="dxa"/>
            <w:vAlign w:val="bottom"/>
          </w:tcPr>
          <w:p>
            <w:pPr>
              <w:ind w:left="320"/>
              <w:spacing w:after="0" w:line="201" w:lineRule="exact"/>
              <w:rPr>
                <w:sz w:val="20"/>
                <w:szCs w:val="20"/>
                <w:color w:val="auto"/>
              </w:rPr>
            </w:pPr>
            <w:r>
              <w:rPr>
                <w:rFonts w:ascii="Calibri" w:cs="Calibri" w:eastAsia="Calibri" w:hAnsi="Calibri"/>
                <w:sz w:val="17"/>
                <w:szCs w:val="17"/>
                <w:color w:val="333333"/>
              </w:rPr>
              <w:t>December 31, 2023 and December 31, 2022 and (ii) the Proxy</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020" w:type="dxa"/>
            <w:vAlign w:val="bottom"/>
          </w:tcPr>
          <w:p>
            <w:pPr>
              <w:ind w:left="320"/>
              <w:spacing w:after="0" w:line="201" w:lineRule="exact"/>
              <w:rPr>
                <w:sz w:val="20"/>
                <w:szCs w:val="20"/>
                <w:color w:val="auto"/>
              </w:rPr>
            </w:pPr>
            <w:r>
              <w:rPr>
                <w:rFonts w:ascii="Calibri" w:cs="Calibri" w:eastAsia="Calibri" w:hAnsi="Calibri"/>
                <w:sz w:val="17"/>
                <w:szCs w:val="17"/>
                <w:color w:val="333333"/>
              </w:rPr>
              <w:t>Statement for the 2024 Annual Meetng for the years ended</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020" w:type="dxa"/>
            <w:vAlign w:val="bottom"/>
          </w:tcPr>
          <w:p>
            <w:pPr>
              <w:ind w:left="320"/>
              <w:spacing w:after="0" w:line="201" w:lineRule="exact"/>
              <w:rPr>
                <w:sz w:val="20"/>
                <w:szCs w:val="20"/>
                <w:color w:val="auto"/>
              </w:rPr>
            </w:pPr>
            <w:r>
              <w:rPr>
                <w:rFonts w:ascii="Calibri" w:cs="Calibri" w:eastAsia="Calibri" w:hAnsi="Calibri"/>
                <w:sz w:val="17"/>
                <w:szCs w:val="17"/>
                <w:color w:val="333333"/>
              </w:rPr>
              <w:t>December 31, 2021 and December 31, 2020.</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5020" w:type="dxa"/>
            <w:vAlign w:val="bottom"/>
          </w:tcPr>
          <w:p>
            <w:pPr>
              <w:spacing w:after="0" w:line="201" w:lineRule="exact"/>
              <w:rPr>
                <w:sz w:val="20"/>
                <w:szCs w:val="20"/>
                <w:color w:val="auto"/>
              </w:rPr>
            </w:pPr>
            <w:r>
              <w:rPr>
                <w:rFonts w:ascii="Calibri" w:cs="Calibri" w:eastAsia="Calibri" w:hAnsi="Calibri"/>
                <w:sz w:val="17"/>
                <w:szCs w:val="17"/>
                <w:color w:val="333333"/>
              </w:rPr>
              <w:t>-   Amounts Reported under the “Stock Awards” column in the</w:t>
            </w:r>
          </w:p>
        </w:tc>
        <w:tc>
          <w:tcPr>
            <w:tcW w:w="1220" w:type="dxa"/>
            <w:vAlign w:val="bottom"/>
          </w:tcPr>
          <w:p>
            <w:pPr>
              <w:jc w:val="right"/>
              <w:spacing w:after="0" w:line="201" w:lineRule="exact"/>
              <w:rPr>
                <w:sz w:val="20"/>
                <w:szCs w:val="20"/>
                <w:color w:val="auto"/>
              </w:rPr>
            </w:pPr>
            <w:r>
              <w:rPr>
                <w:rFonts w:ascii="Calibri" w:cs="Calibri" w:eastAsia="Calibri" w:hAnsi="Calibri"/>
                <w:sz w:val="17"/>
                <w:szCs w:val="17"/>
                <w:color w:val="333333"/>
              </w:rPr>
              <w:t>(7,450,943)</w:t>
            </w:r>
          </w:p>
        </w:tc>
        <w:tc>
          <w:tcPr>
            <w:tcW w:w="1160" w:type="dxa"/>
            <w:vAlign w:val="bottom"/>
          </w:tcPr>
          <w:p>
            <w:pPr>
              <w:jc w:val="right"/>
              <w:spacing w:after="0" w:line="201" w:lineRule="exact"/>
              <w:rPr>
                <w:sz w:val="20"/>
                <w:szCs w:val="20"/>
                <w:color w:val="auto"/>
              </w:rPr>
            </w:pPr>
            <w:r>
              <w:rPr>
                <w:rFonts w:ascii="Calibri" w:cs="Calibri" w:eastAsia="Calibri" w:hAnsi="Calibri"/>
                <w:sz w:val="17"/>
                <w:szCs w:val="17"/>
                <w:color w:val="333333"/>
              </w:rPr>
              <w:t>(6,618,627)</w:t>
            </w:r>
          </w:p>
        </w:tc>
        <w:tc>
          <w:tcPr>
            <w:tcW w:w="1180" w:type="dxa"/>
            <w:vAlign w:val="bottom"/>
          </w:tcPr>
          <w:p>
            <w:pPr>
              <w:jc w:val="right"/>
              <w:spacing w:after="0" w:line="201" w:lineRule="exact"/>
              <w:rPr>
                <w:sz w:val="20"/>
                <w:szCs w:val="20"/>
                <w:color w:val="auto"/>
              </w:rPr>
            </w:pPr>
            <w:r>
              <w:rPr>
                <w:rFonts w:ascii="Calibri" w:cs="Calibri" w:eastAsia="Calibri" w:hAnsi="Calibri"/>
                <w:sz w:val="17"/>
                <w:szCs w:val="17"/>
                <w:color w:val="333333"/>
              </w:rPr>
              <w:t>(6,499,708)</w:t>
            </w:r>
          </w:p>
        </w:tc>
        <w:tc>
          <w:tcPr>
            <w:tcW w:w="1180" w:type="dxa"/>
            <w:vAlign w:val="bottom"/>
          </w:tcPr>
          <w:p>
            <w:pPr>
              <w:jc w:val="right"/>
              <w:spacing w:after="0" w:line="201" w:lineRule="exact"/>
              <w:rPr>
                <w:sz w:val="20"/>
                <w:szCs w:val="20"/>
                <w:color w:val="auto"/>
              </w:rPr>
            </w:pPr>
            <w:r>
              <w:rPr>
                <w:rFonts w:ascii="Calibri" w:cs="Calibri" w:eastAsia="Calibri" w:hAnsi="Calibri"/>
                <w:sz w:val="17"/>
                <w:szCs w:val="17"/>
                <w:color w:val="333333"/>
              </w:rPr>
              <w:t>(6,620,594)</w:t>
            </w:r>
          </w:p>
        </w:tc>
        <w:tc>
          <w:tcPr>
            <w:tcW w:w="1180" w:type="dxa"/>
            <w:vAlign w:val="bottom"/>
          </w:tcPr>
          <w:p>
            <w:pPr>
              <w:jc w:val="right"/>
              <w:spacing w:after="0" w:line="201" w:lineRule="exact"/>
              <w:rPr>
                <w:sz w:val="20"/>
                <w:szCs w:val="20"/>
                <w:color w:val="auto"/>
              </w:rPr>
            </w:pPr>
            <w:r>
              <w:rPr>
                <w:rFonts w:ascii="Calibri" w:cs="Calibri" w:eastAsia="Calibri" w:hAnsi="Calibri"/>
                <w:sz w:val="17"/>
                <w:szCs w:val="17"/>
                <w:color w:val="333333"/>
              </w:rPr>
              <w:t>(5,033,629)</w:t>
            </w:r>
          </w:p>
        </w:tc>
      </w:tr>
      <w:tr>
        <w:trPr>
          <w:trHeight w:val="201"/>
        </w:trPr>
        <w:tc>
          <w:tcPr>
            <w:tcW w:w="5020" w:type="dxa"/>
            <w:vAlign w:val="bottom"/>
          </w:tcPr>
          <w:p>
            <w:pPr>
              <w:ind w:left="320"/>
              <w:spacing w:after="0" w:line="201" w:lineRule="exact"/>
              <w:rPr>
                <w:sz w:val="20"/>
                <w:szCs w:val="20"/>
                <w:color w:val="auto"/>
              </w:rPr>
            </w:pPr>
            <w:r>
              <w:rPr>
                <w:rFonts w:ascii="Calibri" w:cs="Calibri" w:eastAsia="Calibri" w:hAnsi="Calibri"/>
                <w:sz w:val="17"/>
                <w:szCs w:val="17"/>
                <w:color w:val="333333"/>
              </w:rPr>
              <w:t>Summary Compensaton Table in (i) this Proxy Statement</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020" w:type="dxa"/>
            <w:vAlign w:val="bottom"/>
          </w:tcPr>
          <w:p>
            <w:pPr>
              <w:ind w:left="320"/>
              <w:spacing w:after="0" w:line="203" w:lineRule="exact"/>
              <w:rPr>
                <w:sz w:val="20"/>
                <w:szCs w:val="20"/>
                <w:color w:val="auto"/>
              </w:rPr>
            </w:pPr>
            <w:r>
              <w:rPr>
                <w:rFonts w:ascii="Calibri" w:cs="Calibri" w:eastAsia="Calibri" w:hAnsi="Calibri"/>
                <w:sz w:val="17"/>
                <w:szCs w:val="17"/>
                <w:color w:val="333333"/>
              </w:rPr>
              <w:t xml:space="preserve">beginning on </w:t>
            </w:r>
            <w:r>
              <w:rPr>
                <w:rFonts w:ascii="Calibri" w:cs="Calibri" w:eastAsia="Calibri" w:hAnsi="Calibri"/>
                <w:sz w:val="17"/>
                <w:szCs w:val="17"/>
                <w:color w:val="0591DB"/>
              </w:rPr>
              <w:t>page 85</w:t>
            </w:r>
            <w:r>
              <w:rPr>
                <w:rFonts w:ascii="Calibri" w:cs="Calibri" w:eastAsia="Calibri" w:hAnsi="Calibri"/>
                <w:sz w:val="17"/>
                <w:szCs w:val="17"/>
                <w:color w:val="333333"/>
              </w:rPr>
              <w:t xml:space="preserve"> for the years ended December 31, 2024,</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-365760</wp:posOffset>
            </wp:positionV>
            <wp:extent cx="6929755" cy="7645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764540"/>
                    </a:xfrm>
                    <a:prstGeom prst="rect">
                      <a:avLst/>
                    </a:prstGeom>
                    <a:noFill/>
                  </pic:spPr>
                </pic:pic>
              </a:graphicData>
            </a:graphic>
          </wp:anchor>
        </w:drawing>
      </w:r>
    </w:p>
    <w:p>
      <w:pPr>
        <w:ind w:left="480"/>
        <w:spacing w:after="0" w:line="232" w:lineRule="auto"/>
        <w:rPr>
          <w:sz w:val="20"/>
          <w:szCs w:val="20"/>
          <w:color w:val="auto"/>
        </w:rPr>
      </w:pPr>
      <w:r>
        <w:rPr>
          <w:rFonts w:ascii="Calibri" w:cs="Calibri" w:eastAsia="Calibri" w:hAnsi="Calibri"/>
          <w:sz w:val="17"/>
          <w:szCs w:val="17"/>
          <w:color w:val="333333"/>
        </w:rPr>
        <w:t>December 31, 2023 and December 31, 2022 and (ii) the Proxy</w:t>
      </w:r>
    </w:p>
    <w:p>
      <w:pPr>
        <w:ind w:left="480"/>
        <w:spacing w:after="0" w:line="232" w:lineRule="auto"/>
        <w:rPr>
          <w:sz w:val="20"/>
          <w:szCs w:val="20"/>
          <w:color w:val="auto"/>
        </w:rPr>
      </w:pPr>
      <w:r>
        <w:rPr>
          <w:rFonts w:ascii="Calibri" w:cs="Calibri" w:eastAsia="Calibri" w:hAnsi="Calibri"/>
          <w:sz w:val="17"/>
          <w:szCs w:val="17"/>
          <w:color w:val="333333"/>
        </w:rPr>
        <w:t>Statement for the 2024 Annual Meetng for the years ended</w:t>
      </w:r>
    </w:p>
    <w:p>
      <w:pPr>
        <w:ind w:left="480"/>
        <w:spacing w:after="0" w:line="232" w:lineRule="auto"/>
        <w:rPr>
          <w:sz w:val="20"/>
          <w:szCs w:val="20"/>
          <w:color w:val="auto"/>
        </w:rPr>
      </w:pPr>
      <w:r>
        <w:rPr>
          <w:rFonts w:ascii="Calibri" w:cs="Calibri" w:eastAsia="Calibri" w:hAnsi="Calibri"/>
          <w:sz w:val="17"/>
          <w:szCs w:val="17"/>
          <w:color w:val="333333"/>
        </w:rPr>
        <w:t>December 31, 2021 and December 31, 2020.</w:t>
      </w:r>
    </w:p>
    <w:p>
      <w:pPr>
        <w:spacing w:after="0" w:line="14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94</w:t>
      </w:r>
    </w:p>
    <w:p>
      <w:pPr>
        <w:sectPr>
          <w:pgSz w:w="11900" w:h="16838" w:orient="portrait"/>
          <w:cols w:equalWidth="0" w:num="1">
            <w:col w:w="11100"/>
          </w:cols>
          <w:pgMar w:left="320" w:top="478"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Borders>
              <w:top w:val="single" w:sz="8" w:color="0591DB"/>
              <w:left w:val="single" w:sz="8" w:color="0591DB"/>
              <w:bottom w:val="single" w:sz="8" w:color="0591DB"/>
              <w:right w:val="single" w:sz="8" w:color="0591DB"/>
            </w:tcBorders>
          </w:tcPr>
          <w:p>
            <w:pPr>
              <w:ind w:left="140"/>
              <w:spacing w:after="0"/>
              <w:rPr>
                <w:sz w:val="20"/>
                <w:szCs w:val="20"/>
                <w:color w:val="auto"/>
              </w:rPr>
            </w:pPr>
            <w:r>
              <w:rPr>
                <w:rFonts w:ascii="Calibri" w:cs="Calibri" w:eastAsia="Calibri" w:hAnsi="Calibri"/>
                <w:sz w:val="14"/>
                <w:szCs w:val="14"/>
                <w:b w:val="1"/>
                <w:bCs w:val="1"/>
                <w:color w:val="0591DB"/>
              </w:rPr>
              <w:t> ADJUSTMENTS TO DETERMINE COMPENSATION ACTUALLY PAID</w:t>
            </w:r>
          </w:p>
        </w:tc>
        <w:tc>
          <w:tcPr>
            <w:tcW w:w="1120" w:type="dxa"/>
            <w:vAlign w:val="bottom"/>
            <w:tcBorders>
              <w:top w:val="single" w:sz="8" w:color="0591DB"/>
              <w:bottom w:val="single" w:sz="8" w:color="0591DB"/>
              <w:right w:val="single" w:sz="8" w:color="0591DB"/>
            </w:tcBorders>
          </w:tcPr>
          <w:p>
            <w:pPr>
              <w:jc w:val="right"/>
              <w:ind w:right="358"/>
              <w:spacing w:after="0"/>
              <w:rPr>
                <w:sz w:val="20"/>
                <w:szCs w:val="20"/>
                <w:color w:val="auto"/>
              </w:rPr>
            </w:pPr>
            <w:r>
              <w:rPr>
                <w:rFonts w:ascii="Calibri" w:cs="Calibri" w:eastAsia="Calibri" w:hAnsi="Calibri"/>
                <w:sz w:val="14"/>
                <w:szCs w:val="14"/>
                <w:b w:val="1"/>
                <w:bCs w:val="1"/>
                <w:color w:val="0591DB"/>
              </w:rPr>
              <w:t>2025</w:t>
            </w:r>
          </w:p>
        </w:tc>
        <w:tc>
          <w:tcPr>
            <w:tcW w:w="1120" w:type="dxa"/>
            <w:vAlign w:val="bottom"/>
            <w:tcBorders>
              <w:top w:val="single" w:sz="8" w:color="0591DB"/>
              <w:bottom w:val="single" w:sz="8" w:color="0591DB"/>
              <w:right w:val="single" w:sz="8" w:color="0591DB"/>
            </w:tcBorders>
          </w:tcPr>
          <w:p>
            <w:pPr>
              <w:jc w:val="right"/>
              <w:ind w:right="358"/>
              <w:spacing w:after="0"/>
              <w:rPr>
                <w:sz w:val="20"/>
                <w:szCs w:val="20"/>
                <w:color w:val="auto"/>
              </w:rPr>
            </w:pPr>
            <w:r>
              <w:rPr>
                <w:rFonts w:ascii="Calibri" w:cs="Calibri" w:eastAsia="Calibri" w:hAnsi="Calibri"/>
                <w:sz w:val="14"/>
                <w:szCs w:val="14"/>
                <w:b w:val="1"/>
                <w:bCs w:val="1"/>
                <w:color w:val="0591DB"/>
              </w:rPr>
              <w:t>2024</w:t>
            </w:r>
          </w:p>
        </w:tc>
        <w:tc>
          <w:tcPr>
            <w:tcW w:w="1120" w:type="dxa"/>
            <w:vAlign w:val="bottom"/>
            <w:tcBorders>
              <w:top w:val="single" w:sz="8" w:color="0591DB"/>
              <w:bottom w:val="single" w:sz="8" w:color="0591DB"/>
              <w:right w:val="single" w:sz="8" w:color="0591DB"/>
            </w:tcBorders>
          </w:tcPr>
          <w:p>
            <w:pPr>
              <w:jc w:val="right"/>
              <w:ind w:right="318"/>
              <w:spacing w:after="0"/>
              <w:rPr>
                <w:sz w:val="20"/>
                <w:szCs w:val="20"/>
                <w:color w:val="auto"/>
              </w:rPr>
            </w:pPr>
            <w:r>
              <w:rPr>
                <w:rFonts w:ascii="Calibri" w:cs="Calibri" w:eastAsia="Calibri" w:hAnsi="Calibri"/>
                <w:sz w:val="14"/>
                <w:szCs w:val="14"/>
                <w:b w:val="1"/>
                <w:bCs w:val="1"/>
                <w:color w:val="0591DB"/>
              </w:rPr>
              <w:t>2023</w:t>
            </w:r>
          </w:p>
        </w:tc>
        <w:tc>
          <w:tcPr>
            <w:tcW w:w="1180" w:type="dxa"/>
            <w:vAlign w:val="bottom"/>
            <w:tcBorders>
              <w:top w:val="single" w:sz="8" w:color="0591DB"/>
              <w:bottom w:val="single" w:sz="8" w:color="0591DB"/>
              <w:right w:val="single" w:sz="8" w:color="0591DB"/>
            </w:tcBorders>
          </w:tcPr>
          <w:p>
            <w:pPr>
              <w:jc w:val="right"/>
              <w:ind w:right="398"/>
              <w:spacing w:after="0"/>
              <w:rPr>
                <w:sz w:val="20"/>
                <w:szCs w:val="20"/>
                <w:color w:val="auto"/>
              </w:rPr>
            </w:pPr>
            <w:r>
              <w:rPr>
                <w:rFonts w:ascii="Calibri" w:cs="Calibri" w:eastAsia="Calibri" w:hAnsi="Calibri"/>
                <w:sz w:val="14"/>
                <w:szCs w:val="14"/>
                <w:b w:val="1"/>
                <w:bCs w:val="1"/>
                <w:color w:val="0591DB"/>
              </w:rPr>
              <w:t>2022</w:t>
            </w:r>
          </w:p>
        </w:tc>
        <w:tc>
          <w:tcPr>
            <w:tcW w:w="1120" w:type="dxa"/>
            <w:vAlign w:val="bottom"/>
            <w:tcBorders>
              <w:top w:val="single" w:sz="8" w:color="0591DB"/>
              <w:bottom w:val="single" w:sz="8" w:color="0591DB"/>
            </w:tcBorders>
          </w:tcPr>
          <w:p>
            <w:pPr>
              <w:jc w:val="right"/>
              <w:ind w:right="378"/>
              <w:spacing w:after="0"/>
              <w:rPr>
                <w:sz w:val="20"/>
                <w:szCs w:val="20"/>
                <w:color w:val="auto"/>
              </w:rPr>
            </w:pPr>
            <w:r>
              <w:rPr>
                <w:rFonts w:ascii="Calibri" w:cs="Calibri" w:eastAsia="Calibri" w:hAnsi="Calibri"/>
                <w:sz w:val="14"/>
                <w:szCs w:val="14"/>
                <w:b w:val="1"/>
                <w:bCs w:val="1"/>
                <w:color w:val="0591DB"/>
              </w:rPr>
              <w:t>2021</w:t>
            </w:r>
          </w:p>
        </w:tc>
        <w:tc>
          <w:tcPr>
            <w:tcW w:w="20" w:type="dxa"/>
            <w:vAlign w:val="bottom"/>
            <w:tcBorders>
              <w:top w:val="single" w:sz="8" w:color="0591DB"/>
              <w:bottom w:val="single" w:sz="8" w:color="0591DB"/>
            </w:tcBorders>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line="173" w:lineRule="exact"/>
              <w:rPr>
                <w:sz w:val="20"/>
                <w:szCs w:val="20"/>
                <w:color w:val="auto"/>
              </w:rPr>
            </w:pPr>
            <w:r>
              <w:rPr>
                <w:rFonts w:ascii="Calibri" w:cs="Calibri" w:eastAsia="Calibri" w:hAnsi="Calibri"/>
                <w:sz w:val="17"/>
                <w:szCs w:val="17"/>
                <w:color w:val="333333"/>
              </w:rPr>
              <w:t>+   Fair Value of Awards Granted during Year That Remain Unvested as of</w:t>
            </w:r>
          </w:p>
        </w:tc>
        <w:tc>
          <w:tcPr>
            <w:tcW w:w="1120" w:type="dxa"/>
            <w:vAlign w:val="bottom"/>
          </w:tcPr>
          <w:p>
            <w:pPr>
              <w:jc w:val="right"/>
              <w:ind w:right="38"/>
              <w:spacing w:after="0" w:line="173" w:lineRule="exact"/>
              <w:rPr>
                <w:sz w:val="20"/>
                <w:szCs w:val="20"/>
                <w:color w:val="auto"/>
              </w:rPr>
            </w:pPr>
            <w:r>
              <w:rPr>
                <w:rFonts w:ascii="Calibri" w:cs="Calibri" w:eastAsia="Calibri" w:hAnsi="Calibri"/>
                <w:sz w:val="17"/>
                <w:szCs w:val="17"/>
                <w:color w:val="333333"/>
              </w:rPr>
              <w:t>6,830,437</w:t>
            </w:r>
          </w:p>
        </w:tc>
        <w:tc>
          <w:tcPr>
            <w:tcW w:w="1120" w:type="dxa"/>
            <w:vAlign w:val="bottom"/>
          </w:tcPr>
          <w:p>
            <w:pPr>
              <w:jc w:val="right"/>
              <w:ind w:right="38"/>
              <w:spacing w:after="0" w:line="173" w:lineRule="exact"/>
              <w:rPr>
                <w:sz w:val="20"/>
                <w:szCs w:val="20"/>
                <w:color w:val="auto"/>
              </w:rPr>
            </w:pPr>
            <w:r>
              <w:rPr>
                <w:rFonts w:ascii="Calibri" w:cs="Calibri" w:eastAsia="Calibri" w:hAnsi="Calibri"/>
                <w:sz w:val="17"/>
                <w:szCs w:val="17"/>
                <w:color w:val="333333"/>
              </w:rPr>
              <w:t>5,277,358</w:t>
            </w:r>
          </w:p>
        </w:tc>
        <w:tc>
          <w:tcPr>
            <w:tcW w:w="1120" w:type="dxa"/>
            <w:vAlign w:val="bottom"/>
          </w:tcPr>
          <w:p>
            <w:pPr>
              <w:jc w:val="right"/>
              <w:spacing w:after="0" w:line="173" w:lineRule="exact"/>
              <w:rPr>
                <w:sz w:val="20"/>
                <w:szCs w:val="20"/>
                <w:color w:val="auto"/>
              </w:rPr>
            </w:pPr>
            <w:r>
              <w:rPr>
                <w:rFonts w:ascii="Calibri" w:cs="Calibri" w:eastAsia="Calibri" w:hAnsi="Calibri"/>
                <w:sz w:val="17"/>
                <w:szCs w:val="17"/>
                <w:color w:val="333333"/>
              </w:rPr>
              <w:t>7,129,515</w:t>
            </w:r>
          </w:p>
        </w:tc>
        <w:tc>
          <w:tcPr>
            <w:tcW w:w="118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7,663,022</w:t>
            </w:r>
          </w:p>
        </w:tc>
        <w:tc>
          <w:tcPr>
            <w:tcW w:w="1120" w:type="dxa"/>
            <w:vAlign w:val="bottom"/>
          </w:tcPr>
          <w:p>
            <w:pPr>
              <w:jc w:val="right"/>
              <w:ind w:right="18"/>
              <w:spacing w:after="0" w:line="173" w:lineRule="exact"/>
              <w:rPr>
                <w:sz w:val="20"/>
                <w:szCs w:val="20"/>
                <w:color w:val="auto"/>
              </w:rPr>
            </w:pPr>
            <w:r>
              <w:rPr>
                <w:rFonts w:ascii="Calibri" w:cs="Calibri" w:eastAsia="Calibri" w:hAnsi="Calibri"/>
                <w:sz w:val="17"/>
                <w:szCs w:val="17"/>
                <w:color w:val="333333"/>
              </w:rPr>
              <w:t>5,905,812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300"/>
              <w:spacing w:after="0" w:line="203" w:lineRule="exact"/>
              <w:rPr>
                <w:sz w:val="20"/>
                <w:szCs w:val="20"/>
                <w:color w:val="auto"/>
              </w:rPr>
            </w:pPr>
            <w:r>
              <w:rPr>
                <w:rFonts w:ascii="Calibri" w:cs="Calibri" w:eastAsia="Calibri" w:hAnsi="Calibri"/>
                <w:sz w:val="17"/>
                <w:szCs w:val="17"/>
                <w:color w:val="333333"/>
              </w:rPr>
              <w:t>Year End</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240" w:type="dxa"/>
            <w:vAlign w:val="bottom"/>
            <w:tcBorders>
              <w:left w:val="single" w:sz="8" w:color="EFF2EF"/>
              <w:right w:val="single" w:sz="8" w:color="EFF2EF"/>
            </w:tcBorders>
            <w:shd w:val="clear" w:color="auto" w:fill="EFF2EF"/>
          </w:tcPr>
          <w:p>
            <w:pPr>
              <w:spacing w:after="0" w:line="173" w:lineRule="exact"/>
              <w:rPr>
                <w:sz w:val="20"/>
                <w:szCs w:val="20"/>
                <w:color w:val="auto"/>
              </w:rPr>
            </w:pPr>
            <w:r>
              <w:rPr>
                <w:rFonts w:ascii="Calibri" w:cs="Calibri" w:eastAsia="Calibri" w:hAnsi="Calibri"/>
                <w:sz w:val="17"/>
                <w:szCs w:val="17"/>
                <w:color w:val="333333"/>
              </w:rPr>
              <w:t>+/-  Change in Fair Value from Prior Year End to Current Year End of</w:t>
            </w:r>
          </w:p>
        </w:tc>
        <w:tc>
          <w:tcPr>
            <w:tcW w:w="112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(3,297,401)</w:t>
            </w:r>
          </w:p>
        </w:tc>
        <w:tc>
          <w:tcPr>
            <w:tcW w:w="112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(1,365,073)</w:t>
            </w:r>
          </w:p>
        </w:tc>
        <w:tc>
          <w:tcPr>
            <w:tcW w:w="112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4,275,769</w:t>
            </w:r>
          </w:p>
        </w:tc>
        <w:tc>
          <w:tcPr>
            <w:tcW w:w="1180" w:type="dxa"/>
            <w:vAlign w:val="bottom"/>
            <w:tcBorders>
              <w:right w:val="single" w:sz="8" w:color="EFF2EF"/>
            </w:tcBorders>
            <w:shd w:val="clear" w:color="auto" w:fill="EFF2EF"/>
          </w:tcPr>
          <w:p>
            <w:pPr>
              <w:jc w:val="right"/>
              <w:ind w:right="58"/>
              <w:spacing w:after="0" w:line="173" w:lineRule="exact"/>
              <w:rPr>
                <w:sz w:val="20"/>
                <w:szCs w:val="20"/>
                <w:color w:val="auto"/>
              </w:rPr>
            </w:pPr>
            <w:r>
              <w:rPr>
                <w:rFonts w:ascii="Calibri" w:cs="Calibri" w:eastAsia="Calibri" w:hAnsi="Calibri"/>
                <w:sz w:val="17"/>
                <w:szCs w:val="17"/>
                <w:color w:val="333333"/>
              </w:rPr>
              <w:t>2,882,415</w:t>
            </w:r>
          </w:p>
        </w:tc>
        <w:tc>
          <w:tcPr>
            <w:tcW w:w="1120" w:type="dxa"/>
            <w:vAlign w:val="bottom"/>
            <w:shd w:val="clear" w:color="auto" w:fill="EFF2EF"/>
          </w:tcPr>
          <w:p>
            <w:pPr>
              <w:jc w:val="right"/>
              <w:ind w:right="18"/>
              <w:spacing w:after="0" w:line="173" w:lineRule="exact"/>
              <w:rPr>
                <w:sz w:val="20"/>
                <w:szCs w:val="20"/>
                <w:color w:val="auto"/>
              </w:rPr>
            </w:pPr>
            <w:r>
              <w:rPr>
                <w:rFonts w:ascii="Calibri" w:cs="Calibri" w:eastAsia="Calibri" w:hAnsi="Calibri"/>
                <w:sz w:val="17"/>
                <w:szCs w:val="17"/>
                <w:color w:val="333333"/>
              </w:rPr>
              <w:t>4,690,574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tcBorders>
              <w:left w:val="single" w:sz="8" w:color="EFF2EF"/>
              <w:right w:val="single" w:sz="8" w:color="EFF2EF"/>
            </w:tcBorders>
            <w:shd w:val="clear" w:color="auto" w:fill="EFF2EF"/>
          </w:tcPr>
          <w:p>
            <w:pPr>
              <w:ind w:left="300"/>
              <w:spacing w:after="0" w:line="201" w:lineRule="exact"/>
              <w:rPr>
                <w:sz w:val="20"/>
                <w:szCs w:val="20"/>
                <w:color w:val="auto"/>
              </w:rPr>
            </w:pPr>
            <w:r>
              <w:rPr>
                <w:rFonts w:ascii="Calibri" w:cs="Calibri" w:eastAsia="Calibri" w:hAnsi="Calibri"/>
                <w:sz w:val="17"/>
                <w:szCs w:val="17"/>
                <w:color w:val="333333"/>
              </w:rPr>
              <w:t>Awards Granted Prior to Year That Were Outstanding and Unvested</w:t>
            </w:r>
          </w:p>
        </w:tc>
        <w:tc>
          <w:tcPr>
            <w:tcW w:w="1120" w:type="dxa"/>
            <w:vAlign w:val="bottom"/>
            <w:tcBorders>
              <w:right w:val="single" w:sz="8" w:color="EFF2EF"/>
            </w:tcBorders>
            <w:shd w:val="clear" w:color="auto" w:fill="EFF2EF"/>
          </w:tcPr>
          <w:p>
            <w:pPr>
              <w:spacing w:after="0"/>
              <w:rPr>
                <w:sz w:val="17"/>
                <w:szCs w:val="17"/>
                <w:color w:val="auto"/>
              </w:rPr>
            </w:pPr>
          </w:p>
        </w:tc>
        <w:tc>
          <w:tcPr>
            <w:tcW w:w="1120" w:type="dxa"/>
            <w:vAlign w:val="bottom"/>
            <w:tcBorders>
              <w:right w:val="single" w:sz="8" w:color="EFF2EF"/>
            </w:tcBorders>
            <w:shd w:val="clear" w:color="auto" w:fill="EFF2EF"/>
          </w:tcPr>
          <w:p>
            <w:pPr>
              <w:spacing w:after="0"/>
              <w:rPr>
                <w:sz w:val="17"/>
                <w:szCs w:val="17"/>
                <w:color w:val="auto"/>
              </w:rPr>
            </w:pPr>
          </w:p>
        </w:tc>
        <w:tc>
          <w:tcPr>
            <w:tcW w:w="1120" w:type="dxa"/>
            <w:vAlign w:val="bottom"/>
            <w:tcBorders>
              <w:right w:val="single" w:sz="8" w:color="EFF2EF"/>
            </w:tcBorders>
            <w:shd w:val="clear" w:color="auto" w:fill="EFF2EF"/>
          </w:tcPr>
          <w:p>
            <w:pPr>
              <w:spacing w:after="0"/>
              <w:rPr>
                <w:sz w:val="17"/>
                <w:szCs w:val="17"/>
                <w:color w:val="auto"/>
              </w:rPr>
            </w:pPr>
          </w:p>
        </w:tc>
        <w:tc>
          <w:tcPr>
            <w:tcW w:w="1180" w:type="dxa"/>
            <w:vAlign w:val="bottom"/>
            <w:tcBorders>
              <w:right w:val="single" w:sz="8" w:color="EFF2EF"/>
            </w:tcBorders>
            <w:shd w:val="clear" w:color="auto" w:fill="EFF2EF"/>
          </w:tcPr>
          <w:p>
            <w:pPr>
              <w:spacing w:after="0"/>
              <w:rPr>
                <w:sz w:val="17"/>
                <w:szCs w:val="17"/>
                <w:color w:val="auto"/>
              </w:rPr>
            </w:pPr>
          </w:p>
        </w:tc>
        <w:tc>
          <w:tcPr>
            <w:tcW w:w="112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Borders>
              <w:left w:val="single" w:sz="8" w:color="EFF2EF"/>
              <w:bottom w:val="single" w:sz="8" w:color="EFF2EF"/>
              <w:right w:val="single" w:sz="8" w:color="EFF2EF"/>
            </w:tcBorders>
            <w:shd w:val="clear" w:color="auto" w:fill="EFF2EF"/>
          </w:tcPr>
          <w:p>
            <w:pPr>
              <w:ind w:left="300"/>
              <w:spacing w:after="0" w:line="203" w:lineRule="exact"/>
              <w:rPr>
                <w:sz w:val="20"/>
                <w:szCs w:val="20"/>
                <w:color w:val="auto"/>
              </w:rPr>
            </w:pPr>
            <w:r>
              <w:rPr>
                <w:rFonts w:ascii="Calibri" w:cs="Calibri" w:eastAsia="Calibri" w:hAnsi="Calibri"/>
                <w:sz w:val="17"/>
                <w:szCs w:val="17"/>
                <w:color w:val="333333"/>
              </w:rPr>
              <w:t>as of Year End</w:t>
            </w:r>
          </w:p>
        </w:tc>
        <w:tc>
          <w:tcPr>
            <w:tcW w:w="1120" w:type="dxa"/>
            <w:vAlign w:val="bottom"/>
            <w:tcBorders>
              <w:bottom w:val="single" w:sz="8" w:color="EFF2EF"/>
              <w:right w:val="single" w:sz="8" w:color="EFF2EF"/>
            </w:tcBorders>
            <w:shd w:val="clear" w:color="auto" w:fill="EFF2EF"/>
          </w:tcPr>
          <w:p>
            <w:pPr>
              <w:spacing w:after="0"/>
              <w:rPr>
                <w:sz w:val="18"/>
                <w:szCs w:val="18"/>
                <w:color w:val="auto"/>
              </w:rPr>
            </w:pPr>
          </w:p>
        </w:tc>
        <w:tc>
          <w:tcPr>
            <w:tcW w:w="1120" w:type="dxa"/>
            <w:vAlign w:val="bottom"/>
            <w:tcBorders>
              <w:bottom w:val="single" w:sz="8" w:color="EFF2EF"/>
              <w:right w:val="single" w:sz="8" w:color="EFF2EF"/>
            </w:tcBorders>
            <w:shd w:val="clear" w:color="auto" w:fill="EFF2EF"/>
          </w:tcPr>
          <w:p>
            <w:pPr>
              <w:spacing w:after="0"/>
              <w:rPr>
                <w:sz w:val="18"/>
                <w:szCs w:val="18"/>
                <w:color w:val="auto"/>
              </w:rPr>
            </w:pPr>
          </w:p>
        </w:tc>
        <w:tc>
          <w:tcPr>
            <w:tcW w:w="1120" w:type="dxa"/>
            <w:vAlign w:val="bottom"/>
            <w:tcBorders>
              <w:bottom w:val="single" w:sz="8" w:color="EFF2EF"/>
              <w:right w:val="single" w:sz="8" w:color="EFF2EF"/>
            </w:tcBorders>
            <w:shd w:val="clear" w:color="auto" w:fill="EFF2EF"/>
          </w:tcPr>
          <w:p>
            <w:pPr>
              <w:spacing w:after="0"/>
              <w:rPr>
                <w:sz w:val="18"/>
                <w:szCs w:val="18"/>
                <w:color w:val="auto"/>
              </w:rPr>
            </w:pPr>
          </w:p>
        </w:tc>
        <w:tc>
          <w:tcPr>
            <w:tcW w:w="1180" w:type="dxa"/>
            <w:vAlign w:val="bottom"/>
            <w:tcBorders>
              <w:bottom w:val="single" w:sz="8" w:color="EFF2EF"/>
              <w:right w:val="single" w:sz="8" w:color="EFF2EF"/>
            </w:tcBorders>
            <w:shd w:val="clear" w:color="auto" w:fill="EFF2EF"/>
          </w:tcPr>
          <w:p>
            <w:pPr>
              <w:spacing w:after="0"/>
              <w:rPr>
                <w:sz w:val="18"/>
                <w:szCs w:val="18"/>
                <w:color w:val="auto"/>
              </w:rPr>
            </w:pPr>
          </w:p>
        </w:tc>
        <w:tc>
          <w:tcPr>
            <w:tcW w:w="1120" w:type="dxa"/>
            <w:vAlign w:val="bottom"/>
            <w:tcBorders>
              <w:bottom w:val="single" w:sz="8" w:color="EFF2EF"/>
            </w:tcBorders>
            <w:shd w:val="clear" w:color="auto" w:fill="EFF2E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line="173" w:lineRule="exact"/>
              <w:rPr>
                <w:sz w:val="20"/>
                <w:szCs w:val="20"/>
                <w:color w:val="auto"/>
              </w:rPr>
            </w:pPr>
            <w:r>
              <w:rPr>
                <w:rFonts w:ascii="Calibri" w:cs="Calibri" w:eastAsia="Calibri" w:hAnsi="Calibri"/>
                <w:sz w:val="17"/>
                <w:szCs w:val="17"/>
                <w:color w:val="333333"/>
              </w:rPr>
              <w:t>+/-  Change in Fair Value from Prior Year End to Vestng Date of Awards</w:t>
            </w:r>
          </w:p>
        </w:tc>
        <w:tc>
          <w:tcPr>
            <w:tcW w:w="1120" w:type="dxa"/>
            <w:vAlign w:val="bottom"/>
          </w:tcPr>
          <w:p>
            <w:pPr>
              <w:jc w:val="right"/>
              <w:spacing w:after="0" w:line="173" w:lineRule="exact"/>
              <w:rPr>
                <w:sz w:val="20"/>
                <w:szCs w:val="20"/>
                <w:color w:val="auto"/>
              </w:rPr>
            </w:pPr>
            <w:r>
              <w:rPr>
                <w:rFonts w:ascii="Calibri" w:cs="Calibri" w:eastAsia="Calibri" w:hAnsi="Calibri"/>
                <w:sz w:val="17"/>
                <w:szCs w:val="17"/>
                <w:color w:val="333333"/>
              </w:rPr>
              <w:t>(407,685)</w:t>
            </w:r>
          </w:p>
        </w:tc>
        <w:tc>
          <w:tcPr>
            <w:tcW w:w="1120" w:type="dxa"/>
            <w:vAlign w:val="bottom"/>
          </w:tcPr>
          <w:p>
            <w:pPr>
              <w:jc w:val="right"/>
              <w:spacing w:after="0" w:line="173" w:lineRule="exact"/>
              <w:rPr>
                <w:sz w:val="20"/>
                <w:szCs w:val="20"/>
                <w:color w:val="auto"/>
              </w:rPr>
            </w:pPr>
            <w:r>
              <w:rPr>
                <w:rFonts w:ascii="Calibri" w:cs="Calibri" w:eastAsia="Calibri" w:hAnsi="Calibri"/>
                <w:sz w:val="17"/>
                <w:szCs w:val="17"/>
                <w:color w:val="333333"/>
              </w:rPr>
              <w:t>(77,855)</w:t>
            </w:r>
          </w:p>
        </w:tc>
        <w:tc>
          <w:tcPr>
            <w:tcW w:w="1120" w:type="dxa"/>
            <w:vAlign w:val="bottom"/>
          </w:tcPr>
          <w:p>
            <w:pPr>
              <w:jc w:val="right"/>
              <w:spacing w:after="0" w:line="173" w:lineRule="exact"/>
              <w:rPr>
                <w:sz w:val="20"/>
                <w:szCs w:val="20"/>
                <w:color w:val="auto"/>
              </w:rPr>
            </w:pPr>
            <w:r>
              <w:rPr>
                <w:rFonts w:ascii="Calibri" w:cs="Calibri" w:eastAsia="Calibri" w:hAnsi="Calibri"/>
                <w:sz w:val="17"/>
                <w:szCs w:val="17"/>
                <w:color w:val="333333"/>
              </w:rPr>
              <w:t>534,113</w:t>
            </w:r>
          </w:p>
        </w:tc>
        <w:tc>
          <w:tcPr>
            <w:tcW w:w="1180" w:type="dxa"/>
            <w:vAlign w:val="bottom"/>
          </w:tcPr>
          <w:p>
            <w:pPr>
              <w:jc w:val="right"/>
              <w:spacing w:after="0" w:line="173" w:lineRule="exact"/>
              <w:rPr>
                <w:sz w:val="20"/>
                <w:szCs w:val="20"/>
                <w:color w:val="auto"/>
              </w:rPr>
            </w:pPr>
            <w:r>
              <w:rPr>
                <w:rFonts w:ascii="Calibri" w:cs="Calibri" w:eastAsia="Calibri" w:hAnsi="Calibri"/>
                <w:sz w:val="17"/>
                <w:szCs w:val="17"/>
                <w:color w:val="333333"/>
              </w:rPr>
              <w:t>(690,202)</w:t>
            </w:r>
          </w:p>
        </w:tc>
        <w:tc>
          <w:tcPr>
            <w:tcW w:w="1120" w:type="dxa"/>
            <w:vAlign w:val="bottom"/>
          </w:tcPr>
          <w:p>
            <w:pPr>
              <w:jc w:val="right"/>
              <w:ind w:right="18"/>
              <w:spacing w:after="0" w:line="173" w:lineRule="exact"/>
              <w:rPr>
                <w:sz w:val="20"/>
                <w:szCs w:val="20"/>
                <w:color w:val="auto"/>
              </w:rPr>
            </w:pPr>
            <w:r>
              <w:rPr>
                <w:rFonts w:ascii="Calibri" w:cs="Calibri" w:eastAsia="Calibri" w:hAnsi="Calibri"/>
                <w:sz w:val="17"/>
                <w:szCs w:val="17"/>
                <w:color w:val="333333"/>
              </w:rPr>
              <w:t>170,060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300"/>
              <w:spacing w:after="0" w:line="203" w:lineRule="exact"/>
              <w:rPr>
                <w:sz w:val="20"/>
                <w:szCs w:val="20"/>
                <w:color w:val="auto"/>
              </w:rPr>
            </w:pPr>
            <w:r>
              <w:rPr>
                <w:rFonts w:ascii="Calibri" w:cs="Calibri" w:eastAsia="Calibri" w:hAnsi="Calibri"/>
                <w:sz w:val="17"/>
                <w:szCs w:val="17"/>
                <w:color w:val="333333"/>
              </w:rPr>
              <w:t>Granted Prior to Year That Vested during Year</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tcBorders>
              <w:left w:val="single" w:sz="8" w:color="EFF2EF"/>
              <w:right w:val="single" w:sz="8" w:color="EFF2EF"/>
            </w:tcBorders>
            <w:shd w:val="clear" w:color="auto" w:fill="EFF2EF"/>
          </w:tcPr>
          <w:p>
            <w:pPr>
              <w:ind w:left="300"/>
              <w:spacing w:after="0" w:line="201" w:lineRule="exact"/>
              <w:rPr>
                <w:sz w:val="20"/>
                <w:szCs w:val="20"/>
                <w:color w:val="auto"/>
              </w:rPr>
            </w:pPr>
            <w:r>
              <w:rPr>
                <w:rFonts w:ascii="Calibri" w:cs="Calibri" w:eastAsia="Calibri" w:hAnsi="Calibri"/>
                <w:sz w:val="17"/>
                <w:szCs w:val="17"/>
                <w:color w:val="333333"/>
              </w:rPr>
              <w:t>Compensaton Actually Paid to CEO</w:t>
            </w:r>
          </w:p>
        </w:tc>
        <w:tc>
          <w:tcPr>
            <w:tcW w:w="1120" w:type="dxa"/>
            <w:vAlign w:val="bottom"/>
            <w:tcBorders>
              <w:right w:val="single" w:sz="8" w:color="EFF2EF"/>
            </w:tcBorders>
            <w:shd w:val="clear" w:color="auto" w:fill="EFF2EF"/>
          </w:tcPr>
          <w:p>
            <w:pPr>
              <w:jc w:val="right"/>
              <w:ind w:right="38"/>
              <w:spacing w:after="0" w:line="201" w:lineRule="exact"/>
              <w:rPr>
                <w:sz w:val="20"/>
                <w:szCs w:val="20"/>
                <w:color w:val="auto"/>
              </w:rPr>
            </w:pPr>
            <w:r>
              <w:rPr>
                <w:rFonts w:ascii="Calibri" w:cs="Calibri" w:eastAsia="Calibri" w:hAnsi="Calibri"/>
                <w:sz w:val="17"/>
                <w:szCs w:val="17"/>
                <w:color w:val="333333"/>
              </w:rPr>
              <w:t>5,948,143</w:t>
            </w:r>
          </w:p>
        </w:tc>
        <w:tc>
          <w:tcPr>
            <w:tcW w:w="1120" w:type="dxa"/>
            <w:vAlign w:val="bottom"/>
            <w:tcBorders>
              <w:right w:val="single" w:sz="8" w:color="EFF2EF"/>
            </w:tcBorders>
            <w:shd w:val="clear" w:color="auto" w:fill="EFF2EF"/>
          </w:tcPr>
          <w:p>
            <w:pPr>
              <w:jc w:val="right"/>
              <w:ind w:right="38"/>
              <w:spacing w:after="0" w:line="201" w:lineRule="exact"/>
              <w:rPr>
                <w:sz w:val="20"/>
                <w:szCs w:val="20"/>
                <w:color w:val="auto"/>
              </w:rPr>
            </w:pPr>
            <w:r>
              <w:rPr>
                <w:rFonts w:ascii="Calibri" w:cs="Calibri" w:eastAsia="Calibri" w:hAnsi="Calibri"/>
                <w:sz w:val="17"/>
                <w:szCs w:val="17"/>
                <w:color w:val="333333"/>
              </w:rPr>
              <w:t>6,205,682</w:t>
            </w:r>
          </w:p>
        </w:tc>
        <w:tc>
          <w:tcPr>
            <w:tcW w:w="1120" w:type="dxa"/>
            <w:vAlign w:val="bottom"/>
            <w:tcBorders>
              <w:right w:val="single" w:sz="8" w:color="EFF2EF"/>
            </w:tcBorders>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14,812,253</w:t>
            </w:r>
          </w:p>
        </w:tc>
        <w:tc>
          <w:tcPr>
            <w:tcW w:w="1180" w:type="dxa"/>
            <w:vAlign w:val="bottom"/>
            <w:tcBorders>
              <w:right w:val="single" w:sz="8" w:color="EFF2EF"/>
            </w:tcBorders>
            <w:shd w:val="clear" w:color="auto" w:fill="EFF2EF"/>
          </w:tcPr>
          <w:p>
            <w:pPr>
              <w:jc w:val="right"/>
              <w:ind w:right="58"/>
              <w:spacing w:after="0" w:line="201" w:lineRule="exact"/>
              <w:rPr>
                <w:sz w:val="20"/>
                <w:szCs w:val="20"/>
                <w:color w:val="auto"/>
              </w:rPr>
            </w:pPr>
            <w:r>
              <w:rPr>
                <w:rFonts w:ascii="Calibri" w:cs="Calibri" w:eastAsia="Calibri" w:hAnsi="Calibri"/>
                <w:sz w:val="17"/>
                <w:szCs w:val="17"/>
                <w:color w:val="333333"/>
              </w:rPr>
              <w:t>12,370,328</w:t>
            </w:r>
          </w:p>
        </w:tc>
        <w:tc>
          <w:tcPr>
            <w:tcW w:w="1120" w:type="dxa"/>
            <w:vAlign w:val="bottom"/>
            <w:shd w:val="clear" w:color="auto" w:fill="EFF2EF"/>
          </w:tcPr>
          <w:p>
            <w:pPr>
              <w:jc w:val="right"/>
              <w:ind w:right="18"/>
              <w:spacing w:after="0" w:line="201" w:lineRule="exact"/>
              <w:rPr>
                <w:sz w:val="20"/>
                <w:szCs w:val="20"/>
                <w:color w:val="auto"/>
              </w:rPr>
            </w:pPr>
            <w:r>
              <w:rPr>
                <w:rFonts w:ascii="Calibri" w:cs="Calibri" w:eastAsia="Calibri" w:hAnsi="Calibri"/>
                <w:sz w:val="17"/>
                <w:szCs w:val="17"/>
                <w:color w:val="333333"/>
              </w:rPr>
              <w:t>13,643,454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right="20" w:hanging="433"/>
        <w:spacing w:after="0" w:line="232" w:lineRule="auto"/>
        <w:tabs>
          <w:tab w:leader="none" w:pos="600" w:val="left"/>
        </w:tabs>
        <w:numPr>
          <w:ilvl w:val="0"/>
          <w:numId w:val="113"/>
        </w:numPr>
        <w:rPr>
          <w:rFonts w:ascii="Calibri" w:cs="Calibri" w:eastAsia="Calibri" w:hAnsi="Calibri"/>
          <w:sz w:val="11"/>
          <w:szCs w:val="11"/>
          <w:color w:val="333333"/>
        </w:rPr>
      </w:pPr>
      <w:r>
        <w:rPr>
          <w:rFonts w:ascii="Calibri" w:cs="Calibri" w:eastAsia="Calibri" w:hAnsi="Calibri"/>
          <w:sz w:val="17"/>
          <w:szCs w:val="17"/>
          <w:color w:val="333333"/>
        </w:rPr>
        <w:t>The dollar amounts reported in column (c) represent the average of the amounts reported for the other NEOs in the “Total” compensaton column of the Summary Compensaton Table in the applicable year. The names of the NEOs included for purposes of calculatng the average amounts in 2025 are Paul Linton, Ajay Sabherwal, Curts P. Lu, Holly Paul, and Brendan J. Keatng, and in each prior year are Ajay Sabherwal, Paul Linton, Curts P. Lu and Holly Paul.</w:t>
      </w:r>
    </w:p>
    <w:p>
      <w:pPr>
        <w:spacing w:after="0" w:line="120" w:lineRule="exact"/>
        <w:rPr>
          <w:rFonts w:ascii="Calibri" w:cs="Calibri" w:eastAsia="Calibri" w:hAnsi="Calibri"/>
          <w:sz w:val="11"/>
          <w:szCs w:val="11"/>
          <w:color w:val="333333"/>
        </w:rPr>
      </w:pPr>
    </w:p>
    <w:p>
      <w:pPr>
        <w:ind w:left="600" w:right="100" w:hanging="433"/>
        <w:spacing w:after="0" w:line="232" w:lineRule="auto"/>
        <w:tabs>
          <w:tab w:leader="none" w:pos="600" w:val="left"/>
        </w:tabs>
        <w:numPr>
          <w:ilvl w:val="0"/>
          <w:numId w:val="113"/>
        </w:numPr>
        <w:rPr>
          <w:rFonts w:ascii="Calibri" w:cs="Calibri" w:eastAsia="Calibri" w:hAnsi="Calibri"/>
          <w:sz w:val="11"/>
          <w:szCs w:val="11"/>
          <w:color w:val="333333"/>
        </w:rPr>
      </w:pPr>
      <w:r>
        <w:rPr>
          <w:rFonts w:ascii="Calibri" w:cs="Calibri" w:eastAsia="Calibri" w:hAnsi="Calibri"/>
          <w:sz w:val="17"/>
          <w:szCs w:val="17"/>
          <w:color w:val="333333"/>
        </w:rPr>
        <w:t>The dollar amounts reported in column (d) represent the average amount of CAP for the other NEOs as computed in accordance with Item 402(v) of Regulaton S-K. The dollar amounts do not refect the actual average amount of compensaton earned by or paid to the other NEOs during the applicable year. In accordance with the requirements of Item 402(v) of Regulaton S-K, the following adjustments were made to average total compensaton for the other NEOs for each year to determine the compensaton actually paid, using the same methodology described above in footnote (2):</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Borders>
              <w:top w:val="single" w:sz="8" w:color="0591DB"/>
              <w:left w:val="single" w:sz="8" w:color="0591DB"/>
              <w:bottom w:val="single" w:sz="8" w:color="0591DB"/>
            </w:tcBorders>
          </w:tcPr>
          <w:p>
            <w:pPr>
              <w:spacing w:after="0"/>
              <w:rPr>
                <w:sz w:val="20"/>
                <w:szCs w:val="20"/>
                <w:color w:val="auto"/>
              </w:rPr>
            </w:pPr>
          </w:p>
        </w:tc>
        <w:tc>
          <w:tcPr>
            <w:tcW w:w="5360" w:type="dxa"/>
            <w:vAlign w:val="bottom"/>
            <w:tcBorders>
              <w:top w:val="single" w:sz="8" w:color="0591DB"/>
              <w:bottom w:val="single" w:sz="8" w:color="0591DB"/>
              <w:right w:val="single" w:sz="8" w:color="0591DB"/>
            </w:tcBorders>
          </w:tcPr>
          <w:p>
            <w:pPr>
              <w:ind w:left="40"/>
              <w:spacing w:after="0"/>
              <w:rPr>
                <w:sz w:val="20"/>
                <w:szCs w:val="20"/>
                <w:color w:val="auto"/>
              </w:rPr>
            </w:pPr>
            <w:r>
              <w:rPr>
                <w:rFonts w:ascii="Calibri" w:cs="Calibri" w:eastAsia="Calibri" w:hAnsi="Calibri"/>
                <w:sz w:val="14"/>
                <w:szCs w:val="14"/>
                <w:b w:val="1"/>
                <w:bCs w:val="1"/>
                <w:color w:val="0591DB"/>
              </w:rPr>
              <w:t> ADJUSTMENTS TO DETERMINE COMPENSATION ACTUALLY PAID</w:t>
            </w:r>
          </w:p>
        </w:tc>
        <w:tc>
          <w:tcPr>
            <w:tcW w:w="160" w:type="dxa"/>
            <w:vAlign w:val="bottom"/>
            <w:tcBorders>
              <w:top w:val="single" w:sz="8" w:color="0591DB"/>
              <w:bottom w:val="single" w:sz="8" w:color="0591DB"/>
            </w:tcBorders>
          </w:tcPr>
          <w:p>
            <w:pPr>
              <w:spacing w:after="0"/>
              <w:rPr>
                <w:sz w:val="20"/>
                <w:szCs w:val="20"/>
                <w:color w:val="auto"/>
              </w:rPr>
            </w:pPr>
          </w:p>
        </w:tc>
        <w:tc>
          <w:tcPr>
            <w:tcW w:w="960" w:type="dxa"/>
            <w:vAlign w:val="bottom"/>
            <w:tcBorders>
              <w:top w:val="single" w:sz="8" w:color="0591DB"/>
              <w:bottom w:val="single" w:sz="8" w:color="0591DB"/>
              <w:right w:val="single" w:sz="8" w:color="0591DB"/>
            </w:tcBorders>
          </w:tcPr>
          <w:p>
            <w:pPr>
              <w:jc w:val="right"/>
              <w:ind w:right="358"/>
              <w:spacing w:after="0"/>
              <w:rPr>
                <w:sz w:val="20"/>
                <w:szCs w:val="20"/>
                <w:color w:val="auto"/>
              </w:rPr>
            </w:pPr>
            <w:r>
              <w:rPr>
                <w:rFonts w:ascii="Calibri" w:cs="Calibri" w:eastAsia="Calibri" w:hAnsi="Calibri"/>
                <w:sz w:val="14"/>
                <w:szCs w:val="14"/>
                <w:b w:val="1"/>
                <w:bCs w:val="1"/>
                <w:color w:val="0591DB"/>
              </w:rPr>
              <w:t>2025</w:t>
            </w:r>
          </w:p>
        </w:tc>
        <w:tc>
          <w:tcPr>
            <w:tcW w:w="1100" w:type="dxa"/>
            <w:vAlign w:val="bottom"/>
            <w:tcBorders>
              <w:top w:val="single" w:sz="8" w:color="0591DB"/>
              <w:bottom w:val="single" w:sz="8" w:color="0591DB"/>
              <w:right w:val="single" w:sz="8" w:color="0591DB"/>
            </w:tcBorders>
          </w:tcPr>
          <w:p>
            <w:pPr>
              <w:jc w:val="right"/>
              <w:ind w:right="338"/>
              <w:spacing w:after="0"/>
              <w:rPr>
                <w:sz w:val="20"/>
                <w:szCs w:val="20"/>
                <w:color w:val="auto"/>
              </w:rPr>
            </w:pPr>
            <w:r>
              <w:rPr>
                <w:rFonts w:ascii="Calibri" w:cs="Calibri" w:eastAsia="Calibri" w:hAnsi="Calibri"/>
                <w:sz w:val="14"/>
                <w:szCs w:val="14"/>
                <w:b w:val="1"/>
                <w:bCs w:val="1"/>
                <w:color w:val="0591DB"/>
              </w:rPr>
              <w:t>2024</w:t>
            </w:r>
          </w:p>
        </w:tc>
        <w:tc>
          <w:tcPr>
            <w:tcW w:w="1080" w:type="dxa"/>
            <w:vAlign w:val="bottom"/>
            <w:tcBorders>
              <w:top w:val="single" w:sz="8" w:color="0591DB"/>
              <w:bottom w:val="single" w:sz="8" w:color="0591DB"/>
              <w:right w:val="single" w:sz="8" w:color="0591DB"/>
            </w:tcBorders>
          </w:tcPr>
          <w:p>
            <w:pPr>
              <w:jc w:val="right"/>
              <w:ind w:right="338"/>
              <w:spacing w:after="0"/>
              <w:rPr>
                <w:sz w:val="20"/>
                <w:szCs w:val="20"/>
                <w:color w:val="auto"/>
              </w:rPr>
            </w:pPr>
            <w:r>
              <w:rPr>
                <w:rFonts w:ascii="Calibri" w:cs="Calibri" w:eastAsia="Calibri" w:hAnsi="Calibri"/>
                <w:sz w:val="14"/>
                <w:szCs w:val="14"/>
                <w:b w:val="1"/>
                <w:bCs w:val="1"/>
                <w:color w:val="0591DB"/>
              </w:rPr>
              <w:t>2023</w:t>
            </w:r>
          </w:p>
        </w:tc>
        <w:tc>
          <w:tcPr>
            <w:tcW w:w="1100" w:type="dxa"/>
            <w:vAlign w:val="bottom"/>
            <w:tcBorders>
              <w:top w:val="single" w:sz="8" w:color="0591DB"/>
              <w:bottom w:val="single" w:sz="8" w:color="0591DB"/>
              <w:right w:val="single" w:sz="8" w:color="0591DB"/>
            </w:tcBorders>
          </w:tcPr>
          <w:p>
            <w:pPr>
              <w:jc w:val="right"/>
              <w:ind w:right="358"/>
              <w:spacing w:after="0"/>
              <w:rPr>
                <w:sz w:val="20"/>
                <w:szCs w:val="20"/>
                <w:color w:val="auto"/>
              </w:rPr>
            </w:pPr>
            <w:r>
              <w:rPr>
                <w:rFonts w:ascii="Calibri" w:cs="Calibri" w:eastAsia="Calibri" w:hAnsi="Calibri"/>
                <w:sz w:val="14"/>
                <w:szCs w:val="14"/>
                <w:b w:val="1"/>
                <w:bCs w:val="1"/>
                <w:color w:val="0591DB"/>
              </w:rPr>
              <w:t>2022</w:t>
            </w:r>
          </w:p>
        </w:tc>
        <w:tc>
          <w:tcPr>
            <w:tcW w:w="1040" w:type="dxa"/>
            <w:vAlign w:val="bottom"/>
            <w:tcBorders>
              <w:top w:val="single" w:sz="8" w:color="0591DB"/>
              <w:bottom w:val="single" w:sz="8" w:color="0591DB"/>
            </w:tcBorders>
          </w:tcPr>
          <w:p>
            <w:pPr>
              <w:jc w:val="right"/>
              <w:ind w:right="338"/>
              <w:spacing w:after="0"/>
              <w:rPr>
                <w:sz w:val="20"/>
                <w:szCs w:val="20"/>
                <w:color w:val="auto"/>
              </w:rPr>
            </w:pPr>
            <w:r>
              <w:rPr>
                <w:rFonts w:ascii="Calibri" w:cs="Calibri" w:eastAsia="Calibri" w:hAnsi="Calibri"/>
                <w:sz w:val="14"/>
                <w:szCs w:val="14"/>
                <w:b w:val="1"/>
                <w:bCs w:val="1"/>
                <w:color w:val="0591DB"/>
              </w:rPr>
              <w:t>2021</w:t>
            </w:r>
          </w:p>
        </w:tc>
        <w:tc>
          <w:tcPr>
            <w:tcW w:w="20" w:type="dxa"/>
            <w:vAlign w:val="bottom"/>
            <w:tcBorders>
              <w:top w:val="single" w:sz="8" w:color="0591DB"/>
              <w:bottom w:val="single" w:sz="8" w:color="0591DB"/>
            </w:tcBorders>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gridSpan w:val="2"/>
          </w:tcPr>
          <w:p>
            <w:pPr>
              <w:ind w:left="200"/>
              <w:spacing w:after="0" w:line="173" w:lineRule="exact"/>
              <w:rPr>
                <w:sz w:val="20"/>
                <w:szCs w:val="20"/>
                <w:color w:val="auto"/>
              </w:rPr>
            </w:pPr>
            <w:r>
              <w:rPr>
                <w:rFonts w:ascii="Calibri" w:cs="Calibri" w:eastAsia="Calibri" w:hAnsi="Calibri"/>
                <w:sz w:val="17"/>
                <w:szCs w:val="17"/>
                <w:color w:val="333333"/>
              </w:rPr>
              <w:t>Amounts reported under the “Total” Compensaton” column in the</w:t>
            </w:r>
          </w:p>
        </w:tc>
        <w:tc>
          <w:tcPr>
            <w:tcW w:w="960" w:type="dxa"/>
            <w:vAlign w:val="bottom"/>
          </w:tcPr>
          <w:p>
            <w:pPr>
              <w:jc w:val="right"/>
              <w:ind w:right="38"/>
              <w:spacing w:after="0" w:line="173" w:lineRule="exact"/>
              <w:rPr>
                <w:sz w:val="20"/>
                <w:szCs w:val="20"/>
                <w:color w:val="auto"/>
              </w:rPr>
            </w:pPr>
            <w:r>
              <w:rPr>
                <w:rFonts w:ascii="Calibri" w:cs="Calibri" w:eastAsia="Calibri" w:hAnsi="Calibri"/>
                <w:sz w:val="17"/>
                <w:szCs w:val="17"/>
                <w:color w:val="333333"/>
              </w:rPr>
              <w:t>2,339,636</w:t>
            </w:r>
          </w:p>
        </w:tc>
        <w:tc>
          <w:tcPr>
            <w:tcW w:w="110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2,290,941</w:t>
            </w:r>
          </w:p>
        </w:tc>
        <w:tc>
          <w:tcPr>
            <w:tcW w:w="108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2,301,899</w:t>
            </w:r>
          </w:p>
        </w:tc>
        <w:tc>
          <w:tcPr>
            <w:tcW w:w="110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2,115,869</w:t>
            </w:r>
          </w:p>
        </w:tc>
        <w:tc>
          <w:tcPr>
            <w:tcW w:w="1040" w:type="dxa"/>
            <w:vAlign w:val="bottom"/>
          </w:tcPr>
          <w:p>
            <w:pPr>
              <w:jc w:val="right"/>
              <w:ind w:right="18"/>
              <w:spacing w:after="0" w:line="173" w:lineRule="exact"/>
              <w:rPr>
                <w:sz w:val="20"/>
                <w:szCs w:val="20"/>
                <w:color w:val="auto"/>
              </w:rPr>
            </w:pPr>
            <w:r>
              <w:rPr>
                <w:rFonts w:ascii="Calibri" w:cs="Calibri" w:eastAsia="Calibri" w:hAnsi="Calibri"/>
                <w:sz w:val="17"/>
                <w:szCs w:val="17"/>
                <w:color w:val="333333"/>
              </w:rPr>
              <w:t>1,976,730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tcPr>
          <w:p>
            <w:pPr>
              <w:ind w:left="200"/>
              <w:spacing w:after="0" w:line="201" w:lineRule="exact"/>
              <w:rPr>
                <w:sz w:val="20"/>
                <w:szCs w:val="20"/>
                <w:color w:val="auto"/>
              </w:rPr>
            </w:pPr>
            <w:r>
              <w:rPr>
                <w:rFonts w:ascii="Calibri" w:cs="Calibri" w:eastAsia="Calibri" w:hAnsi="Calibri"/>
                <w:sz w:val="17"/>
                <w:szCs w:val="17"/>
                <w:color w:val="333333"/>
              </w:rPr>
              <w:t>Summary Compensaton Table in (i) this Proxy Statement beginning on</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tcPr>
          <w:p>
            <w:pPr>
              <w:ind w:left="200"/>
              <w:spacing w:after="0" w:line="201" w:lineRule="exact"/>
              <w:rPr>
                <w:sz w:val="20"/>
                <w:szCs w:val="20"/>
                <w:color w:val="auto"/>
              </w:rPr>
            </w:pPr>
            <w:r>
              <w:rPr>
                <w:rFonts w:ascii="Calibri" w:cs="Calibri" w:eastAsia="Calibri" w:hAnsi="Calibri"/>
                <w:sz w:val="17"/>
                <w:szCs w:val="17"/>
                <w:color w:val="0591DB"/>
              </w:rPr>
              <w:t xml:space="preserve">page 85 </w:t>
            </w:r>
            <w:r>
              <w:rPr>
                <w:rFonts w:ascii="Calibri" w:cs="Calibri" w:eastAsia="Calibri" w:hAnsi="Calibri"/>
                <w:sz w:val="17"/>
                <w:szCs w:val="17"/>
                <w:color w:val="333333"/>
              </w:rPr>
              <w:t>for the years ended December 31, 2025, December 31, 2024</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tcPr>
          <w:p>
            <w:pPr>
              <w:ind w:left="200"/>
              <w:spacing w:after="0" w:line="201" w:lineRule="exact"/>
              <w:rPr>
                <w:sz w:val="20"/>
                <w:szCs w:val="20"/>
                <w:color w:val="auto"/>
              </w:rPr>
            </w:pPr>
            <w:r>
              <w:rPr>
                <w:rFonts w:ascii="Calibri" w:cs="Calibri" w:eastAsia="Calibri" w:hAnsi="Calibri"/>
                <w:sz w:val="17"/>
                <w:szCs w:val="17"/>
                <w:color w:val="333333"/>
              </w:rPr>
              <w:t>and December 31, 2023 and (ii) the Proxy Statement for the 2024</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tcPr>
          <w:p>
            <w:pPr>
              <w:ind w:left="200"/>
              <w:spacing w:after="0" w:line="201" w:lineRule="exact"/>
              <w:rPr>
                <w:sz w:val="20"/>
                <w:szCs w:val="20"/>
                <w:color w:val="auto"/>
              </w:rPr>
            </w:pPr>
            <w:r>
              <w:rPr>
                <w:rFonts w:ascii="Calibri" w:cs="Calibri" w:eastAsia="Calibri" w:hAnsi="Calibri"/>
                <w:sz w:val="17"/>
                <w:szCs w:val="17"/>
                <w:color w:val="333333"/>
              </w:rPr>
              <w:t>Annual Meetng for the years ended December 31, 2022 and</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tcPr>
          <w:p>
            <w:pPr>
              <w:ind w:left="200"/>
              <w:spacing w:after="0" w:line="203" w:lineRule="exact"/>
              <w:rPr>
                <w:sz w:val="20"/>
                <w:szCs w:val="20"/>
                <w:color w:val="auto"/>
              </w:rPr>
            </w:pPr>
            <w:r>
              <w:rPr>
                <w:rFonts w:ascii="Calibri" w:cs="Calibri" w:eastAsia="Calibri" w:hAnsi="Calibri"/>
                <w:sz w:val="17"/>
                <w:szCs w:val="17"/>
                <w:color w:val="333333"/>
              </w:rPr>
              <w:t>December 31, 2021.</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100" w:type="dxa"/>
            <w:vAlign w:val="bottom"/>
            <w:tcBorders>
              <w:left w:val="single" w:sz="8" w:color="EFF2EF"/>
            </w:tcBorders>
            <w:shd w:val="clear" w:color="auto" w:fill="EFF2EF"/>
          </w:tcPr>
          <w:p>
            <w:pPr>
              <w:spacing w:after="0" w:line="173" w:lineRule="exact"/>
              <w:rPr>
                <w:sz w:val="20"/>
                <w:szCs w:val="20"/>
                <w:color w:val="auto"/>
              </w:rPr>
            </w:pPr>
            <w:r>
              <w:rPr>
                <w:rFonts w:ascii="Calibri" w:cs="Calibri" w:eastAsia="Calibri" w:hAnsi="Calibri"/>
                <w:sz w:val="17"/>
                <w:szCs w:val="17"/>
                <w:color w:val="333333"/>
              </w:rPr>
              <w:t>-</w:t>
            </w:r>
          </w:p>
        </w:tc>
        <w:tc>
          <w:tcPr>
            <w:tcW w:w="5520" w:type="dxa"/>
            <w:vAlign w:val="bottom"/>
            <w:gridSpan w:val="2"/>
            <w:shd w:val="clear" w:color="auto" w:fill="EFF2EF"/>
          </w:tcPr>
          <w:p>
            <w:pPr>
              <w:ind w:left="200"/>
              <w:spacing w:after="0" w:line="173" w:lineRule="exact"/>
              <w:rPr>
                <w:sz w:val="20"/>
                <w:szCs w:val="20"/>
                <w:color w:val="auto"/>
              </w:rPr>
            </w:pPr>
            <w:r>
              <w:rPr>
                <w:rFonts w:ascii="Calibri" w:cs="Calibri" w:eastAsia="Calibri" w:hAnsi="Calibri"/>
                <w:sz w:val="17"/>
                <w:szCs w:val="17"/>
                <w:color w:val="333333"/>
              </w:rPr>
              <w:t>Amounts Reported under the “Stock Awards” column in the Summary</w:t>
            </w:r>
          </w:p>
        </w:tc>
        <w:tc>
          <w:tcPr>
            <w:tcW w:w="96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(1,047,305)</w:t>
            </w:r>
          </w:p>
        </w:tc>
        <w:tc>
          <w:tcPr>
            <w:tcW w:w="110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(831,060)</w:t>
            </w:r>
          </w:p>
        </w:tc>
        <w:tc>
          <w:tcPr>
            <w:tcW w:w="108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(699,873)</w:t>
            </w:r>
          </w:p>
        </w:tc>
        <w:tc>
          <w:tcPr>
            <w:tcW w:w="110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(699,909)</w:t>
            </w:r>
          </w:p>
        </w:tc>
        <w:tc>
          <w:tcPr>
            <w:tcW w:w="1040" w:type="dxa"/>
            <w:vAlign w:val="bottom"/>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(599,931)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Borders>
              <w:left w:val="single" w:sz="8" w:color="EFF2EF"/>
            </w:tcBorders>
            <w:shd w:val="clear" w:color="auto" w:fill="EFF2EF"/>
          </w:tcPr>
          <w:p>
            <w:pPr>
              <w:spacing w:after="0"/>
              <w:rPr>
                <w:sz w:val="17"/>
                <w:szCs w:val="17"/>
                <w:color w:val="auto"/>
              </w:rPr>
            </w:pPr>
          </w:p>
        </w:tc>
        <w:tc>
          <w:tcPr>
            <w:tcW w:w="5520" w:type="dxa"/>
            <w:vAlign w:val="bottom"/>
            <w:gridSpan w:val="2"/>
            <w:shd w:val="clear" w:color="auto" w:fill="EFF2EF"/>
          </w:tcPr>
          <w:p>
            <w:pPr>
              <w:ind w:left="200"/>
              <w:spacing w:after="0" w:line="201" w:lineRule="exact"/>
              <w:rPr>
                <w:sz w:val="20"/>
                <w:szCs w:val="20"/>
                <w:color w:val="auto"/>
              </w:rPr>
            </w:pPr>
            <w:r>
              <w:rPr>
                <w:rFonts w:ascii="Calibri" w:cs="Calibri" w:eastAsia="Calibri" w:hAnsi="Calibri"/>
                <w:sz w:val="17"/>
                <w:szCs w:val="17"/>
                <w:color w:val="333333"/>
              </w:rPr>
              <w:t xml:space="preserve">Compensaton Table in (i) this Proxy Statement beginning on </w:t>
            </w:r>
            <w:r>
              <w:rPr>
                <w:rFonts w:ascii="Calibri" w:cs="Calibri" w:eastAsia="Calibri" w:hAnsi="Calibri"/>
                <w:sz w:val="17"/>
                <w:szCs w:val="17"/>
                <w:color w:val="0591DB"/>
              </w:rPr>
              <w:t>page 85</w:t>
            </w:r>
            <w:r>
              <w:rPr>
                <w:rFonts w:ascii="Calibri" w:cs="Calibri" w:eastAsia="Calibri" w:hAnsi="Calibri"/>
                <w:sz w:val="17"/>
                <w:szCs w:val="17"/>
                <w:color w:val="333333"/>
              </w:rPr>
              <w:t xml:space="preserve"> for</w:t>
            </w:r>
          </w:p>
        </w:tc>
        <w:tc>
          <w:tcPr>
            <w:tcW w:w="96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8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4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Borders>
              <w:left w:val="single" w:sz="8" w:color="EFF2EF"/>
            </w:tcBorders>
            <w:shd w:val="clear" w:color="auto" w:fill="EFF2EF"/>
          </w:tcPr>
          <w:p>
            <w:pPr>
              <w:spacing w:after="0"/>
              <w:rPr>
                <w:sz w:val="17"/>
                <w:szCs w:val="17"/>
                <w:color w:val="auto"/>
              </w:rPr>
            </w:pPr>
          </w:p>
        </w:tc>
        <w:tc>
          <w:tcPr>
            <w:tcW w:w="5520" w:type="dxa"/>
            <w:vAlign w:val="bottom"/>
            <w:gridSpan w:val="2"/>
            <w:shd w:val="clear" w:color="auto" w:fill="EFF2EF"/>
          </w:tcPr>
          <w:p>
            <w:pPr>
              <w:ind w:left="200"/>
              <w:spacing w:after="0" w:line="201" w:lineRule="exact"/>
              <w:rPr>
                <w:sz w:val="20"/>
                <w:szCs w:val="20"/>
                <w:color w:val="auto"/>
              </w:rPr>
            </w:pPr>
            <w:r>
              <w:rPr>
                <w:rFonts w:ascii="Calibri" w:cs="Calibri" w:eastAsia="Calibri" w:hAnsi="Calibri"/>
                <w:sz w:val="17"/>
                <w:szCs w:val="17"/>
                <w:color w:val="333333"/>
              </w:rPr>
              <w:t>the years ended December 31, 2025, December 31, 2024 and</w:t>
            </w:r>
          </w:p>
        </w:tc>
        <w:tc>
          <w:tcPr>
            <w:tcW w:w="96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8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4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Borders>
              <w:left w:val="single" w:sz="8" w:color="EFF2EF"/>
            </w:tcBorders>
            <w:shd w:val="clear" w:color="auto" w:fill="EFF2EF"/>
          </w:tcPr>
          <w:p>
            <w:pPr>
              <w:spacing w:after="0"/>
              <w:rPr>
                <w:sz w:val="17"/>
                <w:szCs w:val="17"/>
                <w:color w:val="auto"/>
              </w:rPr>
            </w:pPr>
          </w:p>
        </w:tc>
        <w:tc>
          <w:tcPr>
            <w:tcW w:w="5520" w:type="dxa"/>
            <w:vAlign w:val="bottom"/>
            <w:gridSpan w:val="2"/>
            <w:shd w:val="clear" w:color="auto" w:fill="EFF2EF"/>
          </w:tcPr>
          <w:p>
            <w:pPr>
              <w:ind w:left="200"/>
              <w:spacing w:after="0" w:line="201" w:lineRule="exact"/>
              <w:rPr>
                <w:sz w:val="20"/>
                <w:szCs w:val="20"/>
                <w:color w:val="auto"/>
              </w:rPr>
            </w:pPr>
            <w:r>
              <w:rPr>
                <w:rFonts w:ascii="Calibri" w:cs="Calibri" w:eastAsia="Calibri" w:hAnsi="Calibri"/>
                <w:sz w:val="17"/>
                <w:szCs w:val="17"/>
                <w:color w:val="333333"/>
              </w:rPr>
              <w:t>December 31, 2023 and (ii) the Proxy Statement for the 2024 Annual</w:t>
            </w:r>
          </w:p>
        </w:tc>
        <w:tc>
          <w:tcPr>
            <w:tcW w:w="96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8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4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Borders>
              <w:left w:val="single" w:sz="8" w:color="EFF2EF"/>
            </w:tcBorders>
            <w:shd w:val="clear" w:color="auto" w:fill="EFF2EF"/>
          </w:tcPr>
          <w:p>
            <w:pPr>
              <w:spacing w:after="0"/>
              <w:rPr>
                <w:sz w:val="17"/>
                <w:szCs w:val="17"/>
                <w:color w:val="auto"/>
              </w:rPr>
            </w:pPr>
          </w:p>
        </w:tc>
        <w:tc>
          <w:tcPr>
            <w:tcW w:w="5520" w:type="dxa"/>
            <w:vAlign w:val="bottom"/>
            <w:gridSpan w:val="2"/>
            <w:shd w:val="clear" w:color="auto" w:fill="EFF2EF"/>
          </w:tcPr>
          <w:p>
            <w:pPr>
              <w:ind w:left="200"/>
              <w:spacing w:after="0" w:line="201" w:lineRule="exact"/>
              <w:rPr>
                <w:sz w:val="20"/>
                <w:szCs w:val="20"/>
                <w:color w:val="auto"/>
              </w:rPr>
            </w:pPr>
            <w:r>
              <w:rPr>
                <w:rFonts w:ascii="Calibri" w:cs="Calibri" w:eastAsia="Calibri" w:hAnsi="Calibri"/>
                <w:sz w:val="17"/>
                <w:szCs w:val="17"/>
                <w:color w:val="333333"/>
              </w:rPr>
              <w:t>Meetng for the years ended December 31, 2022 and December 31,</w:t>
            </w:r>
          </w:p>
        </w:tc>
        <w:tc>
          <w:tcPr>
            <w:tcW w:w="96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8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4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Borders>
              <w:left w:val="single" w:sz="8" w:color="EFF2EF"/>
              <w:bottom w:val="single" w:sz="8" w:color="EFF2EF"/>
            </w:tcBorders>
            <w:shd w:val="clear" w:color="auto" w:fill="EFF2EF"/>
          </w:tcPr>
          <w:p>
            <w:pPr>
              <w:spacing w:after="0"/>
              <w:rPr>
                <w:sz w:val="18"/>
                <w:szCs w:val="18"/>
                <w:color w:val="auto"/>
              </w:rPr>
            </w:pPr>
          </w:p>
        </w:tc>
        <w:tc>
          <w:tcPr>
            <w:tcW w:w="5360" w:type="dxa"/>
            <w:vAlign w:val="bottom"/>
            <w:tcBorders>
              <w:bottom w:val="single" w:sz="8" w:color="EFF2EF"/>
              <w:right w:val="single" w:sz="8" w:color="EFF2EF"/>
            </w:tcBorders>
            <w:shd w:val="clear" w:color="auto" w:fill="EFF2EF"/>
          </w:tcPr>
          <w:p>
            <w:pPr>
              <w:ind w:left="200"/>
              <w:spacing w:after="0" w:line="203" w:lineRule="exact"/>
              <w:rPr>
                <w:sz w:val="20"/>
                <w:szCs w:val="20"/>
                <w:color w:val="auto"/>
              </w:rPr>
            </w:pPr>
            <w:r>
              <w:rPr>
                <w:rFonts w:ascii="Calibri" w:cs="Calibri" w:eastAsia="Calibri" w:hAnsi="Calibri"/>
                <w:sz w:val="17"/>
                <w:szCs w:val="17"/>
                <w:color w:val="333333"/>
              </w:rPr>
              <w:t>2021.</w:t>
            </w:r>
          </w:p>
        </w:tc>
        <w:tc>
          <w:tcPr>
            <w:tcW w:w="160" w:type="dxa"/>
            <w:vAlign w:val="bottom"/>
            <w:tcBorders>
              <w:bottom w:val="single" w:sz="8" w:color="EFF2EF"/>
            </w:tcBorders>
            <w:shd w:val="clear" w:color="auto" w:fill="EFF2EF"/>
          </w:tcPr>
          <w:p>
            <w:pPr>
              <w:spacing w:after="0"/>
              <w:rPr>
                <w:sz w:val="18"/>
                <w:szCs w:val="18"/>
                <w:color w:val="auto"/>
              </w:rPr>
            </w:pPr>
          </w:p>
        </w:tc>
        <w:tc>
          <w:tcPr>
            <w:tcW w:w="960" w:type="dxa"/>
            <w:vAlign w:val="bottom"/>
            <w:tcBorders>
              <w:bottom w:val="single" w:sz="8" w:color="EFF2EF"/>
              <w:right w:val="single" w:sz="8" w:color="EFF2EF"/>
            </w:tcBorders>
            <w:shd w:val="clear" w:color="auto" w:fill="EFF2EF"/>
          </w:tcPr>
          <w:p>
            <w:pPr>
              <w:spacing w:after="0"/>
              <w:rPr>
                <w:sz w:val="18"/>
                <w:szCs w:val="18"/>
                <w:color w:val="auto"/>
              </w:rPr>
            </w:pPr>
          </w:p>
        </w:tc>
        <w:tc>
          <w:tcPr>
            <w:tcW w:w="1100" w:type="dxa"/>
            <w:vAlign w:val="bottom"/>
            <w:tcBorders>
              <w:bottom w:val="single" w:sz="8" w:color="EFF2EF"/>
              <w:right w:val="single" w:sz="8" w:color="EFF2EF"/>
            </w:tcBorders>
            <w:shd w:val="clear" w:color="auto" w:fill="EFF2EF"/>
          </w:tcPr>
          <w:p>
            <w:pPr>
              <w:spacing w:after="0"/>
              <w:rPr>
                <w:sz w:val="18"/>
                <w:szCs w:val="18"/>
                <w:color w:val="auto"/>
              </w:rPr>
            </w:pPr>
          </w:p>
        </w:tc>
        <w:tc>
          <w:tcPr>
            <w:tcW w:w="1080" w:type="dxa"/>
            <w:vAlign w:val="bottom"/>
            <w:tcBorders>
              <w:bottom w:val="single" w:sz="8" w:color="EFF2EF"/>
              <w:right w:val="single" w:sz="8" w:color="EFF2EF"/>
            </w:tcBorders>
            <w:shd w:val="clear" w:color="auto" w:fill="EFF2EF"/>
          </w:tcPr>
          <w:p>
            <w:pPr>
              <w:spacing w:after="0"/>
              <w:rPr>
                <w:sz w:val="18"/>
                <w:szCs w:val="18"/>
                <w:color w:val="auto"/>
              </w:rPr>
            </w:pPr>
          </w:p>
        </w:tc>
        <w:tc>
          <w:tcPr>
            <w:tcW w:w="1100" w:type="dxa"/>
            <w:vAlign w:val="bottom"/>
            <w:tcBorders>
              <w:bottom w:val="single" w:sz="8" w:color="EFF2EF"/>
              <w:right w:val="single" w:sz="8" w:color="EFF2EF"/>
            </w:tcBorders>
            <w:shd w:val="clear" w:color="auto" w:fill="EFF2EF"/>
          </w:tcPr>
          <w:p>
            <w:pPr>
              <w:spacing w:after="0"/>
              <w:rPr>
                <w:sz w:val="18"/>
                <w:szCs w:val="18"/>
                <w:color w:val="auto"/>
              </w:rPr>
            </w:pPr>
          </w:p>
        </w:tc>
        <w:tc>
          <w:tcPr>
            <w:tcW w:w="1040" w:type="dxa"/>
            <w:vAlign w:val="bottom"/>
            <w:tcBorders>
              <w:bottom w:val="single" w:sz="8" w:color="EFF2EF"/>
            </w:tcBorders>
            <w:shd w:val="clear" w:color="auto" w:fill="EFF2E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line="173" w:lineRule="exact"/>
              <w:rPr>
                <w:sz w:val="20"/>
                <w:szCs w:val="20"/>
                <w:color w:val="auto"/>
              </w:rPr>
            </w:pPr>
            <w:r>
              <w:rPr>
                <w:rFonts w:ascii="Calibri" w:cs="Calibri" w:eastAsia="Calibri" w:hAnsi="Calibri"/>
                <w:sz w:val="17"/>
                <w:szCs w:val="17"/>
                <w:color w:val="333333"/>
                <w:w w:val="93"/>
              </w:rPr>
              <w:t>+</w:t>
            </w:r>
          </w:p>
        </w:tc>
        <w:tc>
          <w:tcPr>
            <w:tcW w:w="5520" w:type="dxa"/>
            <w:vAlign w:val="bottom"/>
            <w:gridSpan w:val="2"/>
          </w:tcPr>
          <w:p>
            <w:pPr>
              <w:ind w:left="200"/>
              <w:spacing w:after="0" w:line="173" w:lineRule="exact"/>
              <w:rPr>
                <w:sz w:val="20"/>
                <w:szCs w:val="20"/>
                <w:color w:val="auto"/>
              </w:rPr>
            </w:pPr>
            <w:r>
              <w:rPr>
                <w:rFonts w:ascii="Calibri" w:cs="Calibri" w:eastAsia="Calibri" w:hAnsi="Calibri"/>
                <w:sz w:val="17"/>
                <w:szCs w:val="17"/>
                <w:color w:val="333333"/>
              </w:rPr>
              <w:t>Fair Value of Awards Granted during Year That Remain Unvested as of</w:t>
            </w:r>
          </w:p>
        </w:tc>
        <w:tc>
          <w:tcPr>
            <w:tcW w:w="960" w:type="dxa"/>
            <w:vAlign w:val="bottom"/>
          </w:tcPr>
          <w:p>
            <w:pPr>
              <w:jc w:val="right"/>
              <w:ind w:right="38"/>
              <w:spacing w:after="0" w:line="173" w:lineRule="exact"/>
              <w:rPr>
                <w:sz w:val="20"/>
                <w:szCs w:val="20"/>
                <w:color w:val="auto"/>
              </w:rPr>
            </w:pPr>
            <w:r>
              <w:rPr>
                <w:rFonts w:ascii="Calibri" w:cs="Calibri" w:eastAsia="Calibri" w:hAnsi="Calibri"/>
                <w:sz w:val="17"/>
                <w:szCs w:val="17"/>
                <w:color w:val="333333"/>
              </w:rPr>
              <w:t>996,546</w:t>
            </w:r>
          </w:p>
        </w:tc>
        <w:tc>
          <w:tcPr>
            <w:tcW w:w="110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667,826</w:t>
            </w:r>
          </w:p>
        </w:tc>
        <w:tc>
          <w:tcPr>
            <w:tcW w:w="108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768,297</w:t>
            </w:r>
          </w:p>
        </w:tc>
        <w:tc>
          <w:tcPr>
            <w:tcW w:w="1100" w:type="dxa"/>
            <w:vAlign w:val="bottom"/>
          </w:tcPr>
          <w:p>
            <w:pPr>
              <w:jc w:val="right"/>
              <w:ind w:right="58"/>
              <w:spacing w:after="0" w:line="173" w:lineRule="exact"/>
              <w:rPr>
                <w:sz w:val="20"/>
                <w:szCs w:val="20"/>
                <w:color w:val="auto"/>
              </w:rPr>
            </w:pPr>
            <w:r>
              <w:rPr>
                <w:rFonts w:ascii="Calibri" w:cs="Calibri" w:eastAsia="Calibri" w:hAnsi="Calibri"/>
                <w:sz w:val="17"/>
                <w:szCs w:val="17"/>
                <w:color w:val="333333"/>
              </w:rPr>
              <w:t>810,334</w:t>
            </w:r>
          </w:p>
        </w:tc>
        <w:tc>
          <w:tcPr>
            <w:tcW w:w="1040" w:type="dxa"/>
            <w:vAlign w:val="bottom"/>
          </w:tcPr>
          <w:p>
            <w:pPr>
              <w:jc w:val="right"/>
              <w:ind w:right="18"/>
              <w:spacing w:after="0" w:line="173" w:lineRule="exact"/>
              <w:rPr>
                <w:sz w:val="20"/>
                <w:szCs w:val="20"/>
                <w:color w:val="auto"/>
              </w:rPr>
            </w:pPr>
            <w:r>
              <w:rPr>
                <w:rFonts w:ascii="Calibri" w:cs="Calibri" w:eastAsia="Calibri" w:hAnsi="Calibri"/>
                <w:sz w:val="17"/>
                <w:szCs w:val="17"/>
                <w:color w:val="333333"/>
              </w:rPr>
              <w:t>711,265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tcPr>
          <w:p>
            <w:pPr>
              <w:ind w:left="200"/>
              <w:spacing w:after="0" w:line="203" w:lineRule="exact"/>
              <w:rPr>
                <w:sz w:val="20"/>
                <w:szCs w:val="20"/>
                <w:color w:val="auto"/>
              </w:rPr>
            </w:pPr>
            <w:r>
              <w:rPr>
                <w:rFonts w:ascii="Calibri" w:cs="Calibri" w:eastAsia="Calibri" w:hAnsi="Calibri"/>
                <w:sz w:val="17"/>
                <w:szCs w:val="17"/>
                <w:color w:val="333333"/>
              </w:rPr>
              <w:t>Year End</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620" w:type="dxa"/>
            <w:vAlign w:val="bottom"/>
            <w:tcBorders>
              <w:left w:val="single" w:sz="8" w:color="EFF2EF"/>
            </w:tcBorders>
            <w:gridSpan w:val="3"/>
            <w:shd w:val="clear" w:color="auto" w:fill="EFF2EF"/>
          </w:tcPr>
          <w:p>
            <w:pPr>
              <w:spacing w:after="0" w:line="173" w:lineRule="exact"/>
              <w:rPr>
                <w:sz w:val="20"/>
                <w:szCs w:val="20"/>
                <w:color w:val="auto"/>
              </w:rPr>
            </w:pPr>
            <w:r>
              <w:rPr>
                <w:rFonts w:ascii="Calibri" w:cs="Calibri" w:eastAsia="Calibri" w:hAnsi="Calibri"/>
                <w:sz w:val="17"/>
                <w:szCs w:val="17"/>
                <w:color w:val="333333"/>
              </w:rPr>
              <w:t>+/-  Change in Fair Value from Prior Year End to Current Year End of Awards</w:t>
            </w:r>
          </w:p>
        </w:tc>
        <w:tc>
          <w:tcPr>
            <w:tcW w:w="96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(248,302)</w:t>
            </w:r>
          </w:p>
        </w:tc>
        <w:tc>
          <w:tcPr>
            <w:tcW w:w="1100" w:type="dxa"/>
            <w:vAlign w:val="bottom"/>
            <w:tcBorders>
              <w:right w:val="single" w:sz="8" w:color="EFF2EF"/>
            </w:tcBorders>
            <w:shd w:val="clear" w:color="auto" w:fill="EFF2EF"/>
          </w:tcPr>
          <w:p>
            <w:pPr>
              <w:jc w:val="right"/>
              <w:spacing w:after="0" w:line="173" w:lineRule="exact"/>
              <w:rPr>
                <w:sz w:val="20"/>
                <w:szCs w:val="20"/>
                <w:color w:val="auto"/>
              </w:rPr>
            </w:pPr>
            <w:r>
              <w:rPr>
                <w:rFonts w:ascii="Calibri" w:cs="Calibri" w:eastAsia="Calibri" w:hAnsi="Calibri"/>
                <w:sz w:val="17"/>
                <w:szCs w:val="17"/>
                <w:color w:val="333333"/>
              </w:rPr>
              <w:t>(100,159)</w:t>
            </w:r>
          </w:p>
        </w:tc>
        <w:tc>
          <w:tcPr>
            <w:tcW w:w="1080" w:type="dxa"/>
            <w:vAlign w:val="bottom"/>
            <w:tcBorders>
              <w:right w:val="single" w:sz="8" w:color="EFF2EF"/>
            </w:tcBorders>
            <w:shd w:val="clear" w:color="auto" w:fill="EFF2EF"/>
          </w:tcPr>
          <w:p>
            <w:pPr>
              <w:jc w:val="right"/>
              <w:ind w:right="58"/>
              <w:spacing w:after="0" w:line="173" w:lineRule="exact"/>
              <w:rPr>
                <w:sz w:val="20"/>
                <w:szCs w:val="20"/>
                <w:color w:val="auto"/>
              </w:rPr>
            </w:pPr>
            <w:r>
              <w:rPr>
                <w:rFonts w:ascii="Calibri" w:cs="Calibri" w:eastAsia="Calibri" w:hAnsi="Calibri"/>
                <w:sz w:val="17"/>
                <w:szCs w:val="17"/>
                <w:color w:val="333333"/>
              </w:rPr>
              <w:t>483,809</w:t>
            </w:r>
          </w:p>
        </w:tc>
        <w:tc>
          <w:tcPr>
            <w:tcW w:w="1100" w:type="dxa"/>
            <w:vAlign w:val="bottom"/>
            <w:tcBorders>
              <w:right w:val="single" w:sz="8" w:color="EFF2EF"/>
            </w:tcBorders>
            <w:shd w:val="clear" w:color="auto" w:fill="EFF2EF"/>
          </w:tcPr>
          <w:p>
            <w:pPr>
              <w:jc w:val="right"/>
              <w:ind w:right="58"/>
              <w:spacing w:after="0" w:line="173" w:lineRule="exact"/>
              <w:rPr>
                <w:sz w:val="20"/>
                <w:szCs w:val="20"/>
                <w:color w:val="auto"/>
              </w:rPr>
            </w:pPr>
            <w:r>
              <w:rPr>
                <w:rFonts w:ascii="Calibri" w:cs="Calibri" w:eastAsia="Calibri" w:hAnsi="Calibri"/>
                <w:sz w:val="17"/>
                <w:szCs w:val="17"/>
                <w:color w:val="333333"/>
              </w:rPr>
              <w:t>347,295</w:t>
            </w:r>
          </w:p>
        </w:tc>
        <w:tc>
          <w:tcPr>
            <w:tcW w:w="1040" w:type="dxa"/>
            <w:vAlign w:val="bottom"/>
            <w:shd w:val="clear" w:color="auto" w:fill="EFF2EF"/>
          </w:tcPr>
          <w:p>
            <w:pPr>
              <w:jc w:val="right"/>
              <w:ind w:right="18"/>
              <w:spacing w:after="0" w:line="173" w:lineRule="exact"/>
              <w:rPr>
                <w:sz w:val="20"/>
                <w:szCs w:val="20"/>
                <w:color w:val="auto"/>
              </w:rPr>
            </w:pPr>
            <w:r>
              <w:rPr>
                <w:rFonts w:ascii="Calibri" w:cs="Calibri" w:eastAsia="Calibri" w:hAnsi="Calibri"/>
                <w:sz w:val="17"/>
                <w:szCs w:val="17"/>
                <w:color w:val="333333"/>
              </w:rPr>
              <w:t>588,801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Borders>
              <w:left w:val="single" w:sz="8" w:color="EFF2EF"/>
            </w:tcBorders>
            <w:shd w:val="clear" w:color="auto" w:fill="EFF2EF"/>
          </w:tcPr>
          <w:p>
            <w:pPr>
              <w:spacing w:after="0"/>
              <w:rPr>
                <w:sz w:val="17"/>
                <w:szCs w:val="17"/>
                <w:color w:val="auto"/>
              </w:rPr>
            </w:pPr>
          </w:p>
        </w:tc>
        <w:tc>
          <w:tcPr>
            <w:tcW w:w="5520" w:type="dxa"/>
            <w:vAlign w:val="bottom"/>
            <w:gridSpan w:val="2"/>
            <w:shd w:val="clear" w:color="auto" w:fill="EFF2EF"/>
          </w:tcPr>
          <w:p>
            <w:pPr>
              <w:ind w:left="200"/>
              <w:spacing w:after="0" w:line="201" w:lineRule="exact"/>
              <w:rPr>
                <w:sz w:val="20"/>
                <w:szCs w:val="20"/>
                <w:color w:val="auto"/>
              </w:rPr>
            </w:pPr>
            <w:r>
              <w:rPr>
                <w:rFonts w:ascii="Calibri" w:cs="Calibri" w:eastAsia="Calibri" w:hAnsi="Calibri"/>
                <w:sz w:val="17"/>
                <w:szCs w:val="17"/>
                <w:color w:val="333333"/>
              </w:rPr>
              <w:t>Granted Prior to Year That were Outstanding and Unvested as of Year</w:t>
            </w:r>
          </w:p>
        </w:tc>
        <w:tc>
          <w:tcPr>
            <w:tcW w:w="96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80" w:type="dxa"/>
            <w:vAlign w:val="bottom"/>
            <w:tcBorders>
              <w:right w:val="single" w:sz="8" w:color="EFF2EF"/>
            </w:tcBorders>
            <w:shd w:val="clear" w:color="auto" w:fill="EFF2EF"/>
          </w:tcPr>
          <w:p>
            <w:pPr>
              <w:spacing w:after="0"/>
              <w:rPr>
                <w:sz w:val="17"/>
                <w:szCs w:val="17"/>
                <w:color w:val="auto"/>
              </w:rPr>
            </w:pPr>
          </w:p>
        </w:tc>
        <w:tc>
          <w:tcPr>
            <w:tcW w:w="1100" w:type="dxa"/>
            <w:vAlign w:val="bottom"/>
            <w:tcBorders>
              <w:right w:val="single" w:sz="8" w:color="EFF2EF"/>
            </w:tcBorders>
            <w:shd w:val="clear" w:color="auto" w:fill="EFF2EF"/>
          </w:tcPr>
          <w:p>
            <w:pPr>
              <w:spacing w:after="0"/>
              <w:rPr>
                <w:sz w:val="17"/>
                <w:szCs w:val="17"/>
                <w:color w:val="auto"/>
              </w:rPr>
            </w:pPr>
          </w:p>
        </w:tc>
        <w:tc>
          <w:tcPr>
            <w:tcW w:w="104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Borders>
              <w:left w:val="single" w:sz="8" w:color="EFF2EF"/>
              <w:bottom w:val="single" w:sz="8" w:color="EFF2EF"/>
            </w:tcBorders>
            <w:shd w:val="clear" w:color="auto" w:fill="EFF2EF"/>
          </w:tcPr>
          <w:p>
            <w:pPr>
              <w:spacing w:after="0"/>
              <w:rPr>
                <w:sz w:val="18"/>
                <w:szCs w:val="18"/>
                <w:color w:val="auto"/>
              </w:rPr>
            </w:pPr>
          </w:p>
        </w:tc>
        <w:tc>
          <w:tcPr>
            <w:tcW w:w="5520" w:type="dxa"/>
            <w:vAlign w:val="bottom"/>
            <w:tcBorders>
              <w:bottom w:val="single" w:sz="8" w:color="EFF2EF"/>
            </w:tcBorders>
            <w:gridSpan w:val="2"/>
            <w:shd w:val="clear" w:color="auto" w:fill="EFF2EF"/>
          </w:tcPr>
          <w:p>
            <w:pPr>
              <w:ind w:left="200"/>
              <w:spacing w:after="0" w:line="203" w:lineRule="exact"/>
              <w:rPr>
                <w:sz w:val="20"/>
                <w:szCs w:val="20"/>
                <w:color w:val="auto"/>
              </w:rPr>
            </w:pPr>
            <w:r>
              <w:rPr>
                <w:rFonts w:ascii="Calibri" w:cs="Calibri" w:eastAsia="Calibri" w:hAnsi="Calibri"/>
                <w:sz w:val="17"/>
                <w:szCs w:val="17"/>
                <w:color w:val="333333"/>
              </w:rPr>
              <w:t>End</w:t>
            </w:r>
          </w:p>
        </w:tc>
        <w:tc>
          <w:tcPr>
            <w:tcW w:w="960" w:type="dxa"/>
            <w:vAlign w:val="bottom"/>
            <w:tcBorders>
              <w:bottom w:val="single" w:sz="8" w:color="EFF2EF"/>
              <w:right w:val="single" w:sz="8" w:color="EFF2EF"/>
            </w:tcBorders>
            <w:shd w:val="clear" w:color="auto" w:fill="EFF2EF"/>
          </w:tcPr>
          <w:p>
            <w:pPr>
              <w:spacing w:after="0"/>
              <w:rPr>
                <w:sz w:val="18"/>
                <w:szCs w:val="18"/>
                <w:color w:val="auto"/>
              </w:rPr>
            </w:pPr>
          </w:p>
        </w:tc>
        <w:tc>
          <w:tcPr>
            <w:tcW w:w="1100" w:type="dxa"/>
            <w:vAlign w:val="bottom"/>
            <w:tcBorders>
              <w:bottom w:val="single" w:sz="8" w:color="EFF2EF"/>
              <w:right w:val="single" w:sz="8" w:color="EFF2EF"/>
            </w:tcBorders>
            <w:shd w:val="clear" w:color="auto" w:fill="EFF2EF"/>
          </w:tcPr>
          <w:p>
            <w:pPr>
              <w:spacing w:after="0"/>
              <w:rPr>
                <w:sz w:val="18"/>
                <w:szCs w:val="18"/>
                <w:color w:val="auto"/>
              </w:rPr>
            </w:pPr>
          </w:p>
        </w:tc>
        <w:tc>
          <w:tcPr>
            <w:tcW w:w="1080" w:type="dxa"/>
            <w:vAlign w:val="bottom"/>
            <w:tcBorders>
              <w:bottom w:val="single" w:sz="8" w:color="EFF2EF"/>
              <w:right w:val="single" w:sz="8" w:color="EFF2EF"/>
            </w:tcBorders>
            <w:shd w:val="clear" w:color="auto" w:fill="EFF2EF"/>
          </w:tcPr>
          <w:p>
            <w:pPr>
              <w:spacing w:after="0"/>
              <w:rPr>
                <w:sz w:val="18"/>
                <w:szCs w:val="18"/>
                <w:color w:val="auto"/>
              </w:rPr>
            </w:pPr>
          </w:p>
        </w:tc>
        <w:tc>
          <w:tcPr>
            <w:tcW w:w="1100" w:type="dxa"/>
            <w:vAlign w:val="bottom"/>
            <w:tcBorders>
              <w:bottom w:val="single" w:sz="8" w:color="EFF2EF"/>
              <w:right w:val="single" w:sz="8" w:color="EFF2EF"/>
            </w:tcBorders>
            <w:shd w:val="clear" w:color="auto" w:fill="EFF2EF"/>
          </w:tcPr>
          <w:p>
            <w:pPr>
              <w:spacing w:after="0"/>
              <w:rPr>
                <w:sz w:val="18"/>
                <w:szCs w:val="18"/>
                <w:color w:val="auto"/>
              </w:rPr>
            </w:pPr>
          </w:p>
        </w:tc>
        <w:tc>
          <w:tcPr>
            <w:tcW w:w="1040" w:type="dxa"/>
            <w:vAlign w:val="bottom"/>
            <w:tcBorders>
              <w:bottom w:val="single" w:sz="8" w:color="EFF2EF"/>
            </w:tcBorders>
            <w:shd w:val="clear" w:color="auto" w:fill="EFF2E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2"/>
          </w:tcPr>
          <w:p>
            <w:pPr>
              <w:ind w:left="5260"/>
              <w:spacing w:after="0"/>
              <w:rPr>
                <w:sz w:val="20"/>
                <w:szCs w:val="20"/>
                <w:color w:val="auto"/>
              </w:rPr>
            </w:pPr>
            <w:r>
              <w:rPr>
                <w:rFonts w:ascii="Calibri" w:cs="Calibri" w:eastAsia="Calibri" w:hAnsi="Calibri"/>
                <w:sz w:val="17"/>
                <w:szCs w:val="17"/>
                <w:color w:val="333333"/>
              </w:rPr>
              <w:t>95</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70" w:type="dxa"/>
        <w:tblCellMar>
          <w:top w:w="0" w:type="dxa"/>
          <w:left w:w="0" w:type="dxa"/>
          <w:bottom w:w="0" w:type="dxa"/>
          <w:right w:w="0" w:type="dxa"/>
        </w:tblCellMar>
      </w:tblPr>
      <w:tr>
        <w:trPr>
          <w:trHeight w:val="234"/>
        </w:trPr>
        <w:tc>
          <w:tcPr>
            <w:tcW w:w="5780" w:type="dxa"/>
            <w:vAlign w:val="bottom"/>
            <w:tcBorders>
              <w:top w:val="single" w:sz="8" w:color="0591DB"/>
              <w:left w:val="single" w:sz="8" w:color="0591DB"/>
              <w:bottom w:val="single" w:sz="8" w:color="0591DB"/>
              <w:right w:val="single" w:sz="8" w:color="0591DB"/>
            </w:tcBorders>
          </w:tcPr>
          <w:p>
            <w:pPr>
              <w:ind w:left="160"/>
              <w:spacing w:after="0"/>
              <w:rPr>
                <w:sz w:val="20"/>
                <w:szCs w:val="20"/>
                <w:color w:val="auto"/>
              </w:rPr>
            </w:pPr>
            <w:r>
              <w:rPr>
                <w:rFonts w:ascii="Calibri" w:cs="Calibri" w:eastAsia="Calibri" w:hAnsi="Calibri"/>
                <w:sz w:val="14"/>
                <w:szCs w:val="14"/>
                <w:b w:val="1"/>
                <w:bCs w:val="1"/>
                <w:color w:val="0591DB"/>
              </w:rPr>
              <w:t> ADJUSTMENTS TO DETERMINE COMPENSATION ACTUALLY PAID</w:t>
            </w:r>
          </w:p>
        </w:tc>
        <w:tc>
          <w:tcPr>
            <w:tcW w:w="1020" w:type="dxa"/>
            <w:vAlign w:val="bottom"/>
            <w:tcBorders>
              <w:top w:val="single" w:sz="8" w:color="0591DB"/>
              <w:bottom w:val="single" w:sz="8" w:color="0591DB"/>
              <w:right w:val="single" w:sz="8" w:color="0591DB"/>
            </w:tcBorders>
          </w:tcPr>
          <w:p>
            <w:pPr>
              <w:jc w:val="right"/>
              <w:ind w:right="300"/>
              <w:spacing w:after="0"/>
              <w:rPr>
                <w:sz w:val="20"/>
                <w:szCs w:val="20"/>
                <w:color w:val="auto"/>
              </w:rPr>
            </w:pPr>
            <w:r>
              <w:rPr>
                <w:rFonts w:ascii="Calibri" w:cs="Calibri" w:eastAsia="Calibri" w:hAnsi="Calibri"/>
                <w:sz w:val="14"/>
                <w:szCs w:val="14"/>
                <w:b w:val="1"/>
                <w:bCs w:val="1"/>
                <w:color w:val="0591DB"/>
              </w:rPr>
              <w:t>2025</w:t>
            </w:r>
          </w:p>
        </w:tc>
        <w:tc>
          <w:tcPr>
            <w:tcW w:w="1060" w:type="dxa"/>
            <w:vAlign w:val="bottom"/>
            <w:tcBorders>
              <w:top w:val="single" w:sz="8" w:color="0591DB"/>
              <w:bottom w:val="single" w:sz="8" w:color="0591DB"/>
              <w:right w:val="single" w:sz="8" w:color="0591DB"/>
            </w:tcBorders>
          </w:tcPr>
          <w:p>
            <w:pPr>
              <w:jc w:val="right"/>
              <w:ind w:right="320"/>
              <w:spacing w:after="0"/>
              <w:rPr>
                <w:sz w:val="20"/>
                <w:szCs w:val="20"/>
                <w:color w:val="auto"/>
              </w:rPr>
            </w:pPr>
            <w:r>
              <w:rPr>
                <w:rFonts w:ascii="Calibri" w:cs="Calibri" w:eastAsia="Calibri" w:hAnsi="Calibri"/>
                <w:sz w:val="14"/>
                <w:szCs w:val="14"/>
                <w:b w:val="1"/>
                <w:bCs w:val="1"/>
                <w:color w:val="0591DB"/>
              </w:rPr>
              <w:t>2024</w:t>
            </w:r>
          </w:p>
        </w:tc>
        <w:tc>
          <w:tcPr>
            <w:tcW w:w="980" w:type="dxa"/>
            <w:vAlign w:val="bottom"/>
            <w:tcBorders>
              <w:top w:val="single" w:sz="8" w:color="0591DB"/>
              <w:bottom w:val="single" w:sz="8" w:color="0591DB"/>
              <w:right w:val="single" w:sz="8" w:color="0591DB"/>
            </w:tcBorders>
          </w:tcPr>
          <w:p>
            <w:pPr>
              <w:jc w:val="right"/>
              <w:ind w:right="260"/>
              <w:spacing w:after="0"/>
              <w:rPr>
                <w:sz w:val="20"/>
                <w:szCs w:val="20"/>
                <w:color w:val="auto"/>
              </w:rPr>
            </w:pPr>
            <w:r>
              <w:rPr>
                <w:rFonts w:ascii="Calibri" w:cs="Calibri" w:eastAsia="Calibri" w:hAnsi="Calibri"/>
                <w:sz w:val="14"/>
                <w:szCs w:val="14"/>
                <w:b w:val="1"/>
                <w:bCs w:val="1"/>
                <w:color w:val="0591DB"/>
              </w:rPr>
              <w:t>2023</w:t>
            </w:r>
          </w:p>
        </w:tc>
        <w:tc>
          <w:tcPr>
            <w:tcW w:w="1060" w:type="dxa"/>
            <w:vAlign w:val="bottom"/>
            <w:tcBorders>
              <w:top w:val="single" w:sz="8" w:color="0591DB"/>
              <w:bottom w:val="single" w:sz="8" w:color="0591DB"/>
              <w:right w:val="single" w:sz="8" w:color="0591DB"/>
            </w:tcBorders>
          </w:tcPr>
          <w:p>
            <w:pPr>
              <w:jc w:val="right"/>
              <w:ind w:right="320"/>
              <w:spacing w:after="0"/>
              <w:rPr>
                <w:sz w:val="20"/>
                <w:szCs w:val="20"/>
                <w:color w:val="auto"/>
              </w:rPr>
            </w:pPr>
            <w:r>
              <w:rPr>
                <w:rFonts w:ascii="Calibri" w:cs="Calibri" w:eastAsia="Calibri" w:hAnsi="Calibri"/>
                <w:sz w:val="14"/>
                <w:szCs w:val="14"/>
                <w:b w:val="1"/>
                <w:bCs w:val="1"/>
                <w:color w:val="0591DB"/>
              </w:rPr>
              <w:t>2022</w:t>
            </w:r>
          </w:p>
        </w:tc>
        <w:tc>
          <w:tcPr>
            <w:tcW w:w="1020" w:type="dxa"/>
            <w:vAlign w:val="bottom"/>
            <w:tcBorders>
              <w:top w:val="single" w:sz="8" w:color="0591DB"/>
              <w:bottom w:val="single" w:sz="8" w:color="0591DB"/>
            </w:tcBorders>
          </w:tcPr>
          <w:p>
            <w:pPr>
              <w:jc w:val="right"/>
              <w:ind w:right="320"/>
              <w:spacing w:after="0"/>
              <w:rPr>
                <w:sz w:val="20"/>
                <w:szCs w:val="20"/>
                <w:color w:val="auto"/>
              </w:rPr>
            </w:pPr>
            <w:r>
              <w:rPr>
                <w:rFonts w:ascii="Calibri" w:cs="Calibri" w:eastAsia="Calibri" w:hAnsi="Calibri"/>
                <w:sz w:val="14"/>
                <w:szCs w:val="14"/>
                <w:b w:val="1"/>
                <w:bCs w:val="1"/>
                <w:color w:val="0591DB"/>
              </w:rPr>
              <w:t>2021</w:t>
            </w:r>
          </w:p>
        </w:tc>
        <w:tc>
          <w:tcPr>
            <w:tcW w:w="20" w:type="dxa"/>
            <w:vAlign w:val="bottom"/>
            <w:tcBorders>
              <w:top w:val="single" w:sz="8" w:color="0591DB"/>
              <w:bottom w:val="single" w:sz="8" w:color="0591DB"/>
            </w:tcBorders>
            <w:shd w:val="clear" w:color="auto" w:fill="0591DB"/>
          </w:tcPr>
          <w:p>
            <w:pPr>
              <w:spacing w:after="0"/>
              <w:rPr>
                <w:sz w:val="20"/>
                <w:szCs w:val="20"/>
                <w:color w:val="auto"/>
              </w:rPr>
            </w:pPr>
          </w:p>
        </w:tc>
      </w:tr>
      <w:tr>
        <w:trPr>
          <w:trHeight w:val="173"/>
        </w:trPr>
        <w:tc>
          <w:tcPr>
            <w:tcW w:w="5780" w:type="dxa"/>
            <w:vAlign w:val="bottom"/>
          </w:tcPr>
          <w:p>
            <w:pPr>
              <w:ind w:left="40"/>
              <w:spacing w:after="0" w:line="173" w:lineRule="exact"/>
              <w:rPr>
                <w:sz w:val="20"/>
                <w:szCs w:val="20"/>
                <w:color w:val="auto"/>
              </w:rPr>
            </w:pPr>
            <w:r>
              <w:rPr>
                <w:rFonts w:ascii="Calibri" w:cs="Calibri" w:eastAsia="Calibri" w:hAnsi="Calibri"/>
                <w:sz w:val="17"/>
                <w:szCs w:val="17"/>
                <w:color w:val="333333"/>
              </w:rPr>
              <w:t>+/-  Change in Fair Value from Prior Year End to Vestng Date of Awards Granted</w:t>
            </w:r>
          </w:p>
        </w:tc>
        <w:tc>
          <w:tcPr>
            <w:tcW w:w="1020" w:type="dxa"/>
            <w:vAlign w:val="bottom"/>
          </w:tcPr>
          <w:p>
            <w:pPr>
              <w:jc w:val="right"/>
              <w:spacing w:after="0" w:line="173" w:lineRule="exact"/>
              <w:rPr>
                <w:sz w:val="20"/>
                <w:szCs w:val="20"/>
                <w:color w:val="auto"/>
              </w:rPr>
            </w:pPr>
            <w:r>
              <w:rPr>
                <w:rFonts w:ascii="Calibri" w:cs="Calibri" w:eastAsia="Calibri" w:hAnsi="Calibri"/>
                <w:sz w:val="17"/>
                <w:szCs w:val="17"/>
                <w:color w:val="333333"/>
              </w:rPr>
              <w:t>(39,828)</w:t>
            </w:r>
          </w:p>
        </w:tc>
        <w:tc>
          <w:tcPr>
            <w:tcW w:w="1060" w:type="dxa"/>
            <w:vAlign w:val="bottom"/>
          </w:tcPr>
          <w:p>
            <w:pPr>
              <w:jc w:val="right"/>
              <w:spacing w:after="0" w:line="173" w:lineRule="exact"/>
              <w:rPr>
                <w:sz w:val="20"/>
                <w:szCs w:val="20"/>
                <w:color w:val="auto"/>
              </w:rPr>
            </w:pPr>
            <w:r>
              <w:rPr>
                <w:rFonts w:ascii="Calibri" w:cs="Calibri" w:eastAsia="Calibri" w:hAnsi="Calibri"/>
                <w:sz w:val="17"/>
                <w:szCs w:val="17"/>
                <w:color w:val="333333"/>
              </w:rPr>
              <w:t>(8,974)</w:t>
            </w:r>
          </w:p>
        </w:tc>
        <w:tc>
          <w:tcPr>
            <w:tcW w:w="980" w:type="dxa"/>
            <w:vAlign w:val="bottom"/>
          </w:tcPr>
          <w:p>
            <w:pPr>
              <w:jc w:val="right"/>
              <w:spacing w:after="0" w:line="173" w:lineRule="exact"/>
              <w:rPr>
                <w:sz w:val="20"/>
                <w:szCs w:val="20"/>
                <w:color w:val="auto"/>
              </w:rPr>
            </w:pPr>
            <w:r>
              <w:rPr>
                <w:rFonts w:ascii="Calibri" w:cs="Calibri" w:eastAsia="Calibri" w:hAnsi="Calibri"/>
                <w:sz w:val="17"/>
                <w:szCs w:val="17"/>
                <w:color w:val="333333"/>
              </w:rPr>
              <w:t>64,214</w:t>
            </w:r>
          </w:p>
        </w:tc>
        <w:tc>
          <w:tcPr>
            <w:tcW w:w="1060" w:type="dxa"/>
            <w:vAlign w:val="bottom"/>
          </w:tcPr>
          <w:p>
            <w:pPr>
              <w:jc w:val="right"/>
              <w:spacing w:after="0" w:line="173" w:lineRule="exact"/>
              <w:rPr>
                <w:sz w:val="20"/>
                <w:szCs w:val="20"/>
                <w:color w:val="auto"/>
              </w:rPr>
            </w:pPr>
            <w:r>
              <w:rPr>
                <w:rFonts w:ascii="Calibri" w:cs="Calibri" w:eastAsia="Calibri" w:hAnsi="Calibri"/>
                <w:sz w:val="17"/>
                <w:szCs w:val="17"/>
                <w:color w:val="333333"/>
              </w:rPr>
              <w:t>(84,321)</w:t>
            </w:r>
          </w:p>
        </w:tc>
        <w:tc>
          <w:tcPr>
            <w:tcW w:w="1020" w:type="dxa"/>
            <w:vAlign w:val="bottom"/>
          </w:tcPr>
          <w:p>
            <w:pPr>
              <w:jc w:val="right"/>
              <w:ind w:right="20"/>
              <w:spacing w:after="0" w:line="173" w:lineRule="exact"/>
              <w:rPr>
                <w:sz w:val="20"/>
                <w:szCs w:val="20"/>
                <w:color w:val="auto"/>
              </w:rPr>
            </w:pPr>
            <w:r>
              <w:rPr>
                <w:rFonts w:ascii="Calibri" w:cs="Calibri" w:eastAsia="Calibri" w:hAnsi="Calibri"/>
                <w:sz w:val="17"/>
                <w:szCs w:val="17"/>
                <w:color w:val="333333"/>
              </w:rPr>
              <w:t>15,498</w:t>
            </w:r>
          </w:p>
        </w:tc>
        <w:tc>
          <w:tcPr>
            <w:tcW w:w="20" w:type="dxa"/>
            <w:vAlign w:val="bottom"/>
          </w:tcPr>
          <w:p>
            <w:pPr>
              <w:spacing w:after="0"/>
              <w:rPr>
                <w:sz w:val="15"/>
                <w:szCs w:val="15"/>
                <w:color w:val="auto"/>
              </w:rPr>
            </w:pPr>
          </w:p>
        </w:tc>
      </w:tr>
      <w:tr>
        <w:trPr>
          <w:trHeight w:val="203"/>
        </w:trPr>
        <w:tc>
          <w:tcPr>
            <w:tcW w:w="5780" w:type="dxa"/>
            <w:vAlign w:val="bottom"/>
          </w:tcPr>
          <w:p>
            <w:pPr>
              <w:ind w:left="420"/>
              <w:spacing w:after="0" w:line="203" w:lineRule="exact"/>
              <w:rPr>
                <w:sz w:val="20"/>
                <w:szCs w:val="20"/>
                <w:color w:val="auto"/>
              </w:rPr>
            </w:pPr>
            <w:r>
              <w:rPr>
                <w:rFonts w:ascii="Calibri" w:cs="Calibri" w:eastAsia="Calibri" w:hAnsi="Calibri"/>
                <w:sz w:val="17"/>
                <w:szCs w:val="17"/>
                <w:color w:val="333333"/>
              </w:rPr>
              <w:t>Prior to Year That Vested during Year</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5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5780" w:type="dxa"/>
            <w:vAlign w:val="bottom"/>
            <w:tcBorders>
              <w:left w:val="single" w:sz="8" w:color="EFF2EF"/>
              <w:right w:val="single" w:sz="8" w:color="EFF2EF"/>
            </w:tcBorders>
            <w:shd w:val="clear" w:color="auto" w:fill="EFF2EF"/>
          </w:tcPr>
          <w:p>
            <w:pPr>
              <w:ind w:left="420"/>
              <w:spacing w:after="0" w:line="201" w:lineRule="exact"/>
              <w:rPr>
                <w:sz w:val="20"/>
                <w:szCs w:val="20"/>
                <w:color w:val="auto"/>
              </w:rPr>
            </w:pPr>
            <w:r>
              <w:rPr>
                <w:rFonts w:ascii="Calibri" w:cs="Calibri" w:eastAsia="Calibri" w:hAnsi="Calibri"/>
                <w:sz w:val="17"/>
                <w:szCs w:val="17"/>
                <w:color w:val="333333"/>
              </w:rPr>
              <w:t>Compensaton Actually Paid to Other NEOs</w:t>
            </w:r>
          </w:p>
        </w:tc>
        <w:tc>
          <w:tcPr>
            <w:tcW w:w="1020" w:type="dxa"/>
            <w:vAlign w:val="bottom"/>
            <w:tcBorders>
              <w:right w:val="single" w:sz="8" w:color="EFF2EF"/>
            </w:tcBorders>
            <w:shd w:val="clear" w:color="auto" w:fill="EFF2EF"/>
          </w:tcPr>
          <w:p>
            <w:pPr>
              <w:jc w:val="right"/>
              <w:ind w:right="20"/>
              <w:spacing w:after="0" w:line="201" w:lineRule="exact"/>
              <w:rPr>
                <w:sz w:val="20"/>
                <w:szCs w:val="20"/>
                <w:color w:val="auto"/>
              </w:rPr>
            </w:pPr>
            <w:r>
              <w:rPr>
                <w:rFonts w:ascii="Calibri" w:cs="Calibri" w:eastAsia="Calibri" w:hAnsi="Calibri"/>
                <w:sz w:val="17"/>
                <w:szCs w:val="17"/>
                <w:color w:val="333333"/>
              </w:rPr>
              <w:t>2,000,747</w:t>
            </w:r>
          </w:p>
        </w:tc>
        <w:tc>
          <w:tcPr>
            <w:tcW w:w="1060" w:type="dxa"/>
            <w:vAlign w:val="bottom"/>
            <w:tcBorders>
              <w:right w:val="single" w:sz="8" w:color="EFF2EF"/>
            </w:tcBorders>
            <w:shd w:val="clear" w:color="auto" w:fill="EFF2EF"/>
          </w:tcPr>
          <w:p>
            <w:pPr>
              <w:jc w:val="right"/>
              <w:ind w:right="40"/>
              <w:spacing w:after="0" w:line="201" w:lineRule="exact"/>
              <w:rPr>
                <w:sz w:val="20"/>
                <w:szCs w:val="20"/>
                <w:color w:val="auto"/>
              </w:rPr>
            </w:pPr>
            <w:r>
              <w:rPr>
                <w:rFonts w:ascii="Calibri" w:cs="Calibri" w:eastAsia="Calibri" w:hAnsi="Calibri"/>
                <w:sz w:val="17"/>
                <w:szCs w:val="17"/>
                <w:color w:val="333333"/>
              </w:rPr>
              <w:t>2,018,574</w:t>
            </w:r>
          </w:p>
        </w:tc>
        <w:tc>
          <w:tcPr>
            <w:tcW w:w="980" w:type="dxa"/>
            <w:vAlign w:val="bottom"/>
            <w:tcBorders>
              <w:right w:val="single" w:sz="8" w:color="EFF2EF"/>
            </w:tcBorders>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2,918,345</w:t>
            </w:r>
          </w:p>
        </w:tc>
        <w:tc>
          <w:tcPr>
            <w:tcW w:w="1060" w:type="dxa"/>
            <w:vAlign w:val="bottom"/>
            <w:tcBorders>
              <w:right w:val="single" w:sz="8" w:color="EFF2EF"/>
            </w:tcBorders>
            <w:shd w:val="clear" w:color="auto" w:fill="EFF2EF"/>
          </w:tcPr>
          <w:p>
            <w:pPr>
              <w:jc w:val="right"/>
              <w:ind w:right="60"/>
              <w:spacing w:after="0" w:line="201" w:lineRule="exact"/>
              <w:rPr>
                <w:sz w:val="20"/>
                <w:szCs w:val="20"/>
                <w:color w:val="auto"/>
              </w:rPr>
            </w:pPr>
            <w:r>
              <w:rPr>
                <w:rFonts w:ascii="Calibri" w:cs="Calibri" w:eastAsia="Calibri" w:hAnsi="Calibri"/>
                <w:sz w:val="17"/>
                <w:szCs w:val="17"/>
                <w:color w:val="333333"/>
              </w:rPr>
              <w:t>2,489,268</w:t>
            </w:r>
          </w:p>
        </w:tc>
        <w:tc>
          <w:tcPr>
            <w:tcW w:w="1020" w:type="dxa"/>
            <w:vAlign w:val="bottom"/>
            <w:shd w:val="clear" w:color="auto" w:fill="EFF2EF"/>
          </w:tcPr>
          <w:p>
            <w:pPr>
              <w:jc w:val="right"/>
              <w:ind w:right="20"/>
              <w:spacing w:after="0" w:line="201" w:lineRule="exact"/>
              <w:rPr>
                <w:sz w:val="20"/>
                <w:szCs w:val="20"/>
                <w:color w:val="auto"/>
              </w:rPr>
            </w:pPr>
            <w:r>
              <w:rPr>
                <w:rFonts w:ascii="Calibri" w:cs="Calibri" w:eastAsia="Calibri" w:hAnsi="Calibri"/>
                <w:sz w:val="17"/>
                <w:szCs w:val="17"/>
                <w:color w:val="333333"/>
              </w:rPr>
              <w:t>2,692,363</w:t>
            </w:r>
          </w:p>
        </w:tc>
        <w:tc>
          <w:tcPr>
            <w:tcW w:w="20" w:type="dxa"/>
            <w:vAlign w:val="bottom"/>
          </w:tcPr>
          <w:p>
            <w:pPr>
              <w:spacing w:after="0"/>
              <w:rPr>
                <w:sz w:val="17"/>
                <w:szCs w:val="17"/>
                <w:color w:val="auto"/>
              </w:rPr>
            </w:pPr>
          </w:p>
        </w:tc>
      </w:tr>
    </w:tbl>
    <w:p>
      <w:pPr>
        <w:spacing w:after="0" w:line="89" w:lineRule="exact"/>
        <w:rPr>
          <w:sz w:val="20"/>
          <w:szCs w:val="20"/>
          <w:color w:val="auto"/>
        </w:rPr>
      </w:pPr>
    </w:p>
    <w:p>
      <w:pPr>
        <w:ind w:left="600" w:hanging="433"/>
        <w:spacing w:after="0"/>
        <w:tabs>
          <w:tab w:leader="none" w:pos="600" w:val="left"/>
        </w:tabs>
        <w:numPr>
          <w:ilvl w:val="0"/>
          <w:numId w:val="114"/>
        </w:numPr>
        <w:rPr>
          <w:rFonts w:ascii="Calibri" w:cs="Calibri" w:eastAsia="Calibri" w:hAnsi="Calibri"/>
          <w:sz w:val="11"/>
          <w:szCs w:val="11"/>
          <w:color w:val="333333"/>
        </w:rPr>
      </w:pPr>
      <w:r>
        <w:rPr>
          <w:rFonts w:ascii="Calibri" w:cs="Calibri" w:eastAsia="Calibri" w:hAnsi="Calibri"/>
          <w:sz w:val="17"/>
          <w:szCs w:val="17"/>
          <w:color w:val="333333"/>
        </w:rPr>
        <w:t>The peer group used to calculate the peer group TSR disclosed in column (f) is the Peer Group discussed in the CD&amp;A.</w:t>
      </w:r>
    </w:p>
    <w:p>
      <w:pPr>
        <w:spacing w:after="0" w:line="117" w:lineRule="exact"/>
        <w:rPr>
          <w:rFonts w:ascii="Calibri" w:cs="Calibri" w:eastAsia="Calibri" w:hAnsi="Calibri"/>
          <w:sz w:val="11"/>
          <w:szCs w:val="11"/>
          <w:color w:val="333333"/>
        </w:rPr>
      </w:pPr>
    </w:p>
    <w:p>
      <w:pPr>
        <w:ind w:left="600" w:right="20" w:hanging="433"/>
        <w:spacing w:after="0" w:line="232" w:lineRule="auto"/>
        <w:tabs>
          <w:tab w:leader="none" w:pos="600" w:val="left"/>
        </w:tabs>
        <w:numPr>
          <w:ilvl w:val="0"/>
          <w:numId w:val="114"/>
        </w:numPr>
        <w:rPr>
          <w:rFonts w:ascii="Calibri" w:cs="Calibri" w:eastAsia="Calibri" w:hAnsi="Calibri"/>
          <w:sz w:val="13"/>
          <w:szCs w:val="13"/>
          <w:color w:val="333333"/>
        </w:rPr>
      </w:pPr>
      <w:r>
        <w:rPr>
          <w:rFonts w:ascii="Calibri" w:cs="Calibri" w:eastAsia="Calibri" w:hAnsi="Calibri"/>
          <w:sz w:val="17"/>
          <w:szCs w:val="17"/>
          <w:color w:val="333333"/>
        </w:rPr>
        <w:t>Executve compensaton decisions for 2021 were informed by reference to a diferent peer group. Three companies — Eaton Vance Corp., Legg Mason, Inc. and Navigant Consultng, Inc. — included in the previous peer group were acquired and no longer qualifed for inclusion in the 2021 Peer Group. Pearl Meyer recommended and the Compensaton Commitee approved the following additonal changes for purposes of the Peer Group discussed in the CD&amp;A:</w:t>
      </w:r>
    </w:p>
    <w:p>
      <w:pPr>
        <w:spacing w:after="0" w:line="128" w:lineRule="exact"/>
        <w:rPr>
          <w:sz w:val="20"/>
          <w:szCs w:val="20"/>
          <w:color w:val="auto"/>
        </w:rPr>
      </w:pPr>
    </w:p>
    <w:tbl>
      <w:tblPr>
        <w:tblLayout w:type="fixed"/>
        <w:tblInd w:w="104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980" w:type="dxa"/>
            <w:vAlign w:val="bottom"/>
            <w:tcBorders>
              <w:top w:val="single" w:sz="8" w:color="0591DB"/>
              <w:left w:val="single" w:sz="8" w:color="0591DB"/>
              <w:right w:val="single" w:sz="8" w:color="0591DB"/>
            </w:tcBorders>
          </w:tcPr>
          <w:p>
            <w:pPr>
              <w:ind w:left="140"/>
              <w:spacing w:after="0"/>
              <w:rPr>
                <w:sz w:val="20"/>
                <w:szCs w:val="20"/>
                <w:color w:val="auto"/>
              </w:rPr>
            </w:pPr>
            <w:r>
              <w:rPr>
                <w:rFonts w:ascii="Calibri" w:cs="Calibri" w:eastAsia="Calibri" w:hAnsi="Calibri"/>
                <w:sz w:val="20"/>
                <w:szCs w:val="20"/>
                <w:b w:val="1"/>
                <w:bCs w:val="1"/>
                <w:color w:val="0591DB"/>
              </w:rPr>
              <w:t> Removed</w:t>
            </w:r>
          </w:p>
        </w:tc>
        <w:tc>
          <w:tcPr>
            <w:tcW w:w="4180" w:type="dxa"/>
            <w:vAlign w:val="bottom"/>
            <w:tcBorders>
              <w:top w:val="single" w:sz="8" w:color="0591DB"/>
            </w:tcBorders>
          </w:tcPr>
          <w:p>
            <w:pPr>
              <w:jc w:val="center"/>
              <w:ind w:left="93"/>
              <w:spacing w:after="0"/>
              <w:rPr>
                <w:sz w:val="20"/>
                <w:szCs w:val="20"/>
                <w:color w:val="auto"/>
              </w:rPr>
            </w:pPr>
            <w:r>
              <w:rPr>
                <w:rFonts w:ascii="Calibri" w:cs="Calibri" w:eastAsia="Calibri" w:hAnsi="Calibri"/>
                <w:sz w:val="20"/>
                <w:szCs w:val="20"/>
                <w:b w:val="1"/>
                <w:bCs w:val="1"/>
                <w:color w:val="0591DB"/>
              </w:rPr>
              <w:t>Added</w:t>
            </w:r>
          </w:p>
        </w:tc>
        <w:tc>
          <w:tcPr>
            <w:tcW w:w="20" w:type="dxa"/>
            <w:vAlign w:val="bottom"/>
            <w:tcBorders>
              <w:top w:val="single" w:sz="8" w:color="0591DB"/>
            </w:tcBorders>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tcBorders>
              <w:left w:val="single" w:sz="8" w:color="0591DB"/>
              <w:bottom w:val="single" w:sz="8" w:color="0591DB"/>
              <w:right w:val="single" w:sz="8" w:color="0591DB"/>
            </w:tcBorders>
          </w:tcPr>
          <w:p>
            <w:pPr>
              <w:spacing w:after="0"/>
              <w:rPr>
                <w:sz w:val="6"/>
                <w:szCs w:val="6"/>
                <w:color w:val="auto"/>
              </w:rPr>
            </w:pPr>
          </w:p>
        </w:tc>
        <w:tc>
          <w:tcPr>
            <w:tcW w:w="4180" w:type="dxa"/>
            <w:vAlign w:val="bottom"/>
            <w:tcBorders>
              <w:bottom w:val="single" w:sz="8" w:color="0591DB"/>
            </w:tcBorders>
          </w:tcPr>
          <w:p>
            <w:pPr>
              <w:spacing w:after="0"/>
              <w:rPr>
                <w:sz w:val="6"/>
                <w:szCs w:val="6"/>
                <w:color w:val="auto"/>
              </w:rPr>
            </w:pPr>
          </w:p>
        </w:tc>
        <w:tc>
          <w:tcPr>
            <w:tcW w:w="20" w:type="dxa"/>
            <w:vAlign w:val="bottom"/>
            <w:tcBorders>
              <w:bottom w:val="single" w:sz="8" w:color="0591DB"/>
            </w:tcBorders>
            <w:shd w:val="clear" w:color="auto" w:fill="0591DB"/>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tcPr>
          <w:p>
            <w:pPr>
              <w:spacing w:after="0" w:line="197" w:lineRule="exact"/>
              <w:rPr>
                <w:sz w:val="20"/>
                <w:szCs w:val="20"/>
                <w:color w:val="auto"/>
              </w:rPr>
            </w:pPr>
            <w:r>
              <w:rPr>
                <w:rFonts w:ascii="Calibri" w:cs="Calibri" w:eastAsia="Calibri" w:hAnsi="Calibri"/>
                <w:sz w:val="17"/>
                <w:szCs w:val="17"/>
                <w:color w:val="333333"/>
              </w:rPr>
              <w:t> Greenhill &amp; Co.</w:t>
            </w:r>
          </w:p>
        </w:tc>
        <w:tc>
          <w:tcPr>
            <w:tcW w:w="4180" w:type="dxa"/>
            <w:vAlign w:val="bottom"/>
          </w:tcPr>
          <w:p>
            <w:pPr>
              <w:jc w:val="center"/>
              <w:ind w:left="113"/>
              <w:spacing w:after="0" w:line="197" w:lineRule="exact"/>
              <w:rPr>
                <w:sz w:val="20"/>
                <w:szCs w:val="20"/>
                <w:color w:val="auto"/>
              </w:rPr>
            </w:pPr>
            <w:r>
              <w:rPr>
                <w:rFonts w:ascii="Calibri" w:cs="Calibri" w:eastAsia="Calibri" w:hAnsi="Calibri"/>
                <w:sz w:val="17"/>
                <w:szCs w:val="17"/>
                <w:color w:val="333333"/>
              </w:rPr>
              <w:t>Booz Allen Hamilton Holding Corporaton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tcBorders>
              <w:left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 Oppenheimer Holdings, Inc.</w:t>
            </w:r>
          </w:p>
        </w:tc>
        <w:tc>
          <w:tcPr>
            <w:tcW w:w="4180" w:type="dxa"/>
            <w:vAlign w:val="bottom"/>
            <w:shd w:val="clear" w:color="auto" w:fill="EFF2EF"/>
          </w:tcPr>
          <w:p>
            <w:pPr>
              <w:jc w:val="center"/>
              <w:ind w:left="133"/>
              <w:spacing w:after="0" w:line="203" w:lineRule="exact"/>
              <w:rPr>
                <w:sz w:val="20"/>
                <w:szCs w:val="20"/>
                <w:color w:val="auto"/>
              </w:rPr>
            </w:pPr>
            <w:r>
              <w:rPr>
                <w:rFonts w:ascii="Calibri" w:cs="Calibri" w:eastAsia="Calibri" w:hAnsi="Calibri"/>
                <w:sz w:val="17"/>
                <w:szCs w:val="17"/>
                <w:color w:val="333333"/>
              </w:rPr>
              <w:t>Exponent,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4980" w:type="dxa"/>
            <w:vAlign w:val="bottom"/>
            <w:tcBorders>
              <w:left w:val="single" w:sz="8" w:color="EFF2EF"/>
              <w:right w:val="single" w:sz="8" w:color="EFF2EF"/>
            </w:tcBorders>
            <w:shd w:val="clear" w:color="auto" w:fill="EFF2EF"/>
          </w:tcPr>
          <w:p>
            <w:pPr>
              <w:spacing w:after="0"/>
              <w:rPr>
                <w:sz w:val="5"/>
                <w:szCs w:val="5"/>
                <w:color w:val="auto"/>
              </w:rPr>
            </w:pPr>
          </w:p>
        </w:tc>
        <w:tc>
          <w:tcPr>
            <w:tcW w:w="41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tcPr>
          <w:p>
            <w:pPr>
              <w:spacing w:after="0" w:line="203" w:lineRule="exact"/>
              <w:rPr>
                <w:sz w:val="20"/>
                <w:szCs w:val="20"/>
                <w:color w:val="auto"/>
              </w:rPr>
            </w:pPr>
            <w:r>
              <w:rPr>
                <w:rFonts w:ascii="Calibri" w:cs="Calibri" w:eastAsia="Calibri" w:hAnsi="Calibri"/>
                <w:sz w:val="17"/>
                <w:szCs w:val="17"/>
                <w:color w:val="333333"/>
              </w:rPr>
              <w:t> Piper Sandler Companies</w:t>
            </w:r>
          </w:p>
        </w:tc>
        <w:tc>
          <w:tcPr>
            <w:tcW w:w="4180" w:type="dxa"/>
            <w:vAlign w:val="bottom"/>
          </w:tcPr>
          <w:p>
            <w:pPr>
              <w:jc w:val="center"/>
              <w:ind w:left="133"/>
              <w:spacing w:after="0" w:line="203" w:lineRule="exact"/>
              <w:rPr>
                <w:sz w:val="20"/>
                <w:szCs w:val="20"/>
                <w:color w:val="auto"/>
              </w:rPr>
            </w:pPr>
            <w:r>
              <w:rPr>
                <w:rFonts w:ascii="Calibri" w:cs="Calibri" w:eastAsia="Calibri" w:hAnsi="Calibri"/>
                <w:sz w:val="17"/>
                <w:szCs w:val="17"/>
                <w:color w:val="333333"/>
              </w:rPr>
              <w:t>ICF Internatonal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left w:val="single" w:sz="8" w:color="EFF2EF"/>
              <w:right w:val="single" w:sz="8" w:color="EFF2EF"/>
            </w:tcBorders>
            <w:shd w:val="clear" w:color="auto" w:fill="EFF2EF"/>
          </w:tcPr>
          <w:p>
            <w:pPr>
              <w:spacing w:after="0"/>
              <w:rPr>
                <w:sz w:val="17"/>
                <w:szCs w:val="17"/>
                <w:color w:val="auto"/>
              </w:rPr>
            </w:pPr>
          </w:p>
        </w:tc>
        <w:tc>
          <w:tcPr>
            <w:tcW w:w="4180" w:type="dxa"/>
            <w:vAlign w:val="bottom"/>
            <w:shd w:val="clear" w:color="auto" w:fill="EFF2EF"/>
          </w:tcPr>
          <w:p>
            <w:pPr>
              <w:jc w:val="center"/>
              <w:ind w:left="113"/>
              <w:spacing w:after="0" w:line="203" w:lineRule="exact"/>
              <w:rPr>
                <w:sz w:val="20"/>
                <w:szCs w:val="20"/>
                <w:color w:val="auto"/>
              </w:rPr>
            </w:pPr>
            <w:r>
              <w:rPr>
                <w:rFonts w:ascii="Calibri" w:cs="Calibri" w:eastAsia="Calibri" w:hAnsi="Calibri"/>
                <w:sz w:val="17"/>
                <w:szCs w:val="17"/>
                <w:color w:val="333333"/>
              </w:rPr>
              <w:t>Jeferies Financial Group,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980" w:type="dxa"/>
            <w:vAlign w:val="bottom"/>
            <w:tcBorders>
              <w:left w:val="single" w:sz="8" w:color="EFF2EF"/>
              <w:right w:val="single" w:sz="8" w:color="EFF2EF"/>
            </w:tcBorders>
            <w:shd w:val="clear" w:color="auto" w:fill="EFF2EF"/>
          </w:tcPr>
          <w:p>
            <w:pPr>
              <w:spacing w:after="0"/>
              <w:rPr>
                <w:sz w:val="5"/>
                <w:szCs w:val="5"/>
                <w:color w:val="auto"/>
              </w:rPr>
            </w:pPr>
          </w:p>
        </w:tc>
        <w:tc>
          <w:tcPr>
            <w:tcW w:w="418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180" w:type="dxa"/>
            <w:vAlign w:val="bottom"/>
          </w:tcPr>
          <w:p>
            <w:pPr>
              <w:jc w:val="center"/>
              <w:ind w:left="133"/>
              <w:spacing w:after="0" w:line="203" w:lineRule="exact"/>
              <w:rPr>
                <w:sz w:val="20"/>
                <w:szCs w:val="20"/>
                <w:color w:val="auto"/>
              </w:rPr>
            </w:pPr>
            <w:r>
              <w:rPr>
                <w:rFonts w:ascii="Calibri" w:cs="Calibri" w:eastAsia="Calibri" w:hAnsi="Calibri"/>
                <w:sz w:val="17"/>
                <w:szCs w:val="17"/>
                <w:color w:val="333333"/>
              </w:rPr>
              <w:t>LPL Financial Holdings,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0" w:right="40" w:hanging="433"/>
        <w:spacing w:after="0" w:line="232" w:lineRule="auto"/>
        <w:tabs>
          <w:tab w:leader="none" w:pos="600" w:val="left"/>
        </w:tabs>
        <w:numPr>
          <w:ilvl w:val="0"/>
          <w:numId w:val="115"/>
        </w:numPr>
        <w:rPr>
          <w:rFonts w:ascii="Calibri" w:cs="Calibri" w:eastAsia="Calibri" w:hAnsi="Calibri"/>
          <w:sz w:val="11"/>
          <w:szCs w:val="11"/>
          <w:color w:val="333333"/>
        </w:rPr>
      </w:pPr>
      <w:r>
        <w:rPr>
          <w:rFonts w:ascii="Calibri" w:cs="Calibri" w:eastAsia="Calibri" w:hAnsi="Calibri"/>
          <w:sz w:val="17"/>
          <w:szCs w:val="17"/>
          <w:color w:val="333333"/>
        </w:rPr>
        <w:t>The TSR of the prior peer group, based on the same $100 inital investment as in columns (e) and (f) was $132.72 for 2021. We have determined that Adjusted EPS is the fnancial performance measure that, in our assessment, represents the most important performance measure not otherwise required to be disclosed in the table that is used to link CAP for our NEOs for the most recently completed fscal year to Company performance.</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1"/>
          <w:szCs w:val="21"/>
          <w:b w:val="1"/>
          <w:bCs w:val="1"/>
          <w:color w:val="0591DB"/>
        </w:rPr>
        <w:t>Most Important Company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-141605</wp:posOffset>
            </wp:positionV>
            <wp:extent cx="6938010" cy="2120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38010" cy="212090"/>
                    </a:xfrm>
                    <a:prstGeom prst="rect">
                      <a:avLst/>
                    </a:prstGeom>
                    <a:noFill/>
                  </pic:spPr>
                </pic:pic>
              </a:graphicData>
            </a:graphic>
          </wp:anchor>
        </w:drawing>
      </w:r>
    </w:p>
    <w:p>
      <w:pPr>
        <w:spacing w:after="0" w:line="59"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 xml:space="preserve">Adjusted EPS </w:t>
      </w:r>
      <w:r>
        <w:rPr>
          <w:rFonts w:ascii="Calibri" w:cs="Calibri" w:eastAsia="Calibri" w:hAnsi="Calibri"/>
          <w:sz w:val="10"/>
          <w:szCs w:val="10"/>
          <w:color w:val="333333"/>
        </w:rPr>
        <w:t>(8)</w:t>
      </w:r>
    </w:p>
    <w:p>
      <w:pPr>
        <w:spacing w:after="0" w:line="6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 xml:space="preserve">Adjusted EBITDA </w:t>
      </w:r>
      <w:r>
        <w:rPr>
          <w:rFonts w:ascii="Calibri" w:cs="Calibri" w:eastAsia="Calibri" w:hAnsi="Calibri"/>
          <w:sz w:val="10"/>
          <w:szCs w:val="10"/>
          <w:color w:val="333333"/>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169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4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Total Shareholder Return</w:t>
      </w:r>
    </w:p>
    <w:p>
      <w:pPr>
        <w:spacing w:after="0" w:line="185" w:lineRule="exact"/>
        <w:rPr>
          <w:sz w:val="20"/>
          <w:szCs w:val="20"/>
          <w:color w:val="auto"/>
        </w:rPr>
      </w:pPr>
    </w:p>
    <w:p>
      <w:pPr>
        <w:ind w:left="600" w:right="40" w:hanging="433"/>
        <w:spacing w:after="0" w:line="232" w:lineRule="auto"/>
        <w:tabs>
          <w:tab w:leader="none" w:pos="600" w:val="left"/>
        </w:tabs>
        <w:numPr>
          <w:ilvl w:val="0"/>
          <w:numId w:val="116"/>
        </w:numPr>
        <w:rPr>
          <w:rFonts w:ascii="Calibri" w:cs="Calibri" w:eastAsia="Calibri" w:hAnsi="Calibri"/>
          <w:sz w:val="11"/>
          <w:szCs w:val="11"/>
          <w:color w:val="333333"/>
        </w:rPr>
      </w:pPr>
      <w:r>
        <w:rPr>
          <w:rFonts w:ascii="Calibri" w:cs="Calibri" w:eastAsia="Calibri" w:hAnsi="Calibri"/>
          <w:sz w:val="17"/>
          <w:szCs w:val="17"/>
          <w:color w:val="333333"/>
        </w:rPr>
        <w:t xml:space="preserve">See </w:t>
      </w:r>
      <w:r>
        <w:rPr>
          <w:rFonts w:ascii="Calibri" w:cs="Calibri" w:eastAsia="Calibri" w:hAnsi="Calibri"/>
          <w:sz w:val="17"/>
          <w:szCs w:val="17"/>
          <w:color w:val="0591DB"/>
        </w:rPr>
        <w:t>Appendix A</w:t>
      </w:r>
      <w:r>
        <w:rPr>
          <w:rFonts w:ascii="Calibri" w:cs="Calibri" w:eastAsia="Calibri" w:hAnsi="Calibri"/>
          <w:sz w:val="17"/>
          <w:szCs w:val="17"/>
          <w:color w:val="333333"/>
        </w:rPr>
        <w:t xml:space="preserve"> for the defnitons of Adjusted EPS and Adjusted EBITDA and other non-GAAP fnancial measures used for fnancial reportng purposes referred to in this CD&amp;A and the reconciliatons of non-GAAP fnancial measures to the most directly comparable GAAP fnancial measures, as well as the reasons management believes these non-GAAP fnancial measures provide useful informaton to investors. The Compensaton Commitee did not further adjust the Adjusted EPS fnancial performance metric defned in </w:t>
      </w:r>
      <w:r>
        <w:rPr>
          <w:rFonts w:ascii="Calibri" w:cs="Calibri" w:eastAsia="Calibri" w:hAnsi="Calibri"/>
          <w:sz w:val="17"/>
          <w:szCs w:val="17"/>
          <w:color w:val="0591DB"/>
        </w:rPr>
        <w:t>Appendix A</w:t>
      </w:r>
      <w:r>
        <w:rPr>
          <w:rFonts w:ascii="Calibri" w:cs="Calibri" w:eastAsia="Calibri" w:hAnsi="Calibri"/>
          <w:sz w:val="17"/>
          <w:szCs w:val="17"/>
          <w:color w:val="333333"/>
        </w:rPr>
        <w:t xml:space="preserve"> to determine 2025 AIP. See the secton of this CD&amp;A ttled “— 2025 Pay Outcomes — 2025 Annual Incentve Pay — Financial Metrics” beginning on </w:t>
      </w:r>
      <w:r>
        <w:rPr>
          <w:rFonts w:ascii="Calibri" w:cs="Calibri" w:eastAsia="Calibri" w:hAnsi="Calibri"/>
          <w:sz w:val="17"/>
          <w:szCs w:val="17"/>
          <w:color w:val="0591DB"/>
        </w:rPr>
        <w:t>page 68</w:t>
      </w:r>
      <w:r>
        <w:rPr>
          <w:rFonts w:ascii="Calibri" w:cs="Calibri" w:eastAsia="Calibri" w:hAnsi="Calibri"/>
          <w:sz w:val="17"/>
          <w:szCs w:val="17"/>
          <w:color w:val="333333"/>
        </w:rPr>
        <w:t xml:space="preserve"> and </w:t>
      </w:r>
      <w:r>
        <w:rPr>
          <w:rFonts w:ascii="Calibri" w:cs="Calibri" w:eastAsia="Calibri" w:hAnsi="Calibri"/>
          <w:sz w:val="17"/>
          <w:szCs w:val="17"/>
          <w:color w:val="0591DB"/>
        </w:rPr>
        <w:t>Appendix B</w:t>
      </w:r>
      <w:r>
        <w:rPr>
          <w:rFonts w:ascii="Calibri" w:cs="Calibri" w:eastAsia="Calibri" w:hAnsi="Calibri"/>
          <w:sz w:val="17"/>
          <w:szCs w:val="17"/>
          <w:color w:val="333333"/>
        </w:rPr>
        <w:t xml:space="preserve"> for the defnitons of the non-GAAP fnancial measures for determining 2025 AIP of our NEOs and the reconciliatons of such non-GAAP fnancial measures to the most directly comparable GAAP fnancial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-780415</wp:posOffset>
            </wp:positionV>
            <wp:extent cx="5124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2445"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-398145</wp:posOffset>
            </wp:positionV>
            <wp:extent cx="5124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2445" cy="825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-270510</wp:posOffset>
            </wp:positionV>
            <wp:extent cx="5086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123"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96</w:t>
      </w:r>
    </w:p>
    <w:p>
      <w:pPr>
        <w:sectPr>
          <w:pgSz w:w="11900" w:h="16838" w:orient="portrait"/>
          <w:cols w:equalWidth="0" w:num="1">
            <w:col w:w="11100"/>
          </w:cols>
          <w:pgMar w:left="320" w:top="478"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3" w:lineRule="auto"/>
        <w:rPr>
          <w:sz w:val="20"/>
          <w:szCs w:val="20"/>
          <w:color w:val="auto"/>
        </w:rPr>
      </w:pPr>
      <w:r>
        <w:rPr>
          <w:rFonts w:ascii="Calibri" w:cs="Calibri" w:eastAsia="Calibri" w:hAnsi="Calibri"/>
          <w:sz w:val="17"/>
          <w:szCs w:val="17"/>
          <w:color w:val="333333"/>
        </w:rPr>
        <w:t>The following chart provides a graphical representaton of the CAP to our CEO and the other NEOs compared with the Company’s fve-year cumulatve TSR, as well as the fve-year cumulatve TSR of our 2021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168910</wp:posOffset>
            </wp:positionV>
            <wp:extent cx="3244215" cy="15201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4421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following chart provides a graphical representaton of the CAP to our CEO and other NEOs compared with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168910</wp:posOffset>
            </wp:positionV>
            <wp:extent cx="3244215" cy="14776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44215" cy="147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following chart provides a graphical representaton of the CAP to our CEO and the other NEOs compared with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168910</wp:posOffset>
            </wp:positionV>
            <wp:extent cx="3244215" cy="14693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44215" cy="146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0" w:right="360" w:hanging="433"/>
        <w:spacing w:after="0"/>
        <w:tabs>
          <w:tab w:leader="none" w:pos="600" w:val="left"/>
        </w:tabs>
        <w:numPr>
          <w:ilvl w:val="0"/>
          <w:numId w:val="117"/>
        </w:numPr>
        <w:rPr>
          <w:rFonts w:ascii="Calibri" w:cs="Calibri" w:eastAsia="Calibri" w:hAnsi="Calibri"/>
          <w:sz w:val="11"/>
          <w:szCs w:val="11"/>
          <w:color w:val="333333"/>
        </w:rPr>
      </w:pPr>
      <w:r>
        <w:rPr>
          <w:rFonts w:ascii="Calibri" w:cs="Calibri" w:eastAsia="Calibri" w:hAnsi="Calibri"/>
          <w:sz w:val="17"/>
          <w:szCs w:val="17"/>
          <w:color w:val="333333"/>
        </w:rPr>
        <w:t xml:space="preserve">See </w:t>
      </w:r>
      <w:r>
        <w:rPr>
          <w:rFonts w:ascii="Calibri" w:cs="Calibri" w:eastAsia="Calibri" w:hAnsi="Calibri"/>
          <w:sz w:val="17"/>
          <w:szCs w:val="17"/>
          <w:u w:val="single" w:color="auto"/>
          <w:color w:val="0591DB"/>
        </w:rPr>
        <w:t>Appendix A</w:t>
      </w:r>
      <w:r>
        <w:rPr>
          <w:rFonts w:ascii="Calibri" w:cs="Calibri" w:eastAsia="Calibri" w:hAnsi="Calibri"/>
          <w:sz w:val="17"/>
          <w:szCs w:val="17"/>
          <w:color w:val="333333"/>
        </w:rPr>
        <w:t xml:space="preserve"> for the defnitons of Adjusted EPS used for fnancial reportng purposes referred to in this CD&amp;A and the reconciliatons of non-GAAP fnancial measures to the most directly comparable GAAP fnancial measures, as well as the reasons management believes these non-GAAP fnancial measures provide useful informaton to investors. The Compensaton Commitee did not further adjust the Adjusted EPS fnancial performance metric defned in </w:t>
      </w:r>
      <w:r>
        <w:rPr>
          <w:rFonts w:ascii="Calibri" w:cs="Calibri" w:eastAsia="Calibri" w:hAnsi="Calibri"/>
          <w:sz w:val="17"/>
          <w:szCs w:val="17"/>
          <w:u w:val="single" w:color="auto"/>
          <w:color w:val="0591DB"/>
        </w:rPr>
        <w:t>Appendix A</w:t>
      </w:r>
      <w:r>
        <w:rPr>
          <w:rFonts w:ascii="Calibri" w:cs="Calibri" w:eastAsia="Calibri" w:hAnsi="Calibri"/>
          <w:sz w:val="17"/>
          <w:szCs w:val="17"/>
          <w:color w:val="333333"/>
        </w:rPr>
        <w:t xml:space="preserve"> to determine 2025 AIP. See the secton of this CD&amp;A ttled “— 202</w:t>
      </w:r>
      <w:r>
        <w:rPr>
          <w:rFonts w:ascii="Calibri" w:cs="Calibri" w:eastAsia="Calibri" w:hAnsi="Calibri"/>
          <w:sz w:val="17"/>
          <w:szCs w:val="17"/>
          <w:color w:val="000000"/>
        </w:rPr>
        <w:t>5 Pay Outcomes — 2025</w:t>
      </w:r>
      <w:r>
        <w:rPr>
          <w:rFonts w:ascii="Calibri" w:cs="Calibri" w:eastAsia="Calibri" w:hAnsi="Calibri"/>
          <w:sz w:val="17"/>
          <w:szCs w:val="17"/>
          <w:color w:val="333333"/>
        </w:rPr>
        <w:t xml:space="preserve"> </w:t>
      </w:r>
      <w:r>
        <w:rPr>
          <w:rFonts w:ascii="Calibri" w:cs="Calibri" w:eastAsia="Calibri" w:hAnsi="Calibri"/>
          <w:sz w:val="17"/>
          <w:szCs w:val="17"/>
          <w:color w:val="000000"/>
        </w:rPr>
        <w:t xml:space="preserve">Annual Incentve Pay — Financial Metrics” beginning on </w:t>
      </w:r>
      <w:r>
        <w:rPr>
          <w:rFonts w:ascii="Calibri" w:cs="Calibri" w:eastAsia="Calibri" w:hAnsi="Calibri"/>
          <w:sz w:val="17"/>
          <w:szCs w:val="17"/>
          <w:color w:val="0591DB"/>
        </w:rPr>
        <w:t>page 68</w:t>
      </w:r>
      <w:r>
        <w:rPr>
          <w:rFonts w:ascii="Calibri" w:cs="Calibri" w:eastAsia="Calibri" w:hAnsi="Calibri"/>
          <w:sz w:val="17"/>
          <w:szCs w:val="17"/>
          <w:color w:val="000000"/>
        </w:rPr>
        <w:t xml:space="preserve"> </w:t>
      </w:r>
      <w:r>
        <w:rPr>
          <w:rFonts w:ascii="Calibri" w:cs="Calibri" w:eastAsia="Calibri" w:hAnsi="Calibri"/>
          <w:sz w:val="17"/>
          <w:szCs w:val="17"/>
          <w:color w:val="333333"/>
        </w:rPr>
        <w:t>and</w:t>
      </w:r>
      <w:r>
        <w:rPr>
          <w:rFonts w:ascii="Calibri" w:cs="Calibri" w:eastAsia="Calibri" w:hAnsi="Calibri"/>
          <w:sz w:val="17"/>
          <w:szCs w:val="17"/>
          <w:color w:val="000000"/>
        </w:rPr>
        <w:t xml:space="preserve"> </w:t>
      </w:r>
      <w:r>
        <w:rPr>
          <w:rFonts w:ascii="Calibri" w:cs="Calibri" w:eastAsia="Calibri" w:hAnsi="Calibri"/>
          <w:sz w:val="17"/>
          <w:szCs w:val="17"/>
          <w:u w:val="single" w:color="auto"/>
          <w:color w:val="0591DB"/>
        </w:rPr>
        <w:t>Appendix B</w:t>
      </w:r>
      <w:r>
        <w:rPr>
          <w:rFonts w:ascii="Calibri" w:cs="Calibri" w:eastAsia="Calibri" w:hAnsi="Calibri"/>
          <w:sz w:val="17"/>
          <w:szCs w:val="17"/>
          <w:color w:val="000000"/>
        </w:rPr>
        <w:t xml:space="preserve"> </w:t>
      </w:r>
      <w:r>
        <w:rPr>
          <w:rFonts w:ascii="Calibri" w:cs="Calibri" w:eastAsia="Calibri" w:hAnsi="Calibri"/>
          <w:sz w:val="17"/>
          <w:szCs w:val="17"/>
          <w:color w:val="333333"/>
        </w:rPr>
        <w:t>for the defnitons of the non-GAAP fnancial measures for</w:t>
      </w:r>
      <w:r>
        <w:rPr>
          <w:rFonts w:ascii="Calibri" w:cs="Calibri" w:eastAsia="Calibri" w:hAnsi="Calibri"/>
          <w:sz w:val="17"/>
          <w:szCs w:val="17"/>
          <w:color w:val="000000"/>
        </w:rPr>
        <w:t xml:space="preserve"> </w:t>
      </w:r>
      <w:r>
        <w:rPr>
          <w:rFonts w:ascii="Calibri" w:cs="Calibri" w:eastAsia="Calibri" w:hAnsi="Calibri"/>
          <w:sz w:val="17"/>
          <w:szCs w:val="17"/>
          <w:color w:val="333333"/>
        </w:rPr>
        <w:t>determining 2025 AIP of our NEOs and the reconciliatons of such non-GAAP fnancial measures to the most directly comparable GAAP fnancial measures.</w:t>
      </w:r>
    </w:p>
    <w:p>
      <w:pPr>
        <w:spacing w:after="0" w:line="302"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97</w:t>
      </w:r>
    </w:p>
    <w:p>
      <w:pPr>
        <w:sectPr>
          <w:pgSz w:w="11900" w:h="16838" w:orient="portrait"/>
          <w:cols w:equalWidth="0" w:num="1">
            <w:col w:w="11060"/>
          </w:cols>
          <w:pgMar w:left="320" w:top="478"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EMPLOYMENT AGREEMENTS AND TERMINATION AND CHANGE IN CONTROL PAYMENTS</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Employment Arrangements</w:t>
      </w:r>
    </w:p>
    <w:p>
      <w:pPr>
        <w:spacing w:after="0" w:line="212" w:lineRule="exact"/>
        <w:rPr>
          <w:sz w:val="20"/>
          <w:szCs w:val="20"/>
          <w:color w:val="auto"/>
        </w:rPr>
      </w:pPr>
    </w:p>
    <w:p>
      <w:pPr>
        <w:jc w:val="both"/>
        <w:ind w:left="160" w:right="80"/>
        <w:spacing w:after="0" w:line="232" w:lineRule="auto"/>
        <w:rPr>
          <w:sz w:val="20"/>
          <w:szCs w:val="20"/>
          <w:color w:val="auto"/>
        </w:rPr>
      </w:pPr>
      <w:r>
        <w:rPr>
          <w:rFonts w:ascii="Calibri" w:cs="Calibri" w:eastAsia="Calibri" w:hAnsi="Calibri"/>
          <w:sz w:val="17"/>
          <w:szCs w:val="17"/>
          <w:b w:val="1"/>
          <w:bCs w:val="1"/>
          <w:color w:val="333333"/>
        </w:rPr>
        <w:t xml:space="preserve">Steven H. Gunby. </w:t>
      </w:r>
      <w:r>
        <w:rPr>
          <w:rFonts w:ascii="Calibri" w:cs="Calibri" w:eastAsia="Calibri" w:hAnsi="Calibri"/>
          <w:sz w:val="17"/>
          <w:szCs w:val="17"/>
          <w:color w:val="333333"/>
        </w:rPr>
        <w:t>The Company and Steven H. Gunby are partes to the CEO Employment Agreement, which currently expires on June 6, 2029, subject to</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automatc renewal for successive one-year terms unless Mr. Gunby’s employment has been otherwise terminated or Mr. Gunby or the Company provides 120 days’ or 90 days’, respectvely, prior writen notce of non-renewal. The CEO Employment Agreement provides for payments upon certain terminaton events, subject to the executon of a release of claims (a “Release”), due to terminaton by the Company with and without “Cause,” terminaton by</w:t>
      </w:r>
    </w:p>
    <w:p>
      <w:pPr>
        <w:spacing w:after="0" w:line="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 xml:space="preserve">Mr. Gunby with and without “Good Reason,” or “Disability” (each, as defned in the CEO Employment Agreement) or death. The award agreements for LTIP equity awards granted for 2023 and later years provide for vestng upon retrement of the CEO. See the secton ttled “Informaton About Our Executve Ofcers And Compensaton — Compensaton Discussion And Analysis — Other Compensaton — Terminaton Payments” beginning on </w:t>
      </w:r>
      <w:r>
        <w:rPr>
          <w:rFonts w:ascii="Calibri" w:cs="Calibri" w:eastAsia="Calibri" w:hAnsi="Calibri"/>
          <w:sz w:val="17"/>
          <w:szCs w:val="17"/>
          <w:color w:val="0591DB"/>
        </w:rPr>
        <w:t>page 82</w:t>
      </w:r>
      <w:r>
        <w:rPr>
          <w:rFonts w:ascii="Calibri" w:cs="Calibri" w:eastAsia="Calibri" w:hAnsi="Calibri"/>
          <w:sz w:val="17"/>
          <w:szCs w:val="17"/>
          <w:color w:val="333333"/>
        </w:rPr>
        <w:t xml:space="preserve"> of this Proxy Statement for additonal informaton regarding payments to our CEO on certain terminaton events. The CEO Employment Agreement also provides that the CEO’s AIP threshold bonus opportunity will be not less than 75% and not more than 100% of base salary, AIP target bonus opportunity will be not less than 150% and not more than 200% of base salary, and AIP maximum bonus opportunity will be not less than 225% and not more than 300% of base salary. The CEO Employment Agreement includes provisions that provide for restrictons on competton for a period of 18 months following the last day of employment. During that period, the CEO Employment Agreement also provides that Mr. Gunby not (i) solicit any entty or person that has been a client, customer, employee, contractor or vendor of the Company to terminate its relatonship with the Company or (ii) interfere with any relatonship of the Company. Mr. Gunby also agrees not to use or disclose confdental or proprietary informaton of the Company in violaton of the CEO Employment Agreement.</w:t>
      </w:r>
    </w:p>
    <w:p>
      <w:pPr>
        <w:spacing w:after="0" w:line="343"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 xml:space="preserve">Paul Linton and Curts P. Lu. </w:t>
      </w:r>
      <w:r>
        <w:rPr>
          <w:rFonts w:ascii="Calibri" w:cs="Calibri" w:eastAsia="Calibri" w:hAnsi="Calibri"/>
          <w:sz w:val="17"/>
          <w:szCs w:val="17"/>
          <w:color w:val="333333"/>
        </w:rPr>
        <w:t>The Company entered into Ofcer Employment Leters with Mr. Linton and Mr. Lu. The Ofcer Employment Leters provide for</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 xml:space="preserve">at-will employment, subject to certain terms relatng to each ofcer’s applicable base salary, sign-on bonus, bonus opportunites and severance, and bonus protecton upon certain terminaton events. The Ofcer Employment Leters provide for payments upon certain terminaton events, subject to the executon of a Release, due to terminaton by the Company without “Cause,” terminaton by the applicable executve ofcer with “Good Reason,” or “Disability” (each, as defned in the applicable Ofcer Employment Leter) or death, or within 18 months following a “Change in Control” (as defned in the shareholder-approved equity compensaton plan then in efect). See the secton ttled “Informaton About Our Executve Ofcers And Compensaton — Compensaton Discussion And Analysis — Other Compensaton — Terminaton Payments” beginning on </w:t>
      </w:r>
      <w:r>
        <w:rPr>
          <w:rFonts w:ascii="Calibri" w:cs="Calibri" w:eastAsia="Calibri" w:hAnsi="Calibri"/>
          <w:sz w:val="17"/>
          <w:szCs w:val="17"/>
          <w:color w:val="0591DB"/>
        </w:rPr>
        <w:t>page 82</w:t>
      </w:r>
      <w:r>
        <w:rPr>
          <w:rFonts w:ascii="Calibri" w:cs="Calibri" w:eastAsia="Calibri" w:hAnsi="Calibri"/>
          <w:sz w:val="17"/>
          <w:szCs w:val="17"/>
          <w:color w:val="333333"/>
        </w:rPr>
        <w:t xml:space="preserve"> of this Proxy Statement for additonal informaton regarding payments to these NEOs on certain terminaton events. The Ofcer Employment Leters provide that the executve ofcers will not solicit any entty or person that has been a client, customer, employee, contractor or vendor of the Company to terminate its relatonship with the Company for a period of 12 months following the last day of the employment period. The executve ofcer also agrees not to use or disclose confdental or proprietary informaton of the Company in violaton of his or her Ofcer Employment Leter. Ms. Paul’s Ofer of Employment Leter, as amended from tme to tme, contained the same foregoing provisions, but was terminated on December 31, 2025 in connecton with her transiton to a senior advisory role.</w:t>
      </w:r>
    </w:p>
    <w:p>
      <w:pPr>
        <w:spacing w:after="0" w:line="332" w:lineRule="exact"/>
        <w:rPr>
          <w:sz w:val="20"/>
          <w:szCs w:val="20"/>
          <w:color w:val="auto"/>
        </w:rPr>
      </w:pPr>
    </w:p>
    <w:p>
      <w:pPr>
        <w:ind w:left="160" w:right="480"/>
        <w:spacing w:after="0" w:line="233" w:lineRule="auto"/>
        <w:rPr>
          <w:sz w:val="20"/>
          <w:szCs w:val="20"/>
          <w:color w:val="auto"/>
        </w:rPr>
      </w:pPr>
      <w:r>
        <w:rPr>
          <w:rFonts w:ascii="Calibri" w:cs="Calibri" w:eastAsia="Calibri" w:hAnsi="Calibri"/>
          <w:sz w:val="17"/>
          <w:szCs w:val="17"/>
          <w:b w:val="1"/>
          <w:bCs w:val="1"/>
          <w:color w:val="333333"/>
        </w:rPr>
        <w:t xml:space="preserve">Brendan J. Keatng. </w:t>
      </w:r>
      <w:r>
        <w:rPr>
          <w:rFonts w:ascii="Calibri" w:cs="Calibri" w:eastAsia="Calibri" w:hAnsi="Calibri"/>
          <w:sz w:val="17"/>
          <w:szCs w:val="17"/>
          <w:color w:val="333333"/>
        </w:rPr>
        <w:t>The Company entered into an Ofer Leter with Mr. Keatng. The Ofer Leter provides for at-will employment and payment of 12</w:t>
      </w:r>
      <w:r>
        <w:rPr>
          <w:rFonts w:ascii="Calibri" w:cs="Calibri" w:eastAsia="Calibri" w:hAnsi="Calibri"/>
          <w:sz w:val="17"/>
          <w:szCs w:val="17"/>
          <w:b w:val="1"/>
          <w:bCs w:val="1"/>
          <w:color w:val="333333"/>
        </w:rPr>
        <w:t xml:space="preserve"> </w:t>
      </w:r>
      <w:r>
        <w:rPr>
          <w:rFonts w:ascii="Calibri" w:cs="Calibri" w:eastAsia="Calibri" w:hAnsi="Calibri"/>
          <w:sz w:val="17"/>
          <w:szCs w:val="17"/>
          <w:color w:val="333333"/>
        </w:rPr>
        <w:t>months of base salary in the event of terminaton by the Company without “Cause.”</w:t>
      </w:r>
    </w:p>
    <w:p>
      <w:pPr>
        <w:spacing w:after="0" w:line="141"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98</w:t>
      </w:r>
    </w:p>
    <w:p>
      <w:pPr>
        <w:sectPr>
          <w:pgSz w:w="11900" w:h="16838" w:orient="portrait"/>
          <w:cols w:equalWidth="0" w:num="1">
            <w:col w:w="11060"/>
          </w:cols>
          <w:pgMar w:left="320" w:top="478" w:right="5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No Single Trigger Vestng of Equity Awards on a Change in Control</w:t>
      </w:r>
    </w:p>
    <w:p>
      <w:pPr>
        <w:spacing w:after="0" w:line="212" w:lineRule="exact"/>
        <w:rPr>
          <w:sz w:val="20"/>
          <w:szCs w:val="20"/>
          <w:color w:val="auto"/>
        </w:rPr>
      </w:pPr>
    </w:p>
    <w:p>
      <w:pPr>
        <w:ind w:left="160" w:right="160"/>
        <w:spacing w:after="0" w:line="232" w:lineRule="auto"/>
        <w:rPr>
          <w:sz w:val="20"/>
          <w:szCs w:val="20"/>
          <w:color w:val="auto"/>
        </w:rPr>
      </w:pPr>
      <w:r>
        <w:rPr>
          <w:rFonts w:ascii="Calibri" w:cs="Calibri" w:eastAsia="Calibri" w:hAnsi="Calibri"/>
          <w:sz w:val="17"/>
          <w:szCs w:val="17"/>
          <w:color w:val="333333"/>
        </w:rPr>
        <w:t>Equity awards granted on or afer June 3, 2015 are not subject to automatc “single trigger” vestng acceleraton upon a Change in Control. If within two years following a change in control, an NEO’s service with the Company or any of its afliates is involuntarily terminated by the Company or any of its afliates for any reason other than Cause or as a result of Disability or death, or pursuant to an NEO’s Good Reason terminaton right (which terms have the meanings assigned to them in the applicable NEO’s employment arrangements or the applicable equity award agreement), all outstanding equity awards granted to such NEO that have not theretofore vested shall immediately vest and become exercisable, and all restrictons on such equity awards shall immediately lapse.</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Terminaton Payments</w:t>
      </w:r>
    </w:p>
    <w:p>
      <w:pPr>
        <w:spacing w:after="0" w:line="21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As noted above, the CEO and other NEOs will receive certain payments and benefts upon certain qualifying terminatons of employment. We believe that it is in the best interests of the Company to provide for such terminaton payments and benefts as they te the interests of the NEOs to those of the Company, secure the services of the NEOs and serve as a deterrent to an NEO voluntarily leaving the Company’s employ. In additon, they may serve as consideraton for the agreements of certain NEOs not to compete with the Company, not to solicit employees and clients of the Company, and not to use or disclose proprietary informaton of the Company. The following schedule and corresponding footnotes contain more details regarding the potental amounts and benefts payable upon various qualifying terminatons of employment and the circumstances upon which such amounts and benefts are payable.</w:t>
      </w:r>
    </w:p>
    <w:p>
      <w:pPr>
        <w:spacing w:after="0" w:line="302" w:lineRule="exact"/>
        <w:rPr>
          <w:sz w:val="20"/>
          <w:szCs w:val="20"/>
          <w:color w:val="auto"/>
        </w:rPr>
      </w:pPr>
    </w:p>
    <w:p>
      <w:pPr>
        <w:jc w:val="center"/>
        <w:ind w:right="-259"/>
        <w:spacing w:after="0"/>
        <w:rPr>
          <w:sz w:val="20"/>
          <w:szCs w:val="20"/>
          <w:color w:val="auto"/>
        </w:rPr>
      </w:pPr>
      <w:r>
        <w:rPr>
          <w:rFonts w:ascii="Calibri" w:cs="Calibri" w:eastAsia="Calibri" w:hAnsi="Calibri"/>
          <w:sz w:val="17"/>
          <w:szCs w:val="17"/>
          <w:color w:val="333333"/>
        </w:rPr>
        <w:t>99</w:t>
      </w:r>
    </w:p>
    <w:p>
      <w:pPr>
        <w:sectPr>
          <w:pgSz w:w="11900" w:h="16838" w:orient="portrait"/>
          <w:cols w:equalWidth="0" w:num="1">
            <w:col w:w="11000"/>
          </w:cols>
          <w:pgMar w:left="320" w:top="478" w:right="5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Terminaton and Change in Control Payment Amounts</w:t>
      </w:r>
    </w:p>
    <w:p>
      <w:pPr>
        <w:spacing w:after="0" w:line="212"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The following table sets forth the payments that may be received by each of our CEO and each other of our NEOs as if his or her employment terminated for any of the listed reasons (other than for the CEO’s retrement) as of December 31, 2025. Mr. Sabherwal voluntarily resigned efectve September 12, 2025 and, upon his resignaton, Mr. Sabherwal received his accrued base salary and accrued, vested benefts but did not receive any other severance payments or benefts.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100" w:type="dxa"/>
            <w:vAlign w:val="bottom"/>
            <w:tcBorders>
              <w:top w:val="single" w:sz="8" w:color="0591DB"/>
              <w:left w:val="single" w:sz="8" w:color="0591DB"/>
              <w:right w:val="single" w:sz="8" w:color="0591DB"/>
            </w:tcBorders>
          </w:tcPr>
          <w:p>
            <w:pPr>
              <w:spacing w:after="0"/>
              <w:rPr>
                <w:sz w:val="16"/>
                <w:szCs w:val="16"/>
                <w:color w:val="auto"/>
              </w:rPr>
            </w:pPr>
          </w:p>
        </w:tc>
        <w:tc>
          <w:tcPr>
            <w:tcW w:w="220" w:type="dxa"/>
            <w:vAlign w:val="bottom"/>
            <w:tcBorders>
              <w:top w:val="single" w:sz="8" w:color="0591DB"/>
            </w:tcBorders>
          </w:tcPr>
          <w:p>
            <w:pPr>
              <w:spacing w:after="0"/>
              <w:rPr>
                <w:sz w:val="16"/>
                <w:szCs w:val="16"/>
                <w:color w:val="auto"/>
              </w:rPr>
            </w:pPr>
          </w:p>
        </w:tc>
        <w:tc>
          <w:tcPr>
            <w:tcW w:w="980" w:type="dxa"/>
            <w:vAlign w:val="bottom"/>
            <w:tcBorders>
              <w:top w:val="single" w:sz="8" w:color="0591DB"/>
            </w:tcBorders>
          </w:tcPr>
          <w:p>
            <w:pPr>
              <w:spacing w:after="0"/>
              <w:rPr>
                <w:sz w:val="16"/>
                <w:szCs w:val="16"/>
                <w:color w:val="auto"/>
              </w:rPr>
            </w:pPr>
          </w:p>
        </w:tc>
        <w:tc>
          <w:tcPr>
            <w:tcW w:w="260" w:type="dxa"/>
            <w:vAlign w:val="bottom"/>
            <w:tcBorders>
              <w:top w:val="single" w:sz="8" w:color="0591DB"/>
              <w:right w:val="single" w:sz="8" w:color="0591DB"/>
            </w:tcBorders>
          </w:tcPr>
          <w:p>
            <w:pPr>
              <w:spacing w:after="0"/>
              <w:rPr>
                <w:sz w:val="16"/>
                <w:szCs w:val="16"/>
                <w:color w:val="auto"/>
              </w:rPr>
            </w:pPr>
          </w:p>
        </w:tc>
        <w:tc>
          <w:tcPr>
            <w:tcW w:w="240" w:type="dxa"/>
            <w:vAlign w:val="bottom"/>
            <w:tcBorders>
              <w:top w:val="single" w:sz="8" w:color="0591DB"/>
            </w:tcBorders>
          </w:tcPr>
          <w:p>
            <w:pPr>
              <w:spacing w:after="0"/>
              <w:rPr>
                <w:sz w:val="16"/>
                <w:szCs w:val="16"/>
                <w:color w:val="auto"/>
              </w:rPr>
            </w:pPr>
          </w:p>
        </w:tc>
        <w:tc>
          <w:tcPr>
            <w:tcW w:w="1460" w:type="dxa"/>
            <w:vAlign w:val="bottom"/>
            <w:tcBorders>
              <w:top w:val="single" w:sz="8" w:color="0591DB"/>
            </w:tcBorders>
          </w:tcPr>
          <w:p>
            <w:pPr>
              <w:spacing w:after="0"/>
              <w:rPr>
                <w:sz w:val="16"/>
                <w:szCs w:val="16"/>
                <w:color w:val="auto"/>
              </w:rPr>
            </w:pPr>
          </w:p>
        </w:tc>
        <w:tc>
          <w:tcPr>
            <w:tcW w:w="280" w:type="dxa"/>
            <w:vAlign w:val="bottom"/>
            <w:tcBorders>
              <w:top w:val="single" w:sz="8" w:color="0591DB"/>
              <w:right w:val="single" w:sz="8" w:color="0591DB"/>
            </w:tcBorders>
          </w:tcPr>
          <w:p>
            <w:pPr>
              <w:spacing w:after="0"/>
              <w:rPr>
                <w:sz w:val="16"/>
                <w:szCs w:val="16"/>
                <w:color w:val="auto"/>
              </w:rPr>
            </w:pPr>
          </w:p>
        </w:tc>
        <w:tc>
          <w:tcPr>
            <w:tcW w:w="220" w:type="dxa"/>
            <w:vAlign w:val="bottom"/>
            <w:tcBorders>
              <w:top w:val="single" w:sz="8" w:color="0591DB"/>
            </w:tcBorders>
          </w:tcPr>
          <w:p>
            <w:pPr>
              <w:spacing w:after="0"/>
              <w:rPr>
                <w:sz w:val="16"/>
                <w:szCs w:val="16"/>
                <w:color w:val="auto"/>
              </w:rPr>
            </w:pPr>
          </w:p>
        </w:tc>
        <w:tc>
          <w:tcPr>
            <w:tcW w:w="1420" w:type="dxa"/>
            <w:vAlign w:val="bottom"/>
            <w:tcBorders>
              <w:top w:val="single" w:sz="8" w:color="0591DB"/>
            </w:tcBorders>
          </w:tcPr>
          <w:p>
            <w:pPr>
              <w:spacing w:after="0"/>
              <w:rPr>
                <w:sz w:val="16"/>
                <w:szCs w:val="16"/>
                <w:color w:val="auto"/>
              </w:rPr>
            </w:pPr>
          </w:p>
        </w:tc>
        <w:tc>
          <w:tcPr>
            <w:tcW w:w="280" w:type="dxa"/>
            <w:vAlign w:val="bottom"/>
            <w:tcBorders>
              <w:top w:val="single" w:sz="8" w:color="0591DB"/>
              <w:right w:val="single" w:sz="8" w:color="0591DB"/>
            </w:tcBorders>
          </w:tcPr>
          <w:p>
            <w:pPr>
              <w:spacing w:after="0"/>
              <w:rPr>
                <w:sz w:val="16"/>
                <w:szCs w:val="16"/>
                <w:color w:val="auto"/>
              </w:rPr>
            </w:pPr>
          </w:p>
        </w:tc>
        <w:tc>
          <w:tcPr>
            <w:tcW w:w="240" w:type="dxa"/>
            <w:vAlign w:val="bottom"/>
            <w:tcBorders>
              <w:top w:val="single" w:sz="8" w:color="0591DB"/>
            </w:tcBorders>
          </w:tcPr>
          <w:p>
            <w:pPr>
              <w:spacing w:after="0"/>
              <w:rPr>
                <w:sz w:val="16"/>
                <w:szCs w:val="16"/>
                <w:color w:val="auto"/>
              </w:rPr>
            </w:pPr>
          </w:p>
        </w:tc>
        <w:tc>
          <w:tcPr>
            <w:tcW w:w="1720" w:type="dxa"/>
            <w:vAlign w:val="bottom"/>
            <w:tcBorders>
              <w:top w:val="single" w:sz="8" w:color="0591DB"/>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7"/>
              </w:rPr>
              <w:t>TERMINATION BY THE</w:t>
            </w:r>
          </w:p>
        </w:tc>
        <w:tc>
          <w:tcPr>
            <w:tcW w:w="260" w:type="dxa"/>
            <w:vAlign w:val="bottom"/>
            <w:tcBorders>
              <w:top w:val="single" w:sz="8" w:color="0591DB"/>
            </w:tcBorders>
          </w:tcPr>
          <w:p>
            <w:pPr>
              <w:spacing w:after="0"/>
              <w:rPr>
                <w:sz w:val="16"/>
                <w:szCs w:val="16"/>
                <w:color w:val="auto"/>
              </w:rPr>
            </w:pPr>
          </w:p>
        </w:tc>
        <w:tc>
          <w:tcPr>
            <w:tcW w:w="960" w:type="dxa"/>
            <w:vAlign w:val="bottom"/>
            <w:tcBorders>
              <w:top w:val="single" w:sz="8" w:color="0591DB"/>
            </w:tcBorders>
          </w:tcPr>
          <w:p>
            <w:pPr>
              <w:spacing w:after="0"/>
              <w:rPr>
                <w:sz w:val="16"/>
                <w:szCs w:val="16"/>
                <w:color w:val="auto"/>
              </w:rPr>
            </w:pPr>
          </w:p>
        </w:tc>
        <w:tc>
          <w:tcPr>
            <w:tcW w:w="280" w:type="dxa"/>
            <w:vAlign w:val="bottom"/>
            <w:tcBorders>
              <w:top w:val="single" w:sz="8" w:color="0591DB"/>
              <w:right w:val="single" w:sz="8" w:color="0591DB"/>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Borders>
              <w:left w:val="single" w:sz="8" w:color="0591DB"/>
              <w:right w:val="single" w:sz="8" w:color="0591DB"/>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Borders>
              <w:right w:val="single" w:sz="8" w:color="0591DB"/>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right w:val="single" w:sz="8" w:color="0591DB"/>
            </w:tcBorders>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right w:val="single" w:sz="8" w:color="0591DB"/>
            </w:tcBorders>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Borders>
              <w:right w:val="single" w:sz="8" w:color="0591DB"/>
            </w:tcBorders>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0591DB"/>
              </w:rPr>
              <w:t>COMPANY WITHOUT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Borders>
              <w:right w:val="single" w:sz="8" w:color="0591DB"/>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CAUSE OR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7"/>
              </w:rPr>
              <w:t>TERMINATION BY THE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EXECUTIVE OFFICER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w w:val="99"/>
              </w:rPr>
              <w:t>TERMINATION</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9"/>
              </w:rPr>
              <w:t>DUE TO RETIREMENT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w w:val="99"/>
              </w:rPr>
              <w:t>BY THE COMPANY</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COINCIDENT WITH</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rPr>
              <w:t>WITHOUT CAUSE OR</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OR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w w:val="99"/>
              </w:rPr>
              <w:t>BY THE EXECUTIVE</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FOLLOWING A</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8"/>
              </w:rPr>
              <w:t>VOLUNTARY</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rPr>
              <w:t>OFFICER WITH GOOD</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CHANGE IN CONTROL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6"/>
                <w:szCs w:val="16"/>
                <w:b w:val="1"/>
                <w:bCs w:val="1"/>
                <w:color w:val="0591DB"/>
                <w:w w:val="97"/>
              </w:rPr>
              <w:t>TERMINATION</w:t>
            </w: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9"/>
              </w:rPr>
              <w:t>TERMINATION BY THE</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rPr>
              <w:t>REASON OR DUE TO</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6"/>
              </w:rPr>
              <w:t>OR BY THE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6"/>
                <w:szCs w:val="16"/>
                <w:b w:val="1"/>
                <w:bCs w:val="1"/>
                <w:color w:val="0591DB"/>
                <w:w w:val="98"/>
              </w:rPr>
              <w:t>BY THE</w:t>
            </w: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rPr>
              <w:t>EXECUTIVE OFFICER</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rPr>
              <w:t>RETIREMENT PRIOR</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8"/>
              </w:rPr>
              <w:t>EXECUTIVE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left w:val="single" w:sz="8" w:color="0591DB"/>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6"/>
                <w:szCs w:val="16"/>
                <w:b w:val="1"/>
                <w:bCs w:val="1"/>
                <w:color w:val="0591DB"/>
                <w:w w:val="99"/>
              </w:rPr>
              <w:t>COMPANY</w:t>
            </w:r>
          </w:p>
        </w:tc>
        <w:tc>
          <w:tcPr>
            <w:tcW w:w="26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rPr>
              <w:t>WITHOUT GOOD</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w w:val="99"/>
              </w:rPr>
              <w:t>TO A CHANGE IN</w:t>
            </w:r>
          </w:p>
        </w:tc>
        <w:tc>
          <w:tcPr>
            <w:tcW w:w="280" w:type="dxa"/>
            <w:vAlign w:val="bottom"/>
            <w:tcBorders>
              <w:right w:val="single" w:sz="8" w:color="0591DB"/>
            </w:tcBorders>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rPr>
              <w:t>OFFICER WITH</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Calibri" w:cs="Calibri" w:eastAsia="Calibri" w:hAnsi="Calibri"/>
                <w:sz w:val="16"/>
                <w:szCs w:val="16"/>
                <w:b w:val="1"/>
                <w:bCs w:val="1"/>
                <w:color w:val="0591DB"/>
              </w:rPr>
              <w:t>DISABILITY OR</w:t>
            </w:r>
          </w:p>
        </w:tc>
        <w:tc>
          <w:tcPr>
            <w:tcW w:w="280" w:type="dxa"/>
            <w:vAlign w:val="bottom"/>
            <w:tcBorders>
              <w:right w:val="single" w:sz="8" w:color="0591DB"/>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Borders>
              <w:left w:val="single" w:sz="8" w:color="0591DB"/>
              <w:right w:val="single" w:sz="8" w:color="0591DB"/>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Calibri" w:cs="Calibri" w:eastAsia="Calibri" w:hAnsi="Calibri"/>
                <w:sz w:val="16"/>
                <w:szCs w:val="16"/>
                <w:b w:val="1"/>
                <w:bCs w:val="1"/>
                <w:color w:val="0591DB"/>
                <w:w w:val="98"/>
              </w:rPr>
              <w:t>FOR CAUSE</w:t>
            </w:r>
          </w:p>
        </w:tc>
        <w:tc>
          <w:tcPr>
            <w:tcW w:w="260" w:type="dxa"/>
            <w:vAlign w:val="bottom"/>
            <w:tcBorders>
              <w:right w:val="single" w:sz="8" w:color="0591DB"/>
            </w:tcBorders>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7"/>
              </w:rPr>
              <w:t>REASON</w:t>
            </w:r>
          </w:p>
        </w:tc>
        <w:tc>
          <w:tcPr>
            <w:tcW w:w="220" w:type="dxa"/>
            <w:vAlign w:val="bottom"/>
          </w:tcPr>
          <w:p>
            <w:pPr>
              <w:spacing w:after="0"/>
              <w:rPr>
                <w:sz w:val="18"/>
                <w:szCs w:val="18"/>
                <w:color w:val="auto"/>
              </w:rPr>
            </w:pPr>
          </w:p>
        </w:tc>
        <w:tc>
          <w:tcPr>
            <w:tcW w:w="1420" w:type="dxa"/>
            <w:vAlign w:val="bottom"/>
          </w:tcPr>
          <w:p>
            <w:pPr>
              <w:jc w:val="center"/>
              <w:spacing w:after="0" w:line="209" w:lineRule="exact"/>
              <w:rPr>
                <w:sz w:val="20"/>
                <w:szCs w:val="20"/>
                <w:color w:val="auto"/>
              </w:rPr>
            </w:pPr>
            <w:r>
              <w:rPr>
                <w:rFonts w:ascii="Calibri" w:cs="Calibri" w:eastAsia="Calibri" w:hAnsi="Calibri"/>
                <w:sz w:val="15"/>
                <w:szCs w:val="15"/>
                <w:b w:val="1"/>
                <w:bCs w:val="1"/>
                <w:color w:val="0591DB"/>
              </w:rPr>
              <w:t xml:space="preserve">CONTROL </w:t>
            </w:r>
            <w:r>
              <w:rPr>
                <w:rFonts w:ascii="Calibri" w:cs="Calibri" w:eastAsia="Calibri" w:hAnsi="Calibri"/>
                <w:sz w:val="22"/>
                <w:szCs w:val="22"/>
                <w:b w:val="1"/>
                <w:bCs w:val="1"/>
                <w:color w:val="0591DB"/>
                <w:vertAlign w:val="superscript"/>
              </w:rPr>
              <w:t>(1)</w:t>
            </w:r>
          </w:p>
        </w:tc>
        <w:tc>
          <w:tcPr>
            <w:tcW w:w="280" w:type="dxa"/>
            <w:vAlign w:val="bottom"/>
            <w:tcBorders>
              <w:right w:val="single" w:sz="8" w:color="0591DB"/>
            </w:tcBorders>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right w:val="single" w:sz="8" w:color="0591DB"/>
            </w:tcBorders>
            <w:gridSpan w:val="2"/>
          </w:tcPr>
          <w:p>
            <w:pPr>
              <w:jc w:val="center"/>
              <w:ind w:right="280"/>
              <w:spacing w:after="0" w:line="209" w:lineRule="exact"/>
              <w:rPr>
                <w:sz w:val="20"/>
                <w:szCs w:val="20"/>
                <w:color w:val="auto"/>
              </w:rPr>
            </w:pPr>
            <w:r>
              <w:rPr>
                <w:rFonts w:ascii="Calibri" w:cs="Calibri" w:eastAsia="Calibri" w:hAnsi="Calibri"/>
                <w:sz w:val="15"/>
                <w:szCs w:val="15"/>
                <w:b w:val="1"/>
                <w:bCs w:val="1"/>
                <w:color w:val="0591DB"/>
              </w:rPr>
              <w:t xml:space="preserve">GOOD REASON </w:t>
            </w:r>
            <w:r>
              <w:rPr>
                <w:rFonts w:ascii="Calibri" w:cs="Calibri" w:eastAsia="Calibri" w:hAnsi="Calibri"/>
                <w:sz w:val="22"/>
                <w:szCs w:val="22"/>
                <w:b w:val="1"/>
                <w:bCs w:val="1"/>
                <w:color w:val="0591DB"/>
                <w:vertAlign w:val="superscript"/>
              </w:rPr>
              <w:t>(1)</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Calibri" w:cs="Calibri" w:eastAsia="Calibri" w:hAnsi="Calibri"/>
                <w:sz w:val="16"/>
                <w:szCs w:val="16"/>
                <w:b w:val="1"/>
                <w:bCs w:val="1"/>
                <w:color w:val="0591DB"/>
                <w:w w:val="96"/>
              </w:rPr>
              <w:t>DEATH</w:t>
            </w:r>
          </w:p>
        </w:tc>
        <w:tc>
          <w:tcPr>
            <w:tcW w:w="280" w:type="dxa"/>
            <w:vAlign w:val="bottom"/>
            <w:tcBorders>
              <w:right w:val="single" w:sz="8" w:color="0591DB"/>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Borders>
              <w:left w:val="single" w:sz="8" w:color="0591DB"/>
              <w:right w:val="single" w:sz="8" w:color="0591DB"/>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w w:val="99"/>
              </w:rPr>
              <w:t>($)</w:t>
            </w:r>
          </w:p>
        </w:tc>
        <w:tc>
          <w:tcPr>
            <w:tcW w:w="260" w:type="dxa"/>
            <w:vAlign w:val="bottom"/>
            <w:tcBorders>
              <w:right w:val="single" w:sz="8" w:color="0591DB"/>
            </w:tcBorders>
          </w:tcPr>
          <w:p>
            <w:pPr>
              <w:spacing w:after="0"/>
              <w:rPr>
                <w:sz w:val="16"/>
                <w:szCs w:val="16"/>
                <w:color w:val="auto"/>
              </w:rPr>
            </w:pPr>
          </w:p>
        </w:tc>
        <w:tc>
          <w:tcPr>
            <w:tcW w:w="1700" w:type="dxa"/>
            <w:vAlign w:val="bottom"/>
            <w:gridSpan w:val="2"/>
          </w:tcPr>
          <w:p>
            <w:pPr>
              <w:jc w:val="center"/>
              <w:ind w:left="160"/>
              <w:spacing w:after="0" w:line="193" w:lineRule="exact"/>
              <w:rPr>
                <w:sz w:val="20"/>
                <w:szCs w:val="20"/>
                <w:color w:val="auto"/>
              </w:rPr>
            </w:pPr>
            <w:r>
              <w:rPr>
                <w:rFonts w:ascii="Calibri" w:cs="Calibri" w:eastAsia="Calibri" w:hAnsi="Calibri"/>
                <w:sz w:val="16"/>
                <w:szCs w:val="16"/>
                <w:b w:val="1"/>
                <w:bCs w:val="1"/>
                <w:color w:val="0591DB"/>
                <w:w w:val="99"/>
              </w:rPr>
              <w:t>($)</w:t>
            </w:r>
          </w:p>
        </w:tc>
        <w:tc>
          <w:tcPr>
            <w:tcW w:w="280" w:type="dxa"/>
            <w:vAlign w:val="bottom"/>
            <w:tcBorders>
              <w:right w:val="single" w:sz="8" w:color="0591DB"/>
            </w:tcBorders>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w w:val="99"/>
              </w:rPr>
              <w:t>($)</w:t>
            </w:r>
          </w:p>
        </w:tc>
        <w:tc>
          <w:tcPr>
            <w:tcW w:w="280" w:type="dxa"/>
            <w:vAlign w:val="bottom"/>
            <w:tcBorders>
              <w:right w:val="single" w:sz="8" w:color="0591DB"/>
            </w:tcBorders>
          </w:tcPr>
          <w:p>
            <w:pPr>
              <w:spacing w:after="0"/>
              <w:rPr>
                <w:sz w:val="16"/>
                <w:szCs w:val="16"/>
                <w:color w:val="auto"/>
              </w:rPr>
            </w:pPr>
          </w:p>
        </w:tc>
        <w:tc>
          <w:tcPr>
            <w:tcW w:w="1680" w:type="dxa"/>
            <w:vAlign w:val="bottom"/>
            <w:gridSpan w:val="2"/>
          </w:tcPr>
          <w:p>
            <w:pPr>
              <w:jc w:val="center"/>
              <w:ind w:left="160"/>
              <w:spacing w:after="0" w:line="193" w:lineRule="exact"/>
              <w:rPr>
                <w:sz w:val="20"/>
                <w:szCs w:val="20"/>
                <w:color w:val="auto"/>
              </w:rPr>
            </w:pPr>
            <w:r>
              <w:rPr>
                <w:rFonts w:ascii="Calibri" w:cs="Calibri" w:eastAsia="Calibri" w:hAnsi="Calibri"/>
                <w:sz w:val="16"/>
                <w:szCs w:val="16"/>
                <w:b w:val="1"/>
                <w:bCs w:val="1"/>
                <w:color w:val="0591DB"/>
              </w:rPr>
              <w:t>($)</w:t>
            </w:r>
          </w:p>
        </w:tc>
        <w:tc>
          <w:tcPr>
            <w:tcW w:w="280" w:type="dxa"/>
            <w:vAlign w:val="bottom"/>
            <w:tcBorders>
              <w:right w:val="single" w:sz="8" w:color="0591DB"/>
            </w:tcBorders>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w w:val="99"/>
              </w:rPr>
              <w:t>($)</w:t>
            </w:r>
          </w:p>
        </w:tc>
        <w:tc>
          <w:tcPr>
            <w:tcW w:w="280" w:type="dxa"/>
            <w:vAlign w:val="bottom"/>
            <w:tcBorders>
              <w:right w:val="single" w:sz="8" w:color="0591DB"/>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00" w:type="dxa"/>
            <w:vAlign w:val="bottom"/>
            <w:tcBorders>
              <w:left w:val="single" w:sz="8" w:color="0591DB"/>
              <w:right w:val="single" w:sz="8" w:color="0591DB"/>
            </w:tcBorders>
          </w:tcPr>
          <w:p>
            <w:pPr>
              <w:ind w:left="140"/>
              <w:spacing w:after="0"/>
              <w:rPr>
                <w:sz w:val="20"/>
                <w:szCs w:val="20"/>
                <w:color w:val="auto"/>
              </w:rPr>
            </w:pPr>
            <w:r>
              <w:rPr>
                <w:rFonts w:ascii="Calibri" w:cs="Calibri" w:eastAsia="Calibri" w:hAnsi="Calibri"/>
                <w:sz w:val="16"/>
                <w:szCs w:val="16"/>
                <w:b w:val="1"/>
                <w:bCs w:val="1"/>
                <w:color w:val="0591DB"/>
              </w:rPr>
              <w:t> NAME</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Calibri" w:cs="Calibri" w:eastAsia="Calibri" w:hAnsi="Calibri"/>
                <w:sz w:val="16"/>
                <w:szCs w:val="16"/>
                <w:b w:val="1"/>
                <w:bCs w:val="1"/>
                <w:color w:val="0591DB"/>
              </w:rPr>
              <w:t>(a)</w:t>
            </w:r>
          </w:p>
        </w:tc>
        <w:tc>
          <w:tcPr>
            <w:tcW w:w="260" w:type="dxa"/>
            <w:vAlign w:val="bottom"/>
            <w:tcBorders>
              <w:right w:val="single" w:sz="8" w:color="0591DB"/>
            </w:tcBorders>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6"/>
              </w:rPr>
              <w:t>(b)</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Calibri" w:cs="Calibri" w:eastAsia="Calibri" w:hAnsi="Calibri"/>
                <w:sz w:val="16"/>
                <w:szCs w:val="16"/>
                <w:b w:val="1"/>
                <w:bCs w:val="1"/>
                <w:color w:val="0591DB"/>
                <w:w w:val="96"/>
              </w:rPr>
              <w:t>(b)</w:t>
            </w:r>
          </w:p>
        </w:tc>
        <w:tc>
          <w:tcPr>
            <w:tcW w:w="280" w:type="dxa"/>
            <w:vAlign w:val="bottom"/>
            <w:tcBorders>
              <w:right w:val="single" w:sz="8" w:color="0591DB"/>
            </w:tcBorders>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5"/>
              </w:rPr>
              <w:t>(c)</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Calibri" w:cs="Calibri" w:eastAsia="Calibri" w:hAnsi="Calibri"/>
                <w:sz w:val="16"/>
                <w:szCs w:val="16"/>
                <w:b w:val="1"/>
                <w:bCs w:val="1"/>
                <w:color w:val="0591DB"/>
                <w:w w:val="96"/>
              </w:rPr>
              <w:t>(d)</w:t>
            </w:r>
          </w:p>
        </w:tc>
        <w:tc>
          <w:tcPr>
            <w:tcW w:w="280" w:type="dxa"/>
            <w:vAlign w:val="bottom"/>
            <w:tcBorders>
              <w:right w:val="single" w:sz="8" w:color="0591DB"/>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Borders>
              <w:left w:val="single" w:sz="8" w:color="0591DB"/>
              <w:bottom w:val="single" w:sz="8" w:color="0591DB"/>
              <w:right w:val="single" w:sz="8" w:color="0591DB"/>
            </w:tcBorders>
          </w:tcPr>
          <w:p>
            <w:pPr>
              <w:spacing w:after="0"/>
              <w:rPr>
                <w:sz w:val="2"/>
                <w:szCs w:val="2"/>
                <w:color w:val="auto"/>
              </w:rPr>
            </w:pPr>
          </w:p>
        </w:tc>
        <w:tc>
          <w:tcPr>
            <w:tcW w:w="220" w:type="dxa"/>
            <w:vAlign w:val="bottom"/>
            <w:tcBorders>
              <w:bottom w:val="single" w:sz="8" w:color="0591DB"/>
            </w:tcBorders>
          </w:tcPr>
          <w:p>
            <w:pPr>
              <w:spacing w:after="0"/>
              <w:rPr>
                <w:sz w:val="2"/>
                <w:szCs w:val="2"/>
                <w:color w:val="auto"/>
              </w:rPr>
            </w:pPr>
          </w:p>
        </w:tc>
        <w:tc>
          <w:tcPr>
            <w:tcW w:w="980" w:type="dxa"/>
            <w:vAlign w:val="bottom"/>
            <w:tcBorders>
              <w:bottom w:val="single" w:sz="8" w:color="0591DB"/>
            </w:tcBorders>
          </w:tcPr>
          <w:p>
            <w:pPr>
              <w:spacing w:after="0"/>
              <w:rPr>
                <w:sz w:val="2"/>
                <w:szCs w:val="2"/>
                <w:color w:val="auto"/>
              </w:rPr>
            </w:pPr>
          </w:p>
        </w:tc>
        <w:tc>
          <w:tcPr>
            <w:tcW w:w="260" w:type="dxa"/>
            <w:vAlign w:val="bottom"/>
            <w:tcBorders>
              <w:bottom w:val="single" w:sz="8" w:color="0591DB"/>
              <w:right w:val="single" w:sz="8" w:color="0591DB"/>
            </w:tcBorders>
          </w:tcPr>
          <w:p>
            <w:pPr>
              <w:spacing w:after="0"/>
              <w:rPr>
                <w:sz w:val="2"/>
                <w:szCs w:val="2"/>
                <w:color w:val="auto"/>
              </w:rPr>
            </w:pPr>
          </w:p>
        </w:tc>
        <w:tc>
          <w:tcPr>
            <w:tcW w:w="240" w:type="dxa"/>
            <w:vAlign w:val="bottom"/>
            <w:tcBorders>
              <w:bottom w:val="single" w:sz="8" w:color="0591DB"/>
            </w:tcBorders>
          </w:tcPr>
          <w:p>
            <w:pPr>
              <w:spacing w:after="0"/>
              <w:rPr>
                <w:sz w:val="2"/>
                <w:szCs w:val="2"/>
                <w:color w:val="auto"/>
              </w:rPr>
            </w:pPr>
          </w:p>
        </w:tc>
        <w:tc>
          <w:tcPr>
            <w:tcW w:w="1460" w:type="dxa"/>
            <w:vAlign w:val="bottom"/>
            <w:tcBorders>
              <w:bottom w:val="single" w:sz="8" w:color="0591DB"/>
            </w:tcBorders>
          </w:tcPr>
          <w:p>
            <w:pPr>
              <w:spacing w:after="0"/>
              <w:rPr>
                <w:sz w:val="2"/>
                <w:szCs w:val="2"/>
                <w:color w:val="auto"/>
              </w:rPr>
            </w:pPr>
          </w:p>
        </w:tc>
        <w:tc>
          <w:tcPr>
            <w:tcW w:w="280" w:type="dxa"/>
            <w:vAlign w:val="bottom"/>
            <w:tcBorders>
              <w:bottom w:val="single" w:sz="8" w:color="0591DB"/>
              <w:right w:val="single" w:sz="8" w:color="0591DB"/>
            </w:tcBorders>
          </w:tcPr>
          <w:p>
            <w:pPr>
              <w:spacing w:after="0"/>
              <w:rPr>
                <w:sz w:val="2"/>
                <w:szCs w:val="2"/>
                <w:color w:val="auto"/>
              </w:rPr>
            </w:pPr>
          </w:p>
        </w:tc>
        <w:tc>
          <w:tcPr>
            <w:tcW w:w="220" w:type="dxa"/>
            <w:vAlign w:val="bottom"/>
            <w:tcBorders>
              <w:bottom w:val="single" w:sz="8" w:color="0591DB"/>
            </w:tcBorders>
          </w:tcPr>
          <w:p>
            <w:pPr>
              <w:spacing w:after="0"/>
              <w:rPr>
                <w:sz w:val="2"/>
                <w:szCs w:val="2"/>
                <w:color w:val="auto"/>
              </w:rPr>
            </w:pPr>
          </w:p>
        </w:tc>
        <w:tc>
          <w:tcPr>
            <w:tcW w:w="1420" w:type="dxa"/>
            <w:vAlign w:val="bottom"/>
            <w:tcBorders>
              <w:bottom w:val="single" w:sz="8" w:color="0591DB"/>
            </w:tcBorders>
          </w:tcPr>
          <w:p>
            <w:pPr>
              <w:spacing w:after="0"/>
              <w:rPr>
                <w:sz w:val="2"/>
                <w:szCs w:val="2"/>
                <w:color w:val="auto"/>
              </w:rPr>
            </w:pPr>
          </w:p>
        </w:tc>
        <w:tc>
          <w:tcPr>
            <w:tcW w:w="280" w:type="dxa"/>
            <w:vAlign w:val="bottom"/>
            <w:tcBorders>
              <w:bottom w:val="single" w:sz="8" w:color="0591DB"/>
              <w:right w:val="single" w:sz="8" w:color="0591DB"/>
            </w:tcBorders>
          </w:tcPr>
          <w:p>
            <w:pPr>
              <w:spacing w:after="0"/>
              <w:rPr>
                <w:sz w:val="2"/>
                <w:szCs w:val="2"/>
                <w:color w:val="auto"/>
              </w:rPr>
            </w:pPr>
          </w:p>
        </w:tc>
        <w:tc>
          <w:tcPr>
            <w:tcW w:w="240" w:type="dxa"/>
            <w:vAlign w:val="bottom"/>
            <w:tcBorders>
              <w:bottom w:val="single" w:sz="8" w:color="0591DB"/>
            </w:tcBorders>
          </w:tcPr>
          <w:p>
            <w:pPr>
              <w:spacing w:after="0"/>
              <w:rPr>
                <w:sz w:val="2"/>
                <w:szCs w:val="2"/>
                <w:color w:val="auto"/>
              </w:rPr>
            </w:pPr>
          </w:p>
        </w:tc>
        <w:tc>
          <w:tcPr>
            <w:tcW w:w="1440" w:type="dxa"/>
            <w:vAlign w:val="bottom"/>
            <w:tcBorders>
              <w:bottom w:val="single" w:sz="8" w:color="0591DB"/>
            </w:tcBorders>
          </w:tcPr>
          <w:p>
            <w:pPr>
              <w:spacing w:after="0"/>
              <w:rPr>
                <w:sz w:val="2"/>
                <w:szCs w:val="2"/>
                <w:color w:val="auto"/>
              </w:rPr>
            </w:pPr>
          </w:p>
        </w:tc>
        <w:tc>
          <w:tcPr>
            <w:tcW w:w="280" w:type="dxa"/>
            <w:vAlign w:val="bottom"/>
            <w:tcBorders>
              <w:bottom w:val="single" w:sz="8" w:color="0591DB"/>
              <w:right w:val="single" w:sz="8" w:color="0591DB"/>
            </w:tcBorders>
          </w:tcPr>
          <w:p>
            <w:pPr>
              <w:spacing w:after="0"/>
              <w:rPr>
                <w:sz w:val="2"/>
                <w:szCs w:val="2"/>
                <w:color w:val="auto"/>
              </w:rPr>
            </w:pPr>
          </w:p>
        </w:tc>
        <w:tc>
          <w:tcPr>
            <w:tcW w:w="260" w:type="dxa"/>
            <w:vAlign w:val="bottom"/>
            <w:tcBorders>
              <w:bottom w:val="single" w:sz="8" w:color="0591DB"/>
            </w:tcBorders>
          </w:tcPr>
          <w:p>
            <w:pPr>
              <w:spacing w:after="0"/>
              <w:rPr>
                <w:sz w:val="2"/>
                <w:szCs w:val="2"/>
                <w:color w:val="auto"/>
              </w:rPr>
            </w:pPr>
          </w:p>
        </w:tc>
        <w:tc>
          <w:tcPr>
            <w:tcW w:w="960" w:type="dxa"/>
            <w:vAlign w:val="bottom"/>
            <w:tcBorders>
              <w:bottom w:val="single" w:sz="8" w:color="0591DB"/>
            </w:tcBorders>
          </w:tcPr>
          <w:p>
            <w:pPr>
              <w:spacing w:after="0"/>
              <w:rPr>
                <w:sz w:val="2"/>
                <w:szCs w:val="2"/>
                <w:color w:val="auto"/>
              </w:rPr>
            </w:pPr>
          </w:p>
        </w:tc>
        <w:tc>
          <w:tcPr>
            <w:tcW w:w="280" w:type="dxa"/>
            <w:vAlign w:val="bottom"/>
            <w:tcBorders>
              <w:bottom w:val="single" w:sz="8" w:color="0591DB"/>
              <w:right w:val="single" w:sz="8" w:color="0591DB"/>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320" w:type="dxa"/>
            <w:vAlign w:val="bottom"/>
            <w:gridSpan w:val="2"/>
          </w:tcPr>
          <w:p>
            <w:pPr>
              <w:spacing w:after="0" w:line="153" w:lineRule="exact"/>
              <w:rPr>
                <w:sz w:val="20"/>
                <w:szCs w:val="20"/>
                <w:color w:val="auto"/>
              </w:rPr>
            </w:pPr>
            <w:r>
              <w:rPr>
                <w:rFonts w:ascii="Calibri" w:cs="Calibri" w:eastAsia="Calibri" w:hAnsi="Calibri"/>
                <w:sz w:val="14"/>
                <w:szCs w:val="14"/>
                <w:b w:val="1"/>
                <w:bCs w:val="1"/>
                <w:color w:val="0591DB"/>
              </w:rPr>
              <w:t> Steven H. Gunby</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gridSpan w:val="2"/>
          </w:tcPr>
          <w:p>
            <w:pPr>
              <w:ind w:left="140"/>
              <w:spacing w:after="0" w:line="169" w:lineRule="exact"/>
              <w:rPr>
                <w:sz w:val="20"/>
                <w:szCs w:val="20"/>
                <w:color w:val="auto"/>
              </w:rPr>
            </w:pPr>
            <w:r>
              <w:rPr>
                <w:rFonts w:ascii="Calibri" w:cs="Calibri" w:eastAsia="Calibri" w:hAnsi="Calibri"/>
                <w:sz w:val="14"/>
                <w:szCs w:val="14"/>
                <w:color w:val="333333"/>
              </w:rPr>
              <w:t>Base Salary</w:t>
            </w:r>
          </w:p>
        </w:tc>
        <w:tc>
          <w:tcPr>
            <w:tcW w:w="980" w:type="dxa"/>
            <w:vAlign w:val="bottom"/>
          </w:tcPr>
          <w:p>
            <w:pPr>
              <w:ind w:left="540"/>
              <w:spacing w:after="0" w:line="169" w:lineRule="exact"/>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420"/>
              <w:spacing w:after="0" w:line="169" w:lineRule="exact"/>
              <w:rPr>
                <w:sz w:val="20"/>
                <w:szCs w:val="20"/>
                <w:color w:val="auto"/>
              </w:rPr>
            </w:pPr>
            <w:r>
              <w:rPr>
                <w:rFonts w:ascii="Calibri" w:cs="Calibri" w:eastAsia="Calibri" w:hAnsi="Calibri"/>
                <w:sz w:val="14"/>
                <w:szCs w:val="14"/>
                <w:color w:val="333333"/>
              </w:rPr>
              <w:t>—</w:t>
            </w:r>
          </w:p>
        </w:tc>
        <w:tc>
          <w:tcPr>
            <w:tcW w:w="1420" w:type="dxa"/>
            <w:vAlign w:val="bottom"/>
          </w:tcPr>
          <w:p>
            <w:pPr>
              <w:jc w:val="center"/>
              <w:ind w:left="4"/>
              <w:spacing w:after="0" w:line="169" w:lineRule="exact"/>
              <w:rPr>
                <w:sz w:val="20"/>
                <w:szCs w:val="20"/>
                <w:color w:val="auto"/>
              </w:rPr>
            </w:pPr>
            <w:r>
              <w:rPr>
                <w:rFonts w:ascii="Calibri" w:cs="Calibri" w:eastAsia="Calibri" w:hAnsi="Calibri"/>
                <w:sz w:val="14"/>
                <w:szCs w:val="14"/>
                <w:color w:val="333333"/>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460"/>
              <w:spacing w:after="0" w:line="169" w:lineRule="exact"/>
              <w:rPr>
                <w:sz w:val="20"/>
                <w:szCs w:val="20"/>
                <w:color w:val="auto"/>
              </w:rPr>
            </w:pPr>
            <w:r>
              <w:rPr>
                <w:rFonts w:ascii="Calibri" w:cs="Calibri" w:eastAsia="Calibri" w:hAnsi="Calibri"/>
                <w:sz w:val="14"/>
                <w:szCs w:val="14"/>
                <w:color w:val="333333"/>
                <w:w w:val="94"/>
              </w:rPr>
              <w:t>—</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20" w:type="dxa"/>
            <w:vAlign w:val="bottom"/>
            <w:gridSpan w:val="2"/>
          </w:tcPr>
          <w:p>
            <w:pPr>
              <w:ind w:left="140"/>
              <w:spacing w:after="0" w:line="179" w:lineRule="exact"/>
              <w:rPr>
                <w:sz w:val="20"/>
                <w:szCs w:val="20"/>
                <w:color w:val="auto"/>
              </w:rPr>
            </w:pPr>
            <w:r>
              <w:rPr>
                <w:rFonts w:ascii="Calibri" w:cs="Calibri" w:eastAsia="Calibri" w:hAnsi="Calibri"/>
                <w:sz w:val="13"/>
                <w:szCs w:val="13"/>
                <w:color w:val="333333"/>
              </w:rPr>
              <w:t xml:space="preserve">AIP: </w:t>
            </w:r>
            <w:r>
              <w:rPr>
                <w:rFonts w:ascii="Calibri" w:cs="Calibri" w:eastAsia="Calibri" w:hAnsi="Calibri"/>
                <w:sz w:val="19"/>
                <w:szCs w:val="19"/>
                <w:color w:val="333333"/>
                <w:vertAlign w:val="superscript"/>
              </w:rPr>
              <w:t>(2)</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gridSpan w:val="2"/>
          </w:tcPr>
          <w:p>
            <w:pPr>
              <w:ind w:left="280"/>
              <w:spacing w:after="0" w:line="169" w:lineRule="exact"/>
              <w:rPr>
                <w:sz w:val="20"/>
                <w:szCs w:val="20"/>
                <w:color w:val="auto"/>
              </w:rPr>
            </w:pPr>
            <w:r>
              <w:rPr>
                <w:rFonts w:ascii="Calibri" w:cs="Calibri" w:eastAsia="Calibri" w:hAnsi="Calibri"/>
                <w:sz w:val="14"/>
                <w:szCs w:val="14"/>
                <w:color w:val="333333"/>
              </w:rPr>
              <w:t>Unpaid AIP for Year Prior to</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420"/>
              <w:spacing w:after="0"/>
              <w:rPr>
                <w:sz w:val="20"/>
                <w:szCs w:val="20"/>
                <w:color w:val="auto"/>
              </w:rPr>
            </w:pPr>
            <w:r>
              <w:rPr>
                <w:rFonts w:ascii="Calibri" w:cs="Calibri" w:eastAsia="Calibri" w:hAnsi="Calibri"/>
                <w:sz w:val="14"/>
                <w:szCs w:val="14"/>
                <w:color w:val="333333"/>
              </w:rPr>
              <w:t>Terminaton</w:t>
            </w:r>
          </w:p>
        </w:tc>
        <w:tc>
          <w:tcPr>
            <w:tcW w:w="980" w:type="dxa"/>
            <w:vAlign w:val="bottom"/>
          </w:tcPr>
          <w:p>
            <w:pPr>
              <w:ind w:left="540"/>
              <w:spacing w:after="0"/>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3"/>
          </w:tcPr>
          <w:p>
            <w:pPr>
              <w:jc w:val="center"/>
              <w:ind w:right="420"/>
              <w:spacing w:after="0"/>
              <w:rPr>
                <w:sz w:val="20"/>
                <w:szCs w:val="20"/>
                <w:color w:val="auto"/>
              </w:rPr>
            </w:pPr>
            <w:r>
              <w:rPr>
                <w:rFonts w:ascii="Calibri" w:cs="Calibri" w:eastAsia="Calibri" w:hAnsi="Calibri"/>
                <w:sz w:val="14"/>
                <w:szCs w:val="14"/>
                <w:color w:val="333333"/>
              </w:rPr>
              <w:t>—</w:t>
            </w:r>
          </w:p>
        </w:tc>
        <w:tc>
          <w:tcPr>
            <w:tcW w:w="1420" w:type="dxa"/>
            <w:vAlign w:val="bottom"/>
          </w:tcPr>
          <w:p>
            <w:pPr>
              <w:jc w:val="center"/>
              <w:ind w:left="4"/>
              <w:spacing w:after="0"/>
              <w:rPr>
                <w:sz w:val="20"/>
                <w:szCs w:val="20"/>
                <w:color w:val="auto"/>
              </w:rPr>
            </w:pPr>
            <w:r>
              <w:rPr>
                <w:rFonts w:ascii="Calibri" w:cs="Calibri" w:eastAsia="Calibri" w:hAnsi="Calibri"/>
                <w:sz w:val="14"/>
                <w:szCs w:val="14"/>
                <w:color w:val="333333"/>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center"/>
              <w:ind w:right="460"/>
              <w:spacing w:after="0"/>
              <w:rPr>
                <w:sz w:val="20"/>
                <w:szCs w:val="20"/>
                <w:color w:val="auto"/>
              </w:rPr>
            </w:pPr>
            <w:r>
              <w:rPr>
                <w:rFonts w:ascii="Calibri" w:cs="Calibri" w:eastAsia="Calibri" w:hAnsi="Calibri"/>
                <w:sz w:val="14"/>
                <w:szCs w:val="14"/>
                <w:color w:val="333333"/>
                <w:w w:val="94"/>
              </w:rPr>
              <w:t>—</w:t>
            </w:r>
          </w:p>
        </w:tc>
        <w:tc>
          <w:tcPr>
            <w:tcW w:w="96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280"/>
              <w:spacing w:after="0"/>
              <w:rPr>
                <w:sz w:val="20"/>
                <w:szCs w:val="20"/>
                <w:color w:val="auto"/>
              </w:rPr>
            </w:pPr>
            <w:r>
              <w:rPr>
                <w:rFonts w:ascii="Calibri" w:cs="Calibri" w:eastAsia="Calibri" w:hAnsi="Calibri"/>
                <w:sz w:val="14"/>
                <w:szCs w:val="14"/>
                <w:color w:val="333333"/>
              </w:rPr>
              <w:t>Prorated AIP Based on</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420"/>
              <w:spacing w:after="0"/>
              <w:rPr>
                <w:sz w:val="20"/>
                <w:szCs w:val="20"/>
                <w:color w:val="auto"/>
              </w:rPr>
            </w:pPr>
            <w:r>
              <w:rPr>
                <w:rFonts w:ascii="Calibri" w:cs="Calibri" w:eastAsia="Calibri" w:hAnsi="Calibri"/>
                <w:sz w:val="14"/>
                <w:szCs w:val="14"/>
                <w:color w:val="333333"/>
              </w:rPr>
              <w:t>Financial Metrics for Year of</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420"/>
              <w:spacing w:after="0"/>
              <w:rPr>
                <w:sz w:val="20"/>
                <w:szCs w:val="20"/>
                <w:color w:val="auto"/>
              </w:rPr>
            </w:pPr>
            <w:r>
              <w:rPr>
                <w:rFonts w:ascii="Calibri" w:cs="Calibri" w:eastAsia="Calibri" w:hAnsi="Calibri"/>
                <w:sz w:val="14"/>
                <w:szCs w:val="14"/>
                <w:color w:val="333333"/>
              </w:rPr>
              <w:t>Terminaton at Actual</w:t>
            </w:r>
          </w:p>
        </w:tc>
        <w:tc>
          <w:tcPr>
            <w:tcW w:w="980" w:type="dxa"/>
            <w:vAlign w:val="bottom"/>
          </w:tcPr>
          <w:p>
            <w:pPr>
              <w:ind w:left="540"/>
              <w:spacing w:after="0"/>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3"/>
          </w:tcPr>
          <w:p>
            <w:pPr>
              <w:jc w:val="center"/>
              <w:ind w:right="420"/>
              <w:spacing w:after="0"/>
              <w:rPr>
                <w:sz w:val="20"/>
                <w:szCs w:val="20"/>
                <w:color w:val="auto"/>
              </w:rPr>
            </w:pPr>
            <w:r>
              <w:rPr>
                <w:rFonts w:ascii="Calibri" w:cs="Calibri" w:eastAsia="Calibri" w:hAnsi="Calibri"/>
                <w:sz w:val="14"/>
                <w:szCs w:val="14"/>
                <w:color w:val="333333"/>
              </w:rPr>
              <w:t>—</w:t>
            </w:r>
          </w:p>
        </w:tc>
        <w:tc>
          <w:tcPr>
            <w:tcW w:w="1420" w:type="dxa"/>
            <w:vAlign w:val="bottom"/>
          </w:tcPr>
          <w:p>
            <w:pPr>
              <w:jc w:val="center"/>
              <w:ind w:left="4"/>
              <w:spacing w:after="0"/>
              <w:rPr>
                <w:sz w:val="20"/>
                <w:szCs w:val="20"/>
                <w:color w:val="auto"/>
              </w:rPr>
            </w:pPr>
            <w:r>
              <w:rPr>
                <w:rFonts w:ascii="Calibri" w:cs="Calibri" w:eastAsia="Calibri" w:hAnsi="Calibri"/>
                <w:sz w:val="14"/>
                <w:szCs w:val="14"/>
                <w:color w:val="333333"/>
              </w:rPr>
              <w:t>1,781,870</w:t>
            </w:r>
          </w:p>
        </w:tc>
        <w:tc>
          <w:tcPr>
            <w:tcW w:w="1960" w:type="dxa"/>
            <w:vAlign w:val="bottom"/>
            <w:gridSpan w:val="3"/>
          </w:tcPr>
          <w:p>
            <w:pPr>
              <w:jc w:val="center"/>
              <w:ind w:left="529"/>
              <w:spacing w:after="0"/>
              <w:rPr>
                <w:sz w:val="20"/>
                <w:szCs w:val="20"/>
                <w:color w:val="auto"/>
              </w:rPr>
            </w:pPr>
            <w:r>
              <w:rPr>
                <w:rFonts w:ascii="Calibri" w:cs="Calibri" w:eastAsia="Calibri" w:hAnsi="Calibri"/>
                <w:sz w:val="14"/>
                <w:szCs w:val="14"/>
                <w:color w:val="333333"/>
                <w:w w:val="98"/>
              </w:rPr>
              <w:t>1,781,870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333333"/>
                <w:w w:val="98"/>
              </w:rPr>
              <w:t>1,781,870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280"/>
              <w:spacing w:after="0"/>
              <w:rPr>
                <w:sz w:val="20"/>
                <w:szCs w:val="20"/>
                <w:color w:val="auto"/>
              </w:rPr>
            </w:pPr>
            <w:r>
              <w:rPr>
                <w:rFonts w:ascii="Calibri" w:cs="Calibri" w:eastAsia="Calibri" w:hAnsi="Calibri"/>
                <w:sz w:val="14"/>
                <w:szCs w:val="14"/>
                <w:color w:val="333333"/>
              </w:rPr>
              <w:t>Prorated AIP for Year of</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420"/>
              <w:spacing w:after="0"/>
              <w:rPr>
                <w:sz w:val="20"/>
                <w:szCs w:val="20"/>
                <w:color w:val="auto"/>
              </w:rPr>
            </w:pPr>
            <w:r>
              <w:rPr>
                <w:rFonts w:ascii="Calibri" w:cs="Calibri" w:eastAsia="Calibri" w:hAnsi="Calibri"/>
                <w:sz w:val="14"/>
                <w:szCs w:val="14"/>
                <w:color w:val="333333"/>
              </w:rPr>
              <w:t>Terminaton Based on Prior</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420"/>
              <w:spacing w:after="0"/>
              <w:rPr>
                <w:sz w:val="20"/>
                <w:szCs w:val="20"/>
                <w:color w:val="auto"/>
              </w:rPr>
            </w:pPr>
            <w:r>
              <w:rPr>
                <w:rFonts w:ascii="Calibri" w:cs="Calibri" w:eastAsia="Calibri" w:hAnsi="Calibri"/>
                <w:sz w:val="14"/>
                <w:szCs w:val="14"/>
                <w:color w:val="333333"/>
              </w:rPr>
              <w:t>Year’s Individual</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420"/>
              <w:spacing w:after="0"/>
              <w:rPr>
                <w:sz w:val="20"/>
                <w:szCs w:val="20"/>
                <w:color w:val="auto"/>
              </w:rPr>
            </w:pPr>
            <w:r>
              <w:rPr>
                <w:rFonts w:ascii="Calibri" w:cs="Calibri" w:eastAsia="Calibri" w:hAnsi="Calibri"/>
                <w:sz w:val="14"/>
                <w:szCs w:val="14"/>
                <w:color w:val="333333"/>
              </w:rPr>
              <w:t>Performance at Actual</w:t>
            </w:r>
          </w:p>
        </w:tc>
        <w:tc>
          <w:tcPr>
            <w:tcW w:w="980" w:type="dxa"/>
            <w:vAlign w:val="bottom"/>
          </w:tcPr>
          <w:p>
            <w:pPr>
              <w:ind w:left="540"/>
              <w:spacing w:after="0"/>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3"/>
          </w:tcPr>
          <w:p>
            <w:pPr>
              <w:jc w:val="center"/>
              <w:ind w:right="420"/>
              <w:spacing w:after="0"/>
              <w:rPr>
                <w:sz w:val="20"/>
                <w:szCs w:val="20"/>
                <w:color w:val="auto"/>
              </w:rPr>
            </w:pPr>
            <w:r>
              <w:rPr>
                <w:rFonts w:ascii="Calibri" w:cs="Calibri" w:eastAsia="Calibri" w:hAnsi="Calibri"/>
                <w:sz w:val="14"/>
                <w:szCs w:val="14"/>
                <w:color w:val="333333"/>
              </w:rPr>
              <w:t>—</w:t>
            </w:r>
          </w:p>
        </w:tc>
        <w:tc>
          <w:tcPr>
            <w:tcW w:w="1420" w:type="dxa"/>
            <w:vAlign w:val="bottom"/>
          </w:tcPr>
          <w:p>
            <w:pPr>
              <w:jc w:val="center"/>
              <w:ind w:left="4"/>
              <w:spacing w:after="0"/>
              <w:rPr>
                <w:sz w:val="20"/>
                <w:szCs w:val="20"/>
                <w:color w:val="auto"/>
              </w:rPr>
            </w:pPr>
            <w:r>
              <w:rPr>
                <w:rFonts w:ascii="Calibri" w:cs="Calibri" w:eastAsia="Calibri" w:hAnsi="Calibri"/>
                <w:sz w:val="14"/>
                <w:szCs w:val="14"/>
                <w:color w:val="333333"/>
                <w:w w:val="99"/>
              </w:rPr>
              <w:t>500,000</w:t>
            </w:r>
          </w:p>
        </w:tc>
        <w:tc>
          <w:tcPr>
            <w:tcW w:w="1960" w:type="dxa"/>
            <w:vAlign w:val="bottom"/>
            <w:gridSpan w:val="3"/>
          </w:tcPr>
          <w:p>
            <w:pPr>
              <w:jc w:val="center"/>
              <w:ind w:left="529"/>
              <w:spacing w:after="0"/>
              <w:rPr>
                <w:sz w:val="20"/>
                <w:szCs w:val="20"/>
                <w:color w:val="auto"/>
              </w:rPr>
            </w:pPr>
            <w:r>
              <w:rPr>
                <w:rFonts w:ascii="Calibri" w:cs="Calibri" w:eastAsia="Calibri" w:hAnsi="Calibri"/>
                <w:sz w:val="14"/>
                <w:szCs w:val="14"/>
                <w:color w:val="333333"/>
              </w:rPr>
              <w:t>500,000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333333"/>
              </w:rPr>
              <w:t>500,000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20" w:type="dxa"/>
            <w:vAlign w:val="bottom"/>
            <w:gridSpan w:val="2"/>
          </w:tcPr>
          <w:p>
            <w:pPr>
              <w:ind w:left="280"/>
              <w:spacing w:after="0" w:line="179" w:lineRule="exact"/>
              <w:rPr>
                <w:sz w:val="20"/>
                <w:szCs w:val="20"/>
                <w:color w:val="auto"/>
              </w:rPr>
            </w:pPr>
            <w:r>
              <w:rPr>
                <w:rFonts w:ascii="Calibri" w:cs="Calibri" w:eastAsia="Calibri" w:hAnsi="Calibri"/>
                <w:sz w:val="19"/>
                <w:szCs w:val="19"/>
                <w:color w:val="333333"/>
                <w:vertAlign w:val="subscript"/>
              </w:rPr>
              <w:t>Equity Awards</w:t>
            </w:r>
            <w:r>
              <w:rPr>
                <w:rFonts w:ascii="Calibri" w:cs="Calibri" w:eastAsia="Calibri" w:hAnsi="Calibri"/>
                <w:sz w:val="9"/>
                <w:szCs w:val="9"/>
                <w:color w:val="333333"/>
              </w:rPr>
              <w:t xml:space="preserve"> (3) (4) (5) (6) (8)</w:t>
            </w:r>
          </w:p>
        </w:tc>
        <w:tc>
          <w:tcPr>
            <w:tcW w:w="980" w:type="dxa"/>
            <w:vAlign w:val="bottom"/>
          </w:tcPr>
          <w:p>
            <w:pPr>
              <w:ind w:left="540"/>
              <w:spacing w:after="0"/>
              <w:rPr>
                <w:sz w:val="20"/>
                <w:szCs w:val="20"/>
                <w:color w:val="auto"/>
              </w:rPr>
            </w:pPr>
            <w:r>
              <w:rPr>
                <w:rFonts w:ascii="Calibri" w:cs="Calibri" w:eastAsia="Calibri" w:hAnsi="Calibri"/>
                <w:sz w:val="14"/>
                <w:szCs w:val="14"/>
                <w:color w:val="333333"/>
              </w:rPr>
              <w:t>—</w:t>
            </w:r>
          </w:p>
        </w:tc>
        <w:tc>
          <w:tcPr>
            <w:tcW w:w="1960" w:type="dxa"/>
            <w:vAlign w:val="bottom"/>
            <w:gridSpan w:val="3"/>
          </w:tcPr>
          <w:p>
            <w:pPr>
              <w:jc w:val="center"/>
              <w:ind w:left="509"/>
              <w:spacing w:after="0"/>
              <w:rPr>
                <w:sz w:val="20"/>
                <w:szCs w:val="20"/>
                <w:color w:val="auto"/>
              </w:rPr>
            </w:pPr>
            <w:r>
              <w:rPr>
                <w:rFonts w:ascii="Calibri" w:cs="Calibri" w:eastAsia="Calibri" w:hAnsi="Calibri"/>
                <w:sz w:val="14"/>
                <w:szCs w:val="14"/>
                <w:color w:val="333333"/>
              </w:rPr>
              <w:t>8,925,868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left="4"/>
              <w:spacing w:after="0"/>
              <w:rPr>
                <w:sz w:val="20"/>
                <w:szCs w:val="20"/>
                <w:color w:val="auto"/>
              </w:rPr>
            </w:pPr>
            <w:r>
              <w:rPr>
                <w:rFonts w:ascii="Calibri" w:cs="Calibri" w:eastAsia="Calibri" w:hAnsi="Calibri"/>
                <w:sz w:val="14"/>
                <w:szCs w:val="14"/>
                <w:color w:val="333333"/>
              </w:rPr>
              <w:t>4,857,686</w:t>
            </w:r>
          </w:p>
        </w:tc>
        <w:tc>
          <w:tcPr>
            <w:tcW w:w="1960" w:type="dxa"/>
            <w:vAlign w:val="bottom"/>
            <w:gridSpan w:val="3"/>
          </w:tcPr>
          <w:p>
            <w:pPr>
              <w:jc w:val="center"/>
              <w:ind w:left="529"/>
              <w:spacing w:after="0"/>
              <w:rPr>
                <w:sz w:val="20"/>
                <w:szCs w:val="20"/>
                <w:color w:val="auto"/>
              </w:rPr>
            </w:pPr>
            <w:r>
              <w:rPr>
                <w:rFonts w:ascii="Calibri" w:cs="Calibri" w:eastAsia="Calibri" w:hAnsi="Calibri"/>
                <w:sz w:val="14"/>
                <w:szCs w:val="14"/>
                <w:color w:val="333333"/>
                <w:w w:val="98"/>
              </w:rPr>
              <w:t>4,857,686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333333"/>
                <w:w w:val="98"/>
              </w:rPr>
              <w:t>4,857,686</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280"/>
              <w:spacing w:after="0" w:line="174" w:lineRule="exact"/>
              <w:rPr>
                <w:sz w:val="20"/>
                <w:szCs w:val="20"/>
                <w:color w:val="auto"/>
              </w:rPr>
            </w:pPr>
            <w:r>
              <w:rPr>
                <w:rFonts w:ascii="Calibri" w:cs="Calibri" w:eastAsia="Calibri" w:hAnsi="Calibri"/>
                <w:sz w:val="12"/>
                <w:szCs w:val="12"/>
                <w:color w:val="333333"/>
              </w:rPr>
              <w:t xml:space="preserve">LTIP Performance Units </w:t>
            </w:r>
            <w:r>
              <w:rPr>
                <w:rFonts w:ascii="Calibri" w:cs="Calibri" w:eastAsia="Calibri" w:hAnsi="Calibri"/>
                <w:sz w:val="18"/>
                <w:szCs w:val="18"/>
                <w:color w:val="333333"/>
                <w:vertAlign w:val="superscript"/>
              </w:rPr>
              <w:t>(8) (9)</w:t>
            </w:r>
          </w:p>
        </w:tc>
        <w:tc>
          <w:tcPr>
            <w:tcW w:w="980" w:type="dxa"/>
            <w:vAlign w:val="bottom"/>
          </w:tcPr>
          <w:p>
            <w:pPr>
              <w:ind w:left="540"/>
              <w:spacing w:after="0" w:line="169" w:lineRule="exact"/>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3"/>
          </w:tcPr>
          <w:p>
            <w:pPr>
              <w:jc w:val="center"/>
              <w:ind w:right="420"/>
              <w:spacing w:after="0" w:line="169" w:lineRule="exact"/>
              <w:rPr>
                <w:sz w:val="20"/>
                <w:szCs w:val="20"/>
                <w:color w:val="auto"/>
              </w:rPr>
            </w:pPr>
            <w:r>
              <w:rPr>
                <w:rFonts w:ascii="Calibri" w:cs="Calibri" w:eastAsia="Calibri" w:hAnsi="Calibri"/>
                <w:sz w:val="14"/>
                <w:szCs w:val="14"/>
                <w:color w:val="333333"/>
              </w:rPr>
              <w:t>—</w:t>
            </w:r>
          </w:p>
        </w:tc>
        <w:tc>
          <w:tcPr>
            <w:tcW w:w="1420" w:type="dxa"/>
            <w:vAlign w:val="bottom"/>
          </w:tcPr>
          <w:p>
            <w:pPr>
              <w:jc w:val="center"/>
              <w:ind w:left="4"/>
              <w:spacing w:after="0" w:line="169" w:lineRule="exact"/>
              <w:rPr>
                <w:sz w:val="20"/>
                <w:szCs w:val="20"/>
                <w:color w:val="auto"/>
              </w:rPr>
            </w:pPr>
            <w:r>
              <w:rPr>
                <w:rFonts w:ascii="Calibri" w:cs="Calibri" w:eastAsia="Calibri" w:hAnsi="Calibri"/>
                <w:sz w:val="14"/>
                <w:szCs w:val="14"/>
                <w:color w:val="333333"/>
              </w:rPr>
              <w:t>—</w:t>
            </w:r>
          </w:p>
        </w:tc>
        <w:tc>
          <w:tcPr>
            <w:tcW w:w="1960" w:type="dxa"/>
            <w:vAlign w:val="bottom"/>
            <w:gridSpan w:val="3"/>
          </w:tcPr>
          <w:p>
            <w:pPr>
              <w:jc w:val="center"/>
              <w:ind w:left="529"/>
              <w:spacing w:after="0" w:line="169" w:lineRule="exact"/>
              <w:rPr>
                <w:sz w:val="20"/>
                <w:szCs w:val="20"/>
                <w:color w:val="auto"/>
              </w:rPr>
            </w:pPr>
            <w:r>
              <w:rPr>
                <w:rFonts w:ascii="Calibri" w:cs="Calibri" w:eastAsia="Calibri" w:hAnsi="Calibri"/>
                <w:sz w:val="14"/>
                <w:szCs w:val="14"/>
                <w:color w:val="333333"/>
              </w:rPr>
              <w:t>10,598,806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color w:val="333333"/>
              </w:rPr>
              <w:t>10,598,806</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gridSpan w:val="2"/>
          </w:tcPr>
          <w:p>
            <w:pPr>
              <w:ind w:left="280"/>
              <w:spacing w:after="0" w:line="174" w:lineRule="exact"/>
              <w:rPr>
                <w:sz w:val="20"/>
                <w:szCs w:val="20"/>
                <w:color w:val="auto"/>
              </w:rPr>
            </w:pPr>
            <w:r>
              <w:rPr>
                <w:rFonts w:ascii="Calibri" w:cs="Calibri" w:eastAsia="Calibri" w:hAnsi="Calibri"/>
                <w:sz w:val="12"/>
                <w:szCs w:val="12"/>
                <w:color w:val="333333"/>
              </w:rPr>
              <w:t xml:space="preserve">Severance Payment </w:t>
            </w:r>
            <w:r>
              <w:rPr>
                <w:rFonts w:ascii="Calibri" w:cs="Calibri" w:eastAsia="Calibri" w:hAnsi="Calibri"/>
                <w:sz w:val="18"/>
                <w:szCs w:val="18"/>
                <w:color w:val="333333"/>
                <w:vertAlign w:val="superscript"/>
              </w:rPr>
              <w:t>(10)</w:t>
            </w:r>
          </w:p>
        </w:tc>
        <w:tc>
          <w:tcPr>
            <w:tcW w:w="980" w:type="dxa"/>
            <w:vAlign w:val="bottom"/>
          </w:tcPr>
          <w:p>
            <w:pPr>
              <w:ind w:left="540"/>
              <w:spacing w:after="0" w:line="169" w:lineRule="exact"/>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3"/>
          </w:tcPr>
          <w:p>
            <w:pPr>
              <w:jc w:val="center"/>
              <w:ind w:right="420"/>
              <w:spacing w:after="0" w:line="169" w:lineRule="exact"/>
              <w:rPr>
                <w:sz w:val="20"/>
                <w:szCs w:val="20"/>
                <w:color w:val="auto"/>
              </w:rPr>
            </w:pPr>
            <w:r>
              <w:rPr>
                <w:rFonts w:ascii="Calibri" w:cs="Calibri" w:eastAsia="Calibri" w:hAnsi="Calibri"/>
                <w:sz w:val="14"/>
                <w:szCs w:val="14"/>
                <w:color w:val="333333"/>
              </w:rPr>
              <w:t>—</w:t>
            </w:r>
          </w:p>
        </w:tc>
        <w:tc>
          <w:tcPr>
            <w:tcW w:w="1420" w:type="dxa"/>
            <w:vAlign w:val="bottom"/>
          </w:tcPr>
          <w:p>
            <w:pPr>
              <w:jc w:val="center"/>
              <w:ind w:left="4"/>
              <w:spacing w:after="0" w:line="169" w:lineRule="exact"/>
              <w:rPr>
                <w:sz w:val="20"/>
                <w:szCs w:val="20"/>
                <w:color w:val="auto"/>
              </w:rPr>
            </w:pPr>
            <w:r>
              <w:rPr>
                <w:rFonts w:ascii="Calibri" w:cs="Calibri" w:eastAsia="Calibri" w:hAnsi="Calibri"/>
                <w:sz w:val="14"/>
                <w:szCs w:val="14"/>
                <w:color w:val="333333"/>
              </w:rPr>
              <w:t>6,000,000</w:t>
            </w:r>
          </w:p>
        </w:tc>
        <w:tc>
          <w:tcPr>
            <w:tcW w:w="1960" w:type="dxa"/>
            <w:vAlign w:val="bottom"/>
            <w:gridSpan w:val="3"/>
          </w:tcPr>
          <w:p>
            <w:pPr>
              <w:jc w:val="center"/>
              <w:ind w:left="529"/>
              <w:spacing w:after="0" w:line="169" w:lineRule="exact"/>
              <w:rPr>
                <w:sz w:val="20"/>
                <w:szCs w:val="20"/>
                <w:color w:val="auto"/>
              </w:rPr>
            </w:pPr>
            <w:r>
              <w:rPr>
                <w:rFonts w:ascii="Calibri" w:cs="Calibri" w:eastAsia="Calibri" w:hAnsi="Calibri"/>
                <w:sz w:val="14"/>
                <w:szCs w:val="14"/>
                <w:color w:val="333333"/>
                <w:w w:val="98"/>
              </w:rPr>
              <w:t>6,000,000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gridSpan w:val="2"/>
          </w:tcPr>
          <w:p>
            <w:pPr>
              <w:ind w:left="280"/>
              <w:spacing w:after="0" w:line="169" w:lineRule="exact"/>
              <w:rPr>
                <w:sz w:val="20"/>
                <w:szCs w:val="20"/>
                <w:color w:val="auto"/>
              </w:rPr>
            </w:pPr>
            <w:r>
              <w:rPr>
                <w:rFonts w:ascii="Calibri" w:cs="Calibri" w:eastAsia="Calibri" w:hAnsi="Calibri"/>
                <w:sz w:val="14"/>
                <w:szCs w:val="14"/>
                <w:color w:val="333333"/>
              </w:rPr>
              <w:t>Health and Welfare Benefts</w:t>
            </w:r>
          </w:p>
        </w:tc>
        <w:tc>
          <w:tcPr>
            <w:tcW w:w="980" w:type="dxa"/>
            <w:vAlign w:val="bottom"/>
            <w:vMerge w:val="restart"/>
          </w:tcPr>
          <w:p>
            <w:pPr>
              <w:ind w:left="540"/>
              <w:spacing w:after="0"/>
              <w:rPr>
                <w:sz w:val="20"/>
                <w:szCs w:val="20"/>
                <w:color w:val="auto"/>
              </w:rPr>
            </w:pPr>
            <w:r>
              <w:rPr>
                <w:rFonts w:ascii="Calibri" w:cs="Calibri" w:eastAsia="Calibri" w:hAnsi="Calibri"/>
                <w:sz w:val="14"/>
                <w:szCs w:val="14"/>
                <w:color w:val="333333"/>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vMerge w:val="restart"/>
          </w:tcPr>
          <w:p>
            <w:pPr>
              <w:jc w:val="center"/>
              <w:ind w:right="420"/>
              <w:spacing w:after="0"/>
              <w:rPr>
                <w:sz w:val="20"/>
                <w:szCs w:val="20"/>
                <w:color w:val="auto"/>
              </w:rPr>
            </w:pPr>
            <w:r>
              <w:rPr>
                <w:rFonts w:ascii="Calibri" w:cs="Calibri" w:eastAsia="Calibri" w:hAnsi="Calibri"/>
                <w:sz w:val="14"/>
                <w:szCs w:val="14"/>
                <w:color w:val="333333"/>
              </w:rPr>
              <w:t>—</w:t>
            </w:r>
          </w:p>
        </w:tc>
        <w:tc>
          <w:tcPr>
            <w:tcW w:w="1420" w:type="dxa"/>
            <w:vAlign w:val="bottom"/>
            <w:vMerge w:val="restart"/>
          </w:tcPr>
          <w:p>
            <w:pPr>
              <w:jc w:val="center"/>
              <w:ind w:left="24"/>
              <w:spacing w:after="0"/>
              <w:rPr>
                <w:sz w:val="20"/>
                <w:szCs w:val="20"/>
                <w:color w:val="auto"/>
              </w:rPr>
            </w:pPr>
            <w:r>
              <w:rPr>
                <w:rFonts w:ascii="Calibri" w:cs="Calibri" w:eastAsia="Calibri" w:hAnsi="Calibri"/>
                <w:sz w:val="14"/>
                <w:szCs w:val="14"/>
                <w:color w:val="333333"/>
              </w:rPr>
              <w:t>25,724</w:t>
            </w:r>
          </w:p>
        </w:tc>
        <w:tc>
          <w:tcPr>
            <w:tcW w:w="1960" w:type="dxa"/>
            <w:vAlign w:val="bottom"/>
            <w:gridSpan w:val="3"/>
            <w:vMerge w:val="restart"/>
          </w:tcPr>
          <w:p>
            <w:pPr>
              <w:jc w:val="center"/>
              <w:ind w:left="529"/>
              <w:spacing w:after="0"/>
              <w:rPr>
                <w:sz w:val="20"/>
                <w:szCs w:val="20"/>
                <w:color w:val="auto"/>
              </w:rPr>
            </w:pPr>
            <w:r>
              <w:rPr>
                <w:rFonts w:ascii="Calibri" w:cs="Calibri" w:eastAsia="Calibri" w:hAnsi="Calibri"/>
                <w:sz w:val="14"/>
                <w:szCs w:val="14"/>
                <w:color w:val="333333"/>
              </w:rPr>
              <w:t>25,724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Calibri" w:cs="Calibri" w:eastAsia="Calibri" w:hAnsi="Calibri"/>
                <w:sz w:val="14"/>
                <w:szCs w:val="14"/>
                <w:color w:val="333333"/>
              </w:rPr>
              <w:t>25,724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440"/>
              <w:spacing w:after="0"/>
              <w:rPr>
                <w:sz w:val="20"/>
                <w:szCs w:val="20"/>
                <w:color w:val="auto"/>
              </w:rPr>
            </w:pPr>
            <w:r>
              <w:rPr>
                <w:rFonts w:ascii="Calibri" w:cs="Calibri" w:eastAsia="Calibri" w:hAnsi="Calibri"/>
                <w:sz w:val="11"/>
                <w:szCs w:val="11"/>
                <w:color w:val="333333"/>
              </w:rPr>
              <w:t>(12)</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gridSpan w:val="2"/>
          </w:tcPr>
          <w:p>
            <w:pPr>
              <w:ind w:left="280"/>
              <w:spacing w:after="0" w:line="168" w:lineRule="exact"/>
              <w:rPr>
                <w:sz w:val="20"/>
                <w:szCs w:val="20"/>
                <w:color w:val="auto"/>
              </w:rPr>
            </w:pPr>
            <w:r>
              <w:rPr>
                <w:rFonts w:ascii="Calibri" w:cs="Calibri" w:eastAsia="Calibri" w:hAnsi="Calibri"/>
                <w:sz w:val="14"/>
                <w:szCs w:val="14"/>
                <w:b w:val="1"/>
                <w:bCs w:val="1"/>
                <w:color w:val="333333"/>
              </w:rPr>
              <w:t>Total</w:t>
            </w:r>
          </w:p>
        </w:tc>
        <w:tc>
          <w:tcPr>
            <w:tcW w:w="980" w:type="dxa"/>
            <w:vAlign w:val="bottom"/>
            <w:tcBorders>
              <w:top w:val="single" w:sz="8" w:color="333333"/>
              <w:bottom w:val="single" w:sz="8" w:color="333333"/>
            </w:tcBorders>
          </w:tcPr>
          <w:p>
            <w:pPr>
              <w:ind w:left="540"/>
              <w:spacing w:after="0" w:line="169" w:lineRule="exact"/>
              <w:rPr>
                <w:sz w:val="20"/>
                <w:szCs w:val="20"/>
                <w:color w:val="auto"/>
              </w:rPr>
            </w:pPr>
            <w:r>
              <w:rPr>
                <w:rFonts w:ascii="Calibri" w:cs="Calibri" w:eastAsia="Calibri" w:hAnsi="Calibri"/>
                <w:sz w:val="14"/>
                <w:szCs w:val="14"/>
                <w:b w:val="1"/>
                <w:bCs w:val="1"/>
                <w:color w:val="333333"/>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top w:val="single" w:sz="8" w:color="333333"/>
              <w:bottom w:val="single" w:sz="8" w:color="333333"/>
            </w:tcBorders>
          </w:tcPr>
          <w:p>
            <w:pPr>
              <w:jc w:val="center"/>
              <w:ind w:left="5"/>
              <w:spacing w:after="0" w:line="169" w:lineRule="exact"/>
              <w:rPr>
                <w:sz w:val="20"/>
                <w:szCs w:val="20"/>
                <w:color w:val="auto"/>
              </w:rPr>
            </w:pPr>
            <w:r>
              <w:rPr>
                <w:rFonts w:ascii="Calibri" w:cs="Calibri" w:eastAsia="Calibri" w:hAnsi="Calibri"/>
                <w:sz w:val="14"/>
                <w:szCs w:val="14"/>
                <w:b w:val="1"/>
                <w:bCs w:val="1"/>
                <w:color w:val="333333"/>
              </w:rPr>
              <w:t>8,925,868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top w:val="single" w:sz="8" w:color="333333"/>
              <w:bottom w:val="single" w:sz="8" w:color="333333"/>
            </w:tcBorders>
          </w:tcPr>
          <w:p>
            <w:pPr>
              <w:jc w:val="center"/>
              <w:ind w:left="4"/>
              <w:spacing w:after="0" w:line="169" w:lineRule="exact"/>
              <w:rPr>
                <w:sz w:val="20"/>
                <w:szCs w:val="20"/>
                <w:color w:val="auto"/>
              </w:rPr>
            </w:pPr>
            <w:r>
              <w:rPr>
                <w:rFonts w:ascii="Calibri" w:cs="Calibri" w:eastAsia="Calibri" w:hAnsi="Calibri"/>
                <w:sz w:val="14"/>
                <w:szCs w:val="14"/>
                <w:b w:val="1"/>
                <w:bCs w:val="1"/>
                <w:color w:val="333333"/>
              </w:rPr>
              <w:t>13,165,280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top w:val="single" w:sz="8" w:color="333333"/>
              <w:bottom w:val="single" w:sz="8" w:color="333333"/>
            </w:tcBorders>
          </w:tcPr>
          <w:p>
            <w:pPr>
              <w:jc w:val="center"/>
              <w:ind w:left="2"/>
              <w:spacing w:after="0" w:line="169" w:lineRule="exact"/>
              <w:rPr>
                <w:sz w:val="20"/>
                <w:szCs w:val="20"/>
                <w:color w:val="auto"/>
              </w:rPr>
            </w:pPr>
            <w:r>
              <w:rPr>
                <w:rFonts w:ascii="Calibri" w:cs="Calibri" w:eastAsia="Calibri" w:hAnsi="Calibri"/>
                <w:sz w:val="14"/>
                <w:szCs w:val="14"/>
                <w:b w:val="1"/>
                <w:bCs w:val="1"/>
                <w:color w:val="333333"/>
                <w:w w:val="99"/>
              </w:rPr>
              <w:t>23,764,086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w w:val="99"/>
              </w:rPr>
              <w:t>17,764,086</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33333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33333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33333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33333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33333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100</w:t>
      </w:r>
    </w:p>
    <w:p>
      <w:pPr>
        <w:sectPr>
          <w:pgSz w:w="11900" w:h="16838" w:orient="portrait"/>
          <w:cols w:equalWidth="0" w:num="1">
            <w:col w:w="11100"/>
          </w:cols>
          <w:pgMar w:left="320" w:top="478"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140" w:type="dxa"/>
            <w:vAlign w:val="bottom"/>
            <w:tcBorders>
              <w:top w:val="single" w:sz="8" w:color="0591DB"/>
              <w:left w:val="single" w:sz="8" w:color="0591DB"/>
              <w:right w:val="single" w:sz="8" w:color="0591DB"/>
            </w:tcBorders>
          </w:tcPr>
          <w:p>
            <w:pPr>
              <w:spacing w:after="0"/>
              <w:rPr>
                <w:sz w:val="16"/>
                <w:szCs w:val="16"/>
                <w:color w:val="auto"/>
              </w:rPr>
            </w:pPr>
          </w:p>
        </w:tc>
        <w:tc>
          <w:tcPr>
            <w:tcW w:w="200" w:type="dxa"/>
            <w:vAlign w:val="bottom"/>
            <w:tcBorders>
              <w:top w:val="single" w:sz="8" w:color="0591DB"/>
            </w:tcBorders>
          </w:tcPr>
          <w:p>
            <w:pPr>
              <w:spacing w:after="0"/>
              <w:rPr>
                <w:sz w:val="16"/>
                <w:szCs w:val="16"/>
                <w:color w:val="auto"/>
              </w:rPr>
            </w:pPr>
          </w:p>
        </w:tc>
        <w:tc>
          <w:tcPr>
            <w:tcW w:w="220" w:type="dxa"/>
            <w:vAlign w:val="bottom"/>
            <w:tcBorders>
              <w:top w:val="single" w:sz="8" w:color="0591DB"/>
            </w:tcBorders>
          </w:tcPr>
          <w:p>
            <w:pPr>
              <w:spacing w:after="0"/>
              <w:rPr>
                <w:sz w:val="16"/>
                <w:szCs w:val="16"/>
                <w:color w:val="auto"/>
              </w:rPr>
            </w:pPr>
          </w:p>
        </w:tc>
        <w:tc>
          <w:tcPr>
            <w:tcW w:w="740" w:type="dxa"/>
            <w:vAlign w:val="bottom"/>
            <w:tcBorders>
              <w:top w:val="single" w:sz="8" w:color="0591DB"/>
            </w:tcBorders>
          </w:tcPr>
          <w:p>
            <w:pPr>
              <w:spacing w:after="0"/>
              <w:rPr>
                <w:sz w:val="16"/>
                <w:szCs w:val="16"/>
                <w:color w:val="auto"/>
              </w:rPr>
            </w:pPr>
          </w:p>
        </w:tc>
        <w:tc>
          <w:tcPr>
            <w:tcW w:w="300" w:type="dxa"/>
            <w:vAlign w:val="bottom"/>
            <w:tcBorders>
              <w:top w:val="single" w:sz="8" w:color="0591DB"/>
              <w:right w:val="single" w:sz="8" w:color="0591DB"/>
            </w:tcBorders>
          </w:tcPr>
          <w:p>
            <w:pPr>
              <w:spacing w:after="0"/>
              <w:rPr>
                <w:sz w:val="16"/>
                <w:szCs w:val="16"/>
                <w:color w:val="auto"/>
              </w:rPr>
            </w:pPr>
          </w:p>
        </w:tc>
        <w:tc>
          <w:tcPr>
            <w:tcW w:w="200" w:type="dxa"/>
            <w:vAlign w:val="bottom"/>
            <w:tcBorders>
              <w:top w:val="single" w:sz="8" w:color="0591DB"/>
            </w:tcBorders>
          </w:tcPr>
          <w:p>
            <w:pPr>
              <w:spacing w:after="0"/>
              <w:rPr>
                <w:sz w:val="16"/>
                <w:szCs w:val="16"/>
                <w:color w:val="auto"/>
              </w:rPr>
            </w:pPr>
          </w:p>
        </w:tc>
        <w:tc>
          <w:tcPr>
            <w:tcW w:w="1460" w:type="dxa"/>
            <w:vAlign w:val="bottom"/>
            <w:tcBorders>
              <w:top w:val="single" w:sz="8" w:color="0591DB"/>
            </w:tcBorders>
          </w:tcPr>
          <w:p>
            <w:pPr>
              <w:spacing w:after="0"/>
              <w:rPr>
                <w:sz w:val="16"/>
                <w:szCs w:val="16"/>
                <w:color w:val="auto"/>
              </w:rPr>
            </w:pPr>
          </w:p>
        </w:tc>
        <w:tc>
          <w:tcPr>
            <w:tcW w:w="280" w:type="dxa"/>
            <w:vAlign w:val="bottom"/>
            <w:tcBorders>
              <w:top w:val="single" w:sz="8" w:color="0591DB"/>
              <w:right w:val="single" w:sz="8" w:color="0591DB"/>
            </w:tcBorders>
          </w:tcPr>
          <w:p>
            <w:pPr>
              <w:spacing w:after="0"/>
              <w:rPr>
                <w:sz w:val="16"/>
                <w:szCs w:val="16"/>
                <w:color w:val="auto"/>
              </w:rPr>
            </w:pPr>
          </w:p>
        </w:tc>
        <w:tc>
          <w:tcPr>
            <w:tcW w:w="220" w:type="dxa"/>
            <w:vAlign w:val="bottom"/>
            <w:tcBorders>
              <w:top w:val="single" w:sz="8" w:color="0591DB"/>
            </w:tcBorders>
          </w:tcPr>
          <w:p>
            <w:pPr>
              <w:spacing w:after="0"/>
              <w:rPr>
                <w:sz w:val="16"/>
                <w:szCs w:val="16"/>
                <w:color w:val="auto"/>
              </w:rPr>
            </w:pPr>
          </w:p>
        </w:tc>
        <w:tc>
          <w:tcPr>
            <w:tcW w:w="80" w:type="dxa"/>
            <w:vAlign w:val="bottom"/>
            <w:tcBorders>
              <w:top w:val="single" w:sz="8" w:color="0591DB"/>
            </w:tcBorders>
          </w:tcPr>
          <w:p>
            <w:pPr>
              <w:spacing w:after="0"/>
              <w:rPr>
                <w:sz w:val="16"/>
                <w:szCs w:val="16"/>
                <w:color w:val="auto"/>
              </w:rPr>
            </w:pPr>
          </w:p>
        </w:tc>
        <w:tc>
          <w:tcPr>
            <w:tcW w:w="1320" w:type="dxa"/>
            <w:vAlign w:val="bottom"/>
            <w:tcBorders>
              <w:top w:val="single" w:sz="8" w:color="0591DB"/>
            </w:tcBorders>
          </w:tcPr>
          <w:p>
            <w:pPr>
              <w:spacing w:after="0"/>
              <w:rPr>
                <w:sz w:val="16"/>
                <w:szCs w:val="16"/>
                <w:color w:val="auto"/>
              </w:rPr>
            </w:pPr>
          </w:p>
        </w:tc>
        <w:tc>
          <w:tcPr>
            <w:tcW w:w="320" w:type="dxa"/>
            <w:vAlign w:val="bottom"/>
            <w:tcBorders>
              <w:top w:val="single" w:sz="8" w:color="0591DB"/>
              <w:right w:val="single" w:sz="8" w:color="0591DB"/>
            </w:tcBorders>
          </w:tcPr>
          <w:p>
            <w:pPr>
              <w:spacing w:after="0"/>
              <w:rPr>
                <w:sz w:val="16"/>
                <w:szCs w:val="16"/>
                <w:color w:val="auto"/>
              </w:rPr>
            </w:pPr>
          </w:p>
        </w:tc>
        <w:tc>
          <w:tcPr>
            <w:tcW w:w="200" w:type="dxa"/>
            <w:vAlign w:val="bottom"/>
            <w:tcBorders>
              <w:top w:val="single" w:sz="8" w:color="0591DB"/>
            </w:tcBorders>
          </w:tcPr>
          <w:p>
            <w:pPr>
              <w:spacing w:after="0"/>
              <w:rPr>
                <w:sz w:val="16"/>
                <w:szCs w:val="16"/>
                <w:color w:val="auto"/>
              </w:rPr>
            </w:pPr>
          </w:p>
        </w:tc>
        <w:tc>
          <w:tcPr>
            <w:tcW w:w="1760" w:type="dxa"/>
            <w:vAlign w:val="bottom"/>
            <w:tcBorders>
              <w:top w:val="single" w:sz="8" w:color="0591DB"/>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w w:val="99"/>
              </w:rPr>
              <w:t>TERMINATION BY THE</w:t>
            </w:r>
          </w:p>
        </w:tc>
        <w:tc>
          <w:tcPr>
            <w:tcW w:w="200" w:type="dxa"/>
            <w:vAlign w:val="bottom"/>
            <w:tcBorders>
              <w:top w:val="single" w:sz="8" w:color="0591DB"/>
            </w:tcBorders>
          </w:tcPr>
          <w:p>
            <w:pPr>
              <w:spacing w:after="0"/>
              <w:rPr>
                <w:sz w:val="16"/>
                <w:szCs w:val="16"/>
                <w:color w:val="auto"/>
              </w:rPr>
            </w:pPr>
          </w:p>
        </w:tc>
        <w:tc>
          <w:tcPr>
            <w:tcW w:w="960" w:type="dxa"/>
            <w:vAlign w:val="bottom"/>
            <w:tcBorders>
              <w:top w:val="single" w:sz="8" w:color="0591DB"/>
            </w:tcBorders>
          </w:tcPr>
          <w:p>
            <w:pPr>
              <w:spacing w:after="0"/>
              <w:rPr>
                <w:sz w:val="16"/>
                <w:szCs w:val="16"/>
                <w:color w:val="auto"/>
              </w:rPr>
            </w:pPr>
          </w:p>
        </w:tc>
        <w:tc>
          <w:tcPr>
            <w:tcW w:w="300" w:type="dxa"/>
            <w:vAlign w:val="bottom"/>
            <w:tcBorders>
              <w:top w:val="single" w:sz="8" w:color="0591DB"/>
            </w:tcBorders>
          </w:tcPr>
          <w:p>
            <w:pPr>
              <w:spacing w:after="0"/>
              <w:rPr>
                <w:sz w:val="16"/>
                <w:szCs w:val="16"/>
                <w:color w:val="auto"/>
              </w:rPr>
            </w:pPr>
          </w:p>
        </w:tc>
        <w:tc>
          <w:tcPr>
            <w:tcW w:w="20" w:type="dxa"/>
            <w:vAlign w:val="bottom"/>
            <w:tcBorders>
              <w:top w:val="single" w:sz="8" w:color="0591DB"/>
            </w:tcBorders>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Borders>
              <w:left w:val="single" w:sz="8" w:color="0591DB"/>
              <w:right w:val="single" w:sz="8" w:color="0591DB"/>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right w:val="single" w:sz="8" w:color="0591DB"/>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right w:val="single" w:sz="8" w:color="0591DB"/>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Borders>
              <w:right w:val="single" w:sz="8" w:color="0591DB"/>
            </w:tcBorders>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Borders>
              <w:right w:val="single" w:sz="8" w:color="0591DB"/>
            </w:tcBorders>
            <w:gridSpan w:val="2"/>
          </w:tcPr>
          <w:p>
            <w:pPr>
              <w:jc w:val="center"/>
              <w:ind w:right="300"/>
              <w:spacing w:after="0" w:line="193" w:lineRule="exact"/>
              <w:rPr>
                <w:sz w:val="20"/>
                <w:szCs w:val="20"/>
                <w:color w:val="auto"/>
              </w:rPr>
            </w:pPr>
            <w:r>
              <w:rPr>
                <w:rFonts w:ascii="Calibri" w:cs="Calibri" w:eastAsia="Calibri" w:hAnsi="Calibri"/>
                <w:sz w:val="16"/>
                <w:szCs w:val="16"/>
                <w:b w:val="1"/>
                <w:bCs w:val="1"/>
                <w:color w:val="0591DB"/>
                <w:w w:val="98"/>
              </w:rPr>
              <w:t>COMPANY WITHOUT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40" w:type="dxa"/>
            <w:vAlign w:val="bottom"/>
            <w:tcBorders>
              <w:left w:val="single" w:sz="8" w:color="0591DB"/>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right w:val="single" w:sz="8" w:color="0591DB"/>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restart"/>
          </w:tcPr>
          <w:p>
            <w:pPr>
              <w:jc w:val="center"/>
              <w:ind w:right="5"/>
              <w:spacing w:after="0"/>
              <w:rPr>
                <w:sz w:val="20"/>
                <w:szCs w:val="20"/>
                <w:color w:val="auto"/>
              </w:rPr>
            </w:pPr>
            <w:r>
              <w:rPr>
                <w:rFonts w:ascii="Calibri" w:cs="Calibri" w:eastAsia="Calibri" w:hAnsi="Calibri"/>
                <w:sz w:val="16"/>
                <w:szCs w:val="16"/>
                <w:b w:val="1"/>
                <w:bCs w:val="1"/>
                <w:color w:val="0591DB"/>
                <w:w w:val="99"/>
              </w:rPr>
              <w:t>TERMINATION</w:t>
            </w:r>
          </w:p>
        </w:tc>
        <w:tc>
          <w:tcPr>
            <w:tcW w:w="32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w w:val="99"/>
              </w:rPr>
              <w:t>CAUSE COINCIDENT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40" w:type="dxa"/>
            <w:vAlign w:val="bottom"/>
            <w:tcBorders>
              <w:left w:val="single" w:sz="8" w:color="0591DB"/>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Borders>
              <w:right w:val="single" w:sz="8" w:color="0591DB"/>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Borders>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Borders>
              <w:right w:val="single" w:sz="8" w:color="0591DB"/>
            </w:tcBorders>
            <w:gridSpan w:val="2"/>
            <w:vMerge w:val="restart"/>
          </w:tcPr>
          <w:p>
            <w:pPr>
              <w:jc w:val="center"/>
              <w:ind w:right="300"/>
              <w:spacing w:after="0"/>
              <w:rPr>
                <w:sz w:val="20"/>
                <w:szCs w:val="20"/>
                <w:color w:val="auto"/>
              </w:rPr>
            </w:pPr>
            <w:r>
              <w:rPr>
                <w:rFonts w:ascii="Calibri" w:cs="Calibri" w:eastAsia="Calibri" w:hAnsi="Calibri"/>
                <w:sz w:val="16"/>
                <w:szCs w:val="16"/>
                <w:b w:val="1"/>
                <w:bCs w:val="1"/>
                <w:color w:val="0591DB"/>
              </w:rPr>
              <w:t>WITH OR FOLLOWING</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40" w:type="dxa"/>
            <w:vAlign w:val="bottom"/>
            <w:tcBorders>
              <w:left w:val="single" w:sz="8" w:color="0591DB"/>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Borders>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Borders>
              <w:right w:val="single" w:sz="8" w:color="0591DB"/>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vMerge w:val="restart"/>
          </w:tcPr>
          <w:p>
            <w:pPr>
              <w:jc w:val="center"/>
              <w:ind w:right="5"/>
              <w:spacing w:after="0"/>
              <w:rPr>
                <w:sz w:val="20"/>
                <w:szCs w:val="20"/>
                <w:color w:val="auto"/>
              </w:rPr>
            </w:pPr>
            <w:r>
              <w:rPr>
                <w:rFonts w:ascii="Calibri" w:cs="Calibri" w:eastAsia="Calibri" w:hAnsi="Calibri"/>
                <w:sz w:val="16"/>
                <w:szCs w:val="16"/>
                <w:b w:val="1"/>
                <w:bCs w:val="1"/>
                <w:color w:val="0591DB"/>
                <w:w w:val="99"/>
              </w:rPr>
              <w:t>BY THE COMPANY</w:t>
            </w:r>
          </w:p>
        </w:tc>
        <w:tc>
          <w:tcPr>
            <w:tcW w:w="320" w:type="dxa"/>
            <w:vAlign w:val="bottom"/>
            <w:tcBorders>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Borders>
              <w:right w:val="single" w:sz="8" w:color="0591DB"/>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shd w:val="clear" w:color="auto" w:fill="0591DB"/>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40" w:type="dxa"/>
            <w:vAlign w:val="bottom"/>
            <w:tcBorders>
              <w:left w:val="single" w:sz="8" w:color="0591DB"/>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Borders>
              <w:right w:val="single" w:sz="8" w:color="0591DB"/>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Borders>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Borders>
              <w:right w:val="single" w:sz="8" w:color="0591DB"/>
            </w:tcBorders>
            <w:gridSpan w:val="2"/>
            <w:vMerge w:val="restart"/>
          </w:tcPr>
          <w:p>
            <w:pPr>
              <w:jc w:val="center"/>
              <w:ind w:right="300"/>
              <w:spacing w:after="0"/>
              <w:rPr>
                <w:sz w:val="20"/>
                <w:szCs w:val="20"/>
                <w:color w:val="auto"/>
              </w:rPr>
            </w:pPr>
            <w:r>
              <w:rPr>
                <w:rFonts w:ascii="Calibri" w:cs="Calibri" w:eastAsia="Calibri" w:hAnsi="Calibri"/>
                <w:sz w:val="16"/>
                <w:szCs w:val="16"/>
                <w:b w:val="1"/>
                <w:bCs w:val="1"/>
                <w:color w:val="0591DB"/>
              </w:rPr>
              <w:t>A CHANGE IN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40" w:type="dxa"/>
            <w:vAlign w:val="bottom"/>
            <w:tcBorders>
              <w:left w:val="single" w:sz="8" w:color="0591DB"/>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Calibri" w:cs="Calibri" w:eastAsia="Calibri" w:hAnsi="Calibri"/>
                <w:sz w:val="16"/>
                <w:szCs w:val="16"/>
                <w:b w:val="1"/>
                <w:bCs w:val="1"/>
                <w:color w:val="0591DB"/>
                <w:w w:val="99"/>
              </w:rPr>
              <w:t>TERMINATION</w:t>
            </w:r>
          </w:p>
        </w:tc>
        <w:tc>
          <w:tcPr>
            <w:tcW w:w="300" w:type="dxa"/>
            <w:vAlign w:val="bottom"/>
            <w:tcBorders>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Borders>
              <w:right w:val="single" w:sz="8" w:color="0591DB"/>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gridSpan w:val="2"/>
            <w:vMerge w:val="restart"/>
          </w:tcPr>
          <w:p>
            <w:pPr>
              <w:jc w:val="center"/>
              <w:spacing w:after="0"/>
              <w:rPr>
                <w:sz w:val="20"/>
                <w:szCs w:val="20"/>
                <w:color w:val="auto"/>
              </w:rPr>
            </w:pPr>
            <w:r>
              <w:rPr>
                <w:rFonts w:ascii="Calibri" w:cs="Calibri" w:eastAsia="Calibri" w:hAnsi="Calibri"/>
                <w:sz w:val="16"/>
                <w:szCs w:val="16"/>
                <w:b w:val="1"/>
                <w:bCs w:val="1"/>
                <w:color w:val="0591DB"/>
                <w:w w:val="99"/>
              </w:rPr>
              <w:t>WITHOUT CAUSE OR</w:t>
            </w:r>
          </w:p>
        </w:tc>
        <w:tc>
          <w:tcPr>
            <w:tcW w:w="320" w:type="dxa"/>
            <w:vAlign w:val="bottom"/>
            <w:tcBorders>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Borders>
              <w:right w:val="single" w:sz="8" w:color="0591DB"/>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shd w:val="clear" w:color="auto" w:fill="0591DB"/>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40" w:type="dxa"/>
            <w:vAlign w:val="bottom"/>
            <w:tcBorders>
              <w:left w:val="single" w:sz="8" w:color="0591DB"/>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tcBorders>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Borders>
              <w:right w:val="single" w:sz="8" w:color="0591DB"/>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20" w:type="dxa"/>
            <w:vAlign w:val="bottom"/>
            <w:tcBorders>
              <w:right w:val="single" w:sz="8" w:color="0591DB"/>
            </w:tcBorders>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Borders>
              <w:right w:val="single" w:sz="8" w:color="0591DB"/>
            </w:tcBorders>
            <w:gridSpan w:val="2"/>
            <w:vMerge w:val="restart"/>
          </w:tcPr>
          <w:p>
            <w:pPr>
              <w:jc w:val="center"/>
              <w:ind w:right="300"/>
              <w:spacing w:after="0"/>
              <w:rPr>
                <w:sz w:val="20"/>
                <w:szCs w:val="20"/>
                <w:color w:val="auto"/>
              </w:rPr>
            </w:pPr>
            <w:r>
              <w:rPr>
                <w:rFonts w:ascii="Calibri" w:cs="Calibri" w:eastAsia="Calibri" w:hAnsi="Calibri"/>
                <w:sz w:val="16"/>
                <w:szCs w:val="16"/>
                <w:b w:val="1"/>
                <w:bCs w:val="1"/>
                <w:color w:val="0591DB"/>
                <w:w w:val="99"/>
              </w:rPr>
              <w:t>CONTROL OR BY THE</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40" w:type="dxa"/>
            <w:vAlign w:val="bottom"/>
            <w:tcBorders>
              <w:left w:val="single" w:sz="8" w:color="0591DB"/>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center"/>
              <w:ind w:right="128"/>
              <w:spacing w:after="0"/>
              <w:rPr>
                <w:sz w:val="20"/>
                <w:szCs w:val="20"/>
                <w:color w:val="auto"/>
              </w:rPr>
            </w:pPr>
            <w:r>
              <w:rPr>
                <w:rFonts w:ascii="Calibri" w:cs="Calibri" w:eastAsia="Calibri" w:hAnsi="Calibri"/>
                <w:sz w:val="16"/>
                <w:szCs w:val="16"/>
                <w:b w:val="1"/>
                <w:bCs w:val="1"/>
                <w:color w:val="0591DB"/>
                <w:w w:val="98"/>
              </w:rPr>
              <w:t>BY THE</w:t>
            </w:r>
          </w:p>
        </w:tc>
        <w:tc>
          <w:tcPr>
            <w:tcW w:w="300" w:type="dxa"/>
            <w:vAlign w:val="bottom"/>
            <w:tcBorders>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right w:val="single" w:sz="8" w:color="0591DB"/>
            </w:tcBorders>
            <w:gridSpan w:val="2"/>
            <w:vMerge w:val="restart"/>
          </w:tcPr>
          <w:p>
            <w:pPr>
              <w:jc w:val="center"/>
              <w:ind w:right="280"/>
              <w:spacing w:after="0"/>
              <w:rPr>
                <w:sz w:val="20"/>
                <w:szCs w:val="20"/>
                <w:color w:val="auto"/>
              </w:rPr>
            </w:pPr>
            <w:r>
              <w:rPr>
                <w:rFonts w:ascii="Calibri" w:cs="Calibri" w:eastAsia="Calibri" w:hAnsi="Calibri"/>
                <w:sz w:val="16"/>
                <w:szCs w:val="16"/>
                <w:b w:val="1"/>
                <w:bCs w:val="1"/>
                <w:color w:val="0591DB"/>
                <w:w w:val="98"/>
              </w:rPr>
              <w:t>VOLUNTARY</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vMerge w:val="restart"/>
          </w:tcPr>
          <w:p>
            <w:pPr>
              <w:jc w:val="center"/>
              <w:ind w:right="5"/>
              <w:spacing w:after="0"/>
              <w:rPr>
                <w:sz w:val="20"/>
                <w:szCs w:val="20"/>
                <w:color w:val="auto"/>
              </w:rPr>
            </w:pPr>
            <w:r>
              <w:rPr>
                <w:rFonts w:ascii="Calibri" w:cs="Calibri" w:eastAsia="Calibri" w:hAnsi="Calibri"/>
                <w:sz w:val="16"/>
                <w:szCs w:val="16"/>
                <w:b w:val="1"/>
                <w:bCs w:val="1"/>
                <w:color w:val="0591DB"/>
              </w:rPr>
              <w:t>BY THE EXECUTIVE</w:t>
            </w:r>
          </w:p>
        </w:tc>
        <w:tc>
          <w:tcPr>
            <w:tcW w:w="320" w:type="dxa"/>
            <w:vAlign w:val="bottom"/>
            <w:tcBorders>
              <w:right w:val="single" w:sz="8" w:color="0591DB"/>
            </w:tcBorders>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Borders>
              <w:right w:val="single" w:sz="8" w:color="0591DB"/>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shd w:val="clear" w:color="auto" w:fill="0591DB"/>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140" w:type="dxa"/>
            <w:vAlign w:val="bottom"/>
            <w:tcBorders>
              <w:left w:val="single" w:sz="8" w:color="0591DB"/>
              <w:right w:val="single" w:sz="8" w:color="0591DB"/>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Borders>
              <w:right w:val="single" w:sz="8" w:color="0591DB"/>
            </w:tcBorders>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Borders>
              <w:right w:val="single" w:sz="8" w:color="0591DB"/>
            </w:tcBorders>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320" w:type="dxa"/>
            <w:vAlign w:val="bottom"/>
            <w:tcBorders>
              <w:right w:val="single" w:sz="8" w:color="0591DB"/>
            </w:tcBorders>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Borders>
              <w:right w:val="single" w:sz="8" w:color="0591DB"/>
            </w:tcBorders>
            <w:gridSpan w:val="2"/>
          </w:tcPr>
          <w:p>
            <w:pPr>
              <w:jc w:val="center"/>
              <w:ind w:right="320"/>
              <w:spacing w:after="0" w:line="161" w:lineRule="exact"/>
              <w:rPr>
                <w:sz w:val="20"/>
                <w:szCs w:val="20"/>
                <w:color w:val="auto"/>
              </w:rPr>
            </w:pPr>
            <w:r>
              <w:rPr>
                <w:rFonts w:ascii="Calibri" w:cs="Calibri" w:eastAsia="Calibri" w:hAnsi="Calibri"/>
                <w:sz w:val="16"/>
                <w:szCs w:val="16"/>
                <w:b w:val="1"/>
                <w:bCs w:val="1"/>
                <w:color w:val="0591DB"/>
              </w:rPr>
              <w:t>EXECUTIVE OFFICER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shd w:val="clear" w:color="auto" w:fill="0591DB"/>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40" w:type="dxa"/>
            <w:vAlign w:val="bottom"/>
            <w:tcBorders>
              <w:left w:val="single" w:sz="8" w:color="0591DB"/>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spacing w:after="0" w:line="193" w:lineRule="exact"/>
              <w:rPr>
                <w:sz w:val="20"/>
                <w:szCs w:val="20"/>
                <w:color w:val="auto"/>
              </w:rPr>
            </w:pPr>
            <w:r>
              <w:rPr>
                <w:rFonts w:ascii="Calibri" w:cs="Calibri" w:eastAsia="Calibri" w:hAnsi="Calibri"/>
                <w:sz w:val="16"/>
                <w:szCs w:val="16"/>
                <w:b w:val="1"/>
                <w:bCs w:val="1"/>
                <w:color w:val="0591DB"/>
                <w:w w:val="96"/>
              </w:rPr>
              <w:t>COMPANY</w:t>
            </w:r>
          </w:p>
        </w:tc>
        <w:tc>
          <w:tcPr>
            <w:tcW w:w="3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9"/>
              </w:rPr>
              <w:t>TERMINATION BY THE</w:t>
            </w:r>
          </w:p>
        </w:tc>
        <w:tc>
          <w:tcPr>
            <w:tcW w:w="220" w:type="dxa"/>
            <w:vAlign w:val="bottom"/>
          </w:tcPr>
          <w:p>
            <w:pPr>
              <w:spacing w:after="0"/>
              <w:rPr>
                <w:sz w:val="17"/>
                <w:szCs w:val="17"/>
                <w:color w:val="auto"/>
              </w:rPr>
            </w:pPr>
          </w:p>
        </w:tc>
        <w:tc>
          <w:tcPr>
            <w:tcW w:w="1400" w:type="dxa"/>
            <w:vAlign w:val="bottom"/>
            <w:gridSpan w:val="2"/>
          </w:tcPr>
          <w:p>
            <w:pPr>
              <w:jc w:val="center"/>
              <w:spacing w:after="0" w:line="193" w:lineRule="exact"/>
              <w:rPr>
                <w:sz w:val="20"/>
                <w:szCs w:val="20"/>
                <w:color w:val="auto"/>
              </w:rPr>
            </w:pPr>
            <w:r>
              <w:rPr>
                <w:rFonts w:ascii="Calibri" w:cs="Calibri" w:eastAsia="Calibri" w:hAnsi="Calibri"/>
                <w:sz w:val="16"/>
                <w:szCs w:val="16"/>
                <w:b w:val="1"/>
                <w:bCs w:val="1"/>
                <w:color w:val="0591DB"/>
                <w:w w:val="99"/>
              </w:rPr>
              <w:t>OFFICER WITH GOOD</w:t>
            </w:r>
          </w:p>
        </w:tc>
        <w:tc>
          <w:tcPr>
            <w:tcW w:w="32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rPr>
              <w:t>WITH GOOD REASON</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line="193" w:lineRule="exact"/>
              <w:rPr>
                <w:sz w:val="20"/>
                <w:szCs w:val="20"/>
                <w:color w:val="auto"/>
              </w:rPr>
            </w:pPr>
            <w:r>
              <w:rPr>
                <w:rFonts w:ascii="Calibri" w:cs="Calibri" w:eastAsia="Calibri" w:hAnsi="Calibri"/>
                <w:sz w:val="16"/>
                <w:szCs w:val="16"/>
                <w:b w:val="1"/>
                <w:bCs w:val="1"/>
                <w:color w:val="0591DB"/>
              </w:rPr>
              <w:t>DISABILITY OR</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Borders>
              <w:left w:val="single" w:sz="8" w:color="0591DB"/>
              <w:right w:val="single" w:sz="8" w:color="0591DB"/>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spacing w:after="0" w:line="193" w:lineRule="exact"/>
              <w:rPr>
                <w:sz w:val="20"/>
                <w:szCs w:val="20"/>
                <w:color w:val="auto"/>
              </w:rPr>
            </w:pPr>
            <w:r>
              <w:rPr>
                <w:rFonts w:ascii="Calibri" w:cs="Calibri" w:eastAsia="Calibri" w:hAnsi="Calibri"/>
                <w:sz w:val="16"/>
                <w:szCs w:val="16"/>
                <w:b w:val="1"/>
                <w:bCs w:val="1"/>
                <w:color w:val="0591DB"/>
              </w:rPr>
              <w:t>FOR CAUSE</w:t>
            </w:r>
          </w:p>
        </w:tc>
        <w:tc>
          <w:tcPr>
            <w:tcW w:w="300" w:type="dxa"/>
            <w:vAlign w:val="bottom"/>
            <w:tcBorders>
              <w:right w:val="single" w:sz="8" w:color="0591DB"/>
            </w:tcBorders>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Borders>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rPr>
              <w:t>EXECUTIVE OFFICER</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right="5"/>
              <w:spacing w:after="0" w:line="193" w:lineRule="exact"/>
              <w:rPr>
                <w:sz w:val="20"/>
                <w:szCs w:val="20"/>
                <w:color w:val="auto"/>
              </w:rPr>
            </w:pPr>
            <w:r>
              <w:rPr>
                <w:rFonts w:ascii="Calibri" w:cs="Calibri" w:eastAsia="Calibri" w:hAnsi="Calibri"/>
                <w:sz w:val="16"/>
                <w:szCs w:val="16"/>
                <w:b w:val="1"/>
                <w:bCs w:val="1"/>
                <w:color w:val="0591DB"/>
              </w:rPr>
              <w:t>REASON</w:t>
            </w:r>
          </w:p>
        </w:tc>
        <w:tc>
          <w:tcPr>
            <w:tcW w:w="320" w:type="dxa"/>
            <w:vAlign w:val="bottom"/>
            <w:tcBorders>
              <w:right w:val="single" w:sz="8" w:color="0591DB"/>
            </w:tcBorders>
          </w:tcPr>
          <w:p>
            <w:pPr>
              <w:spacing w:after="0"/>
              <w:rPr>
                <w:sz w:val="16"/>
                <w:szCs w:val="16"/>
                <w:color w:val="auto"/>
              </w:rPr>
            </w:pPr>
          </w:p>
        </w:tc>
        <w:tc>
          <w:tcPr>
            <w:tcW w:w="1660" w:type="dxa"/>
            <w:vAlign w:val="bottom"/>
            <w:gridSpan w:val="2"/>
          </w:tcPr>
          <w:p>
            <w:pPr>
              <w:jc w:val="right"/>
              <w:ind w:right="584"/>
              <w:spacing w:after="0"/>
              <w:rPr>
                <w:sz w:val="20"/>
                <w:szCs w:val="20"/>
                <w:color w:val="auto"/>
              </w:rPr>
            </w:pPr>
            <w:r>
              <w:rPr>
                <w:rFonts w:ascii="Calibri" w:cs="Calibri" w:eastAsia="Calibri" w:hAnsi="Calibri"/>
                <w:sz w:val="12"/>
                <w:szCs w:val="12"/>
                <w:b w:val="1"/>
                <w:bCs w:val="1"/>
                <w:color w:val="0591DB"/>
              </w:rPr>
              <w:t>(1)</w:t>
            </w:r>
          </w:p>
        </w:tc>
        <w:tc>
          <w:tcPr>
            <w:tcW w:w="300" w:type="dxa"/>
            <w:vAlign w:val="bottom"/>
            <w:tcBorders>
              <w:right w:val="single" w:sz="8" w:color="0591DB"/>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line="193" w:lineRule="exact"/>
              <w:rPr>
                <w:sz w:val="20"/>
                <w:szCs w:val="20"/>
                <w:color w:val="auto"/>
              </w:rPr>
            </w:pPr>
            <w:r>
              <w:rPr>
                <w:rFonts w:ascii="Calibri" w:cs="Calibri" w:eastAsia="Calibri" w:hAnsi="Calibri"/>
                <w:sz w:val="16"/>
                <w:szCs w:val="16"/>
                <w:b w:val="1"/>
                <w:bCs w:val="1"/>
                <w:color w:val="0591DB"/>
                <w:w w:val="96"/>
              </w:rPr>
              <w:t>DEATH</w:t>
            </w: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40" w:type="dxa"/>
            <w:vAlign w:val="bottom"/>
            <w:tcBorders>
              <w:left w:val="single" w:sz="8" w:color="0591DB"/>
              <w:right w:val="single" w:sz="8" w:color="0591DB"/>
            </w:tcBorders>
          </w:tcPr>
          <w:p>
            <w:pPr>
              <w:spacing w:after="0"/>
              <w:rPr>
                <w:sz w:val="17"/>
                <w:szCs w:val="17"/>
                <w:color w:val="auto"/>
              </w:rPr>
            </w:pPr>
          </w:p>
        </w:tc>
        <w:tc>
          <w:tcPr>
            <w:tcW w:w="1160" w:type="dxa"/>
            <w:vAlign w:val="bottom"/>
            <w:gridSpan w:val="3"/>
          </w:tcPr>
          <w:p>
            <w:pPr>
              <w:jc w:val="center"/>
              <w:ind w:left="140"/>
              <w:spacing w:after="0" w:line="193" w:lineRule="exact"/>
              <w:rPr>
                <w:sz w:val="20"/>
                <w:szCs w:val="20"/>
                <w:color w:val="auto"/>
              </w:rPr>
            </w:pPr>
            <w:r>
              <w:rPr>
                <w:rFonts w:ascii="Calibri" w:cs="Calibri" w:eastAsia="Calibri" w:hAnsi="Calibri"/>
                <w:sz w:val="16"/>
                <w:szCs w:val="16"/>
                <w:b w:val="1"/>
                <w:bCs w:val="1"/>
                <w:color w:val="0591DB"/>
                <w:w w:val="99"/>
              </w:rPr>
              <w:t>($)</w:t>
            </w:r>
          </w:p>
        </w:tc>
        <w:tc>
          <w:tcPr>
            <w:tcW w:w="3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300"/>
              <w:spacing w:after="0"/>
              <w:rPr>
                <w:sz w:val="20"/>
                <w:szCs w:val="20"/>
                <w:color w:val="auto"/>
              </w:rPr>
            </w:pPr>
            <w:r>
              <w:rPr>
                <w:rFonts w:ascii="Calibri" w:cs="Calibri" w:eastAsia="Calibri" w:hAnsi="Calibri"/>
                <w:sz w:val="16"/>
                <w:szCs w:val="16"/>
                <w:b w:val="1"/>
                <w:bCs w:val="1"/>
                <w:color w:val="0591DB"/>
              </w:rPr>
              <w:t>WITHOUT GOOD</w:t>
            </w:r>
          </w:p>
        </w:tc>
        <w:tc>
          <w:tcPr>
            <w:tcW w:w="1620" w:type="dxa"/>
            <w:vAlign w:val="bottom"/>
            <w:gridSpan w:val="3"/>
          </w:tcPr>
          <w:p>
            <w:pPr>
              <w:jc w:val="center"/>
              <w:ind w:left="148"/>
              <w:spacing w:after="0" w:line="193" w:lineRule="exact"/>
              <w:rPr>
                <w:sz w:val="20"/>
                <w:szCs w:val="20"/>
                <w:color w:val="auto"/>
              </w:rPr>
            </w:pPr>
            <w:r>
              <w:rPr>
                <w:rFonts w:ascii="Calibri" w:cs="Calibri" w:eastAsia="Calibri" w:hAnsi="Calibri"/>
                <w:sz w:val="16"/>
                <w:szCs w:val="16"/>
                <w:b w:val="1"/>
                <w:bCs w:val="1"/>
                <w:color w:val="0591DB"/>
              </w:rPr>
              <w:t>($)</w:t>
            </w:r>
          </w:p>
        </w:tc>
        <w:tc>
          <w:tcPr>
            <w:tcW w:w="320" w:type="dxa"/>
            <w:vAlign w:val="bottom"/>
            <w:tcBorders>
              <w:right w:val="single" w:sz="8" w:color="0591DB"/>
            </w:tcBorders>
          </w:tcPr>
          <w:p>
            <w:pPr>
              <w:spacing w:after="0"/>
              <w:rPr>
                <w:sz w:val="17"/>
                <w:szCs w:val="17"/>
                <w:color w:val="auto"/>
              </w:rPr>
            </w:pPr>
          </w:p>
        </w:tc>
        <w:tc>
          <w:tcPr>
            <w:tcW w:w="1660" w:type="dxa"/>
            <w:vAlign w:val="bottom"/>
            <w:gridSpan w:val="2"/>
          </w:tcPr>
          <w:p>
            <w:pPr>
              <w:jc w:val="right"/>
              <w:ind w:right="564"/>
              <w:spacing w:after="0" w:line="193" w:lineRule="exact"/>
              <w:rPr>
                <w:sz w:val="20"/>
                <w:szCs w:val="20"/>
                <w:color w:val="auto"/>
              </w:rPr>
            </w:pPr>
            <w:r>
              <w:rPr>
                <w:rFonts w:ascii="Calibri" w:cs="Calibri" w:eastAsia="Calibri" w:hAnsi="Calibri"/>
                <w:sz w:val="16"/>
                <w:szCs w:val="16"/>
                <w:b w:val="1"/>
                <w:bCs w:val="1"/>
                <w:color w:val="0591DB"/>
              </w:rPr>
              <w:t>($)</w:t>
            </w:r>
          </w:p>
        </w:tc>
        <w:tc>
          <w:tcPr>
            <w:tcW w:w="3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w w:val="99"/>
              </w:rPr>
              <w:t>($)</w:t>
            </w:r>
          </w:p>
        </w:tc>
        <w:tc>
          <w:tcPr>
            <w:tcW w:w="300" w:type="dxa"/>
            <w:vAlign w:val="bottom"/>
          </w:tcPr>
          <w:p>
            <w:pPr>
              <w:spacing w:after="0"/>
              <w:rPr>
                <w:sz w:val="17"/>
                <w:szCs w:val="17"/>
                <w:color w:val="auto"/>
              </w:rPr>
            </w:pP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40" w:type="dxa"/>
            <w:vAlign w:val="bottom"/>
            <w:tcBorders>
              <w:left w:val="single" w:sz="8" w:color="0591DB"/>
              <w:right w:val="single" w:sz="8" w:color="0591DB"/>
            </w:tcBorders>
          </w:tcPr>
          <w:p>
            <w:pPr>
              <w:ind w:left="140"/>
              <w:spacing w:after="0"/>
              <w:rPr>
                <w:sz w:val="20"/>
                <w:szCs w:val="20"/>
                <w:color w:val="auto"/>
              </w:rPr>
            </w:pPr>
            <w:r>
              <w:rPr>
                <w:rFonts w:ascii="Calibri" w:cs="Calibri" w:eastAsia="Calibri" w:hAnsi="Calibri"/>
                <w:sz w:val="16"/>
                <w:szCs w:val="16"/>
                <w:b w:val="1"/>
                <w:bCs w:val="1"/>
                <w:color w:val="0591DB"/>
              </w:rPr>
              <w:t> NAME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28"/>
              <w:spacing w:after="0" w:line="193" w:lineRule="exact"/>
              <w:rPr>
                <w:sz w:val="20"/>
                <w:szCs w:val="20"/>
                <w:color w:val="auto"/>
              </w:rPr>
            </w:pPr>
            <w:r>
              <w:rPr>
                <w:rFonts w:ascii="Calibri" w:cs="Calibri" w:eastAsia="Calibri" w:hAnsi="Calibri"/>
                <w:sz w:val="16"/>
                <w:szCs w:val="16"/>
                <w:b w:val="1"/>
                <w:bCs w:val="1"/>
                <w:color w:val="0591DB"/>
              </w:rPr>
              <w:t>(a)</w:t>
            </w:r>
          </w:p>
        </w:tc>
        <w:tc>
          <w:tcPr>
            <w:tcW w:w="3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right w:val="single" w:sz="8" w:color="0591DB"/>
            </w:tcBorders>
            <w:gridSpan w:val="2"/>
          </w:tcPr>
          <w:p>
            <w:pPr>
              <w:jc w:val="center"/>
              <w:ind w:right="280"/>
              <w:spacing w:after="0"/>
              <w:rPr>
                <w:sz w:val="20"/>
                <w:szCs w:val="20"/>
                <w:color w:val="auto"/>
              </w:rPr>
            </w:pPr>
            <w:r>
              <w:rPr>
                <w:rFonts w:ascii="Calibri" w:cs="Calibri" w:eastAsia="Calibri" w:hAnsi="Calibri"/>
                <w:sz w:val="16"/>
                <w:szCs w:val="16"/>
                <w:b w:val="1"/>
                <w:bCs w:val="1"/>
                <w:color w:val="0591DB"/>
                <w:w w:val="97"/>
              </w:rPr>
              <w:t>REASON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right="5"/>
              <w:spacing w:after="0" w:line="193" w:lineRule="exact"/>
              <w:rPr>
                <w:sz w:val="20"/>
                <w:szCs w:val="20"/>
                <w:color w:val="auto"/>
              </w:rPr>
            </w:pPr>
            <w:r>
              <w:rPr>
                <w:rFonts w:ascii="Calibri" w:cs="Calibri" w:eastAsia="Calibri" w:hAnsi="Calibri"/>
                <w:sz w:val="16"/>
                <w:szCs w:val="16"/>
                <w:b w:val="1"/>
                <w:bCs w:val="1"/>
                <w:color w:val="0591DB"/>
              </w:rPr>
              <w:t>(b)</w:t>
            </w:r>
          </w:p>
        </w:tc>
        <w:tc>
          <w:tcPr>
            <w:tcW w:w="32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right w:val="single" w:sz="8" w:color="0591DB"/>
            </w:tcBorders>
            <w:gridSpan w:val="2"/>
          </w:tcPr>
          <w:p>
            <w:pPr>
              <w:jc w:val="center"/>
              <w:ind w:right="300"/>
              <w:spacing w:after="0" w:line="193" w:lineRule="exact"/>
              <w:rPr>
                <w:sz w:val="20"/>
                <w:szCs w:val="20"/>
                <w:color w:val="auto"/>
              </w:rPr>
            </w:pPr>
            <w:r>
              <w:rPr>
                <w:rFonts w:ascii="Calibri" w:cs="Calibri" w:eastAsia="Calibri" w:hAnsi="Calibri"/>
                <w:sz w:val="16"/>
                <w:szCs w:val="16"/>
                <w:b w:val="1"/>
                <w:bCs w:val="1"/>
                <w:color w:val="0591DB"/>
              </w:rPr>
              <w:t>(c)</w:t>
            </w:r>
          </w:p>
        </w:tc>
        <w:tc>
          <w:tcPr>
            <w:tcW w:w="200" w:type="dxa"/>
            <w:vAlign w:val="bottom"/>
          </w:tcPr>
          <w:p>
            <w:pPr>
              <w:spacing w:after="0"/>
              <w:rPr>
                <w:sz w:val="17"/>
                <w:szCs w:val="17"/>
                <w:color w:val="auto"/>
              </w:rPr>
            </w:pPr>
          </w:p>
        </w:tc>
        <w:tc>
          <w:tcPr>
            <w:tcW w:w="126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0591DB"/>
                <w:w w:val="96"/>
              </w:rPr>
              <w:t>(d)</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Borders>
              <w:left w:val="single" w:sz="8" w:color="0591DB"/>
              <w:bottom w:val="single" w:sz="8" w:color="0591DB"/>
              <w:right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220" w:type="dxa"/>
            <w:vAlign w:val="bottom"/>
            <w:tcBorders>
              <w:bottom w:val="single" w:sz="8" w:color="0591DB"/>
            </w:tcBorders>
          </w:tcPr>
          <w:p>
            <w:pPr>
              <w:spacing w:after="0"/>
              <w:rPr>
                <w:sz w:val="2"/>
                <w:szCs w:val="2"/>
                <w:color w:val="auto"/>
              </w:rPr>
            </w:pPr>
          </w:p>
        </w:tc>
        <w:tc>
          <w:tcPr>
            <w:tcW w:w="740" w:type="dxa"/>
            <w:vAlign w:val="bottom"/>
            <w:tcBorders>
              <w:bottom w:val="single" w:sz="8" w:color="0591DB"/>
            </w:tcBorders>
          </w:tcPr>
          <w:p>
            <w:pPr>
              <w:spacing w:after="0"/>
              <w:rPr>
                <w:sz w:val="2"/>
                <w:szCs w:val="2"/>
                <w:color w:val="auto"/>
              </w:rPr>
            </w:pPr>
          </w:p>
        </w:tc>
        <w:tc>
          <w:tcPr>
            <w:tcW w:w="300" w:type="dxa"/>
            <w:vAlign w:val="bottom"/>
            <w:tcBorders>
              <w:bottom w:val="single" w:sz="8" w:color="0591DB"/>
              <w:right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1460" w:type="dxa"/>
            <w:vAlign w:val="bottom"/>
            <w:tcBorders>
              <w:bottom w:val="single" w:sz="8" w:color="0591DB"/>
            </w:tcBorders>
          </w:tcPr>
          <w:p>
            <w:pPr>
              <w:spacing w:after="0"/>
              <w:rPr>
                <w:sz w:val="2"/>
                <w:szCs w:val="2"/>
                <w:color w:val="auto"/>
              </w:rPr>
            </w:pPr>
          </w:p>
        </w:tc>
        <w:tc>
          <w:tcPr>
            <w:tcW w:w="280" w:type="dxa"/>
            <w:vAlign w:val="bottom"/>
            <w:tcBorders>
              <w:bottom w:val="single" w:sz="8" w:color="0591DB"/>
              <w:right w:val="single" w:sz="8" w:color="0591DB"/>
            </w:tcBorders>
          </w:tcPr>
          <w:p>
            <w:pPr>
              <w:spacing w:after="0"/>
              <w:rPr>
                <w:sz w:val="2"/>
                <w:szCs w:val="2"/>
                <w:color w:val="auto"/>
              </w:rPr>
            </w:pPr>
          </w:p>
        </w:tc>
        <w:tc>
          <w:tcPr>
            <w:tcW w:w="220" w:type="dxa"/>
            <w:vAlign w:val="bottom"/>
            <w:tcBorders>
              <w:bottom w:val="single" w:sz="8" w:color="0591DB"/>
            </w:tcBorders>
          </w:tcPr>
          <w:p>
            <w:pPr>
              <w:spacing w:after="0"/>
              <w:rPr>
                <w:sz w:val="2"/>
                <w:szCs w:val="2"/>
                <w:color w:val="auto"/>
              </w:rPr>
            </w:pPr>
          </w:p>
        </w:tc>
        <w:tc>
          <w:tcPr>
            <w:tcW w:w="80" w:type="dxa"/>
            <w:vAlign w:val="bottom"/>
            <w:tcBorders>
              <w:bottom w:val="single" w:sz="8" w:color="0591DB"/>
            </w:tcBorders>
          </w:tcPr>
          <w:p>
            <w:pPr>
              <w:spacing w:after="0"/>
              <w:rPr>
                <w:sz w:val="2"/>
                <w:szCs w:val="2"/>
                <w:color w:val="auto"/>
              </w:rPr>
            </w:pPr>
          </w:p>
        </w:tc>
        <w:tc>
          <w:tcPr>
            <w:tcW w:w="1320" w:type="dxa"/>
            <w:vAlign w:val="bottom"/>
            <w:tcBorders>
              <w:bottom w:val="single" w:sz="8" w:color="0591DB"/>
            </w:tcBorders>
          </w:tcPr>
          <w:p>
            <w:pPr>
              <w:spacing w:after="0"/>
              <w:rPr>
                <w:sz w:val="2"/>
                <w:szCs w:val="2"/>
                <w:color w:val="auto"/>
              </w:rPr>
            </w:pPr>
          </w:p>
        </w:tc>
        <w:tc>
          <w:tcPr>
            <w:tcW w:w="320" w:type="dxa"/>
            <w:vAlign w:val="bottom"/>
            <w:tcBorders>
              <w:bottom w:val="single" w:sz="8" w:color="0591DB"/>
              <w:right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1460" w:type="dxa"/>
            <w:vAlign w:val="bottom"/>
            <w:tcBorders>
              <w:bottom w:val="single" w:sz="8" w:color="0591DB"/>
            </w:tcBorders>
          </w:tcPr>
          <w:p>
            <w:pPr>
              <w:spacing w:after="0"/>
              <w:rPr>
                <w:sz w:val="2"/>
                <w:szCs w:val="2"/>
                <w:color w:val="auto"/>
              </w:rPr>
            </w:pPr>
          </w:p>
        </w:tc>
        <w:tc>
          <w:tcPr>
            <w:tcW w:w="300" w:type="dxa"/>
            <w:vAlign w:val="bottom"/>
            <w:tcBorders>
              <w:bottom w:val="single" w:sz="8" w:color="0591DB"/>
              <w:right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960" w:type="dxa"/>
            <w:vAlign w:val="bottom"/>
            <w:tcBorders>
              <w:bottom w:val="single" w:sz="8" w:color="0591DB"/>
            </w:tcBorders>
          </w:tcPr>
          <w:p>
            <w:pPr>
              <w:spacing w:after="0"/>
              <w:rPr>
                <w:sz w:val="2"/>
                <w:szCs w:val="2"/>
                <w:color w:val="auto"/>
              </w:rPr>
            </w:pPr>
          </w:p>
        </w:tc>
        <w:tc>
          <w:tcPr>
            <w:tcW w:w="30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140" w:type="dxa"/>
            <w:vAlign w:val="bottom"/>
          </w:tcPr>
          <w:p>
            <w:pPr>
              <w:spacing w:after="0" w:line="153" w:lineRule="exact"/>
              <w:rPr>
                <w:sz w:val="20"/>
                <w:szCs w:val="20"/>
                <w:color w:val="auto"/>
              </w:rPr>
            </w:pPr>
            <w:r>
              <w:rPr>
                <w:rFonts w:ascii="Calibri" w:cs="Calibri" w:eastAsia="Calibri" w:hAnsi="Calibri"/>
                <w:sz w:val="14"/>
                <w:szCs w:val="14"/>
                <w:b w:val="1"/>
                <w:bCs w:val="1"/>
                <w:color w:val="0591DB"/>
              </w:rPr>
              <w:t> Paul Linton</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Pr>
          <w:p>
            <w:pPr>
              <w:ind w:left="140"/>
              <w:spacing w:after="0" w:line="169" w:lineRule="exact"/>
              <w:rPr>
                <w:sz w:val="20"/>
                <w:szCs w:val="20"/>
                <w:color w:val="auto"/>
              </w:rPr>
            </w:pPr>
            <w:r>
              <w:rPr>
                <w:rFonts w:ascii="Calibri" w:cs="Calibri" w:eastAsia="Calibri" w:hAnsi="Calibri"/>
                <w:sz w:val="14"/>
                <w:szCs w:val="14"/>
                <w:color w:val="333333"/>
              </w:rPr>
              <w:t>Base Salary</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840"/>
              <w:spacing w:after="0" w:line="169" w:lineRule="exact"/>
              <w:rPr>
                <w:sz w:val="20"/>
                <w:szCs w:val="20"/>
                <w:color w:val="auto"/>
              </w:rPr>
            </w:pPr>
            <w:r>
              <w:rPr>
                <w:rFonts w:ascii="Calibri" w:cs="Calibri" w:eastAsia="Calibri" w:hAnsi="Calibri"/>
                <w:sz w:val="14"/>
                <w:szCs w:val="14"/>
                <w:color w:val="333333"/>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3"/>
          </w:tcPr>
          <w:p>
            <w:pPr>
              <w:jc w:val="center"/>
              <w:ind w:right="420"/>
              <w:spacing w:after="0" w:line="169" w:lineRule="exact"/>
              <w:rPr>
                <w:sz w:val="20"/>
                <w:szCs w:val="20"/>
                <w:color w:val="auto"/>
              </w:rPr>
            </w:pPr>
            <w:r>
              <w:rPr>
                <w:rFonts w:ascii="Calibri" w:cs="Calibri" w:eastAsia="Calibri" w:hAnsi="Calibri"/>
                <w:sz w:val="14"/>
                <w:szCs w:val="14"/>
                <w:color w:val="333333"/>
              </w:rPr>
              <w:t>—</w:t>
            </w:r>
          </w:p>
        </w:tc>
        <w:tc>
          <w:tcPr>
            <w:tcW w:w="1260" w:type="dxa"/>
            <w:vAlign w:val="bottom"/>
            <w:gridSpan w:val="2"/>
          </w:tcPr>
          <w:p>
            <w:pPr>
              <w:jc w:val="center"/>
              <w:ind w:right="240"/>
              <w:spacing w:after="0" w:line="169" w:lineRule="exact"/>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40" w:type="dxa"/>
            <w:vAlign w:val="bottom"/>
          </w:tcPr>
          <w:p>
            <w:pPr>
              <w:ind w:left="140"/>
              <w:spacing w:after="0" w:line="179" w:lineRule="exact"/>
              <w:rPr>
                <w:sz w:val="20"/>
                <w:szCs w:val="20"/>
                <w:color w:val="auto"/>
              </w:rPr>
            </w:pPr>
            <w:r>
              <w:rPr>
                <w:rFonts w:ascii="Calibri" w:cs="Calibri" w:eastAsia="Calibri" w:hAnsi="Calibri"/>
                <w:sz w:val="13"/>
                <w:szCs w:val="13"/>
                <w:color w:val="333333"/>
              </w:rPr>
              <w:t xml:space="preserve">AIP: </w:t>
            </w:r>
            <w:r>
              <w:rPr>
                <w:rFonts w:ascii="Calibri" w:cs="Calibri" w:eastAsia="Calibri" w:hAnsi="Calibri"/>
                <w:sz w:val="19"/>
                <w:szCs w:val="19"/>
                <w:color w:val="333333"/>
                <w:vertAlign w:val="superscript"/>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Pr>
          <w:p>
            <w:pPr>
              <w:ind w:left="280"/>
              <w:spacing w:after="0" w:line="169" w:lineRule="exact"/>
              <w:rPr>
                <w:sz w:val="20"/>
                <w:szCs w:val="20"/>
                <w:color w:val="auto"/>
              </w:rPr>
            </w:pPr>
            <w:r>
              <w:rPr>
                <w:rFonts w:ascii="Calibri" w:cs="Calibri" w:eastAsia="Calibri" w:hAnsi="Calibri"/>
                <w:sz w:val="14"/>
                <w:szCs w:val="14"/>
                <w:color w:val="333333"/>
              </w:rPr>
              <w:t>Unpaid AIP for Year Prior to</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alibri" w:cs="Calibri" w:eastAsia="Calibri" w:hAnsi="Calibri"/>
                <w:sz w:val="14"/>
                <w:szCs w:val="14"/>
                <w:color w:val="333333"/>
              </w:rPr>
              <w:t>Terminaton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840"/>
              <w:spacing w:after="0"/>
              <w:rPr>
                <w:sz w:val="20"/>
                <w:szCs w:val="20"/>
                <w:color w:val="auto"/>
              </w:rPr>
            </w:pPr>
            <w:r>
              <w:rPr>
                <w:rFonts w:ascii="Calibri" w:cs="Calibri" w:eastAsia="Calibri" w:hAnsi="Calibri"/>
                <w:sz w:val="14"/>
                <w:szCs w:val="14"/>
                <w:color w:val="333333"/>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3"/>
          </w:tcPr>
          <w:p>
            <w:pPr>
              <w:jc w:val="center"/>
              <w:ind w:right="420"/>
              <w:spacing w:after="0"/>
              <w:rPr>
                <w:sz w:val="20"/>
                <w:szCs w:val="20"/>
                <w:color w:val="auto"/>
              </w:rPr>
            </w:pPr>
            <w:r>
              <w:rPr>
                <w:rFonts w:ascii="Calibri" w:cs="Calibri" w:eastAsia="Calibri" w:hAnsi="Calibri"/>
                <w:sz w:val="14"/>
                <w:szCs w:val="14"/>
                <w:color w:val="333333"/>
              </w:rPr>
              <w:t>—</w:t>
            </w:r>
          </w:p>
        </w:tc>
        <w:tc>
          <w:tcPr>
            <w:tcW w:w="1260" w:type="dxa"/>
            <w:vAlign w:val="bottom"/>
            <w:gridSpan w:val="2"/>
          </w:tcPr>
          <w:p>
            <w:pPr>
              <w:jc w:val="center"/>
              <w:ind w:right="240"/>
              <w:spacing w:after="0"/>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280"/>
              <w:spacing w:after="0"/>
              <w:rPr>
                <w:sz w:val="20"/>
                <w:szCs w:val="20"/>
                <w:color w:val="auto"/>
              </w:rPr>
            </w:pPr>
            <w:r>
              <w:rPr>
                <w:rFonts w:ascii="Calibri" w:cs="Calibri" w:eastAsia="Calibri" w:hAnsi="Calibri"/>
                <w:sz w:val="14"/>
                <w:szCs w:val="14"/>
                <w:color w:val="333333"/>
              </w:rPr>
              <w:t>Prorated AIP Based on Financial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alibri" w:cs="Calibri" w:eastAsia="Calibri" w:hAnsi="Calibri"/>
                <w:sz w:val="14"/>
                <w:szCs w:val="14"/>
                <w:color w:val="333333"/>
              </w:rPr>
              <w:t>Metrics for Year of</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alibri" w:cs="Calibri" w:eastAsia="Calibri" w:hAnsi="Calibri"/>
                <w:sz w:val="14"/>
                <w:szCs w:val="14"/>
                <w:color w:val="333333"/>
              </w:rPr>
              <w:t>Terminaton at Actual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840"/>
              <w:spacing w:after="0"/>
              <w:rPr>
                <w:sz w:val="20"/>
                <w:szCs w:val="20"/>
                <w:color w:val="auto"/>
              </w:rPr>
            </w:pPr>
            <w:r>
              <w:rPr>
                <w:rFonts w:ascii="Calibri" w:cs="Calibri" w:eastAsia="Calibri" w:hAnsi="Calibri"/>
                <w:sz w:val="14"/>
                <w:szCs w:val="14"/>
                <w:color w:val="333333"/>
              </w:rPr>
              <w:t>—</w:t>
            </w:r>
          </w:p>
        </w:tc>
        <w:tc>
          <w:tcPr>
            <w:tcW w:w="1620" w:type="dxa"/>
            <w:vAlign w:val="bottom"/>
            <w:gridSpan w:val="3"/>
          </w:tcPr>
          <w:p>
            <w:pPr>
              <w:jc w:val="center"/>
              <w:ind w:left="228"/>
              <w:spacing w:after="0"/>
              <w:rPr>
                <w:sz w:val="20"/>
                <w:szCs w:val="20"/>
                <w:color w:val="auto"/>
              </w:rPr>
            </w:pPr>
            <w:r>
              <w:rPr>
                <w:rFonts w:ascii="Calibri" w:cs="Calibri" w:eastAsia="Calibri" w:hAnsi="Calibri"/>
                <w:sz w:val="14"/>
                <w:szCs w:val="14"/>
                <w:color w:val="333333"/>
              </w:rPr>
              <w:t>692,950</w:t>
            </w:r>
          </w:p>
        </w:tc>
        <w:tc>
          <w:tcPr>
            <w:tcW w:w="1980" w:type="dxa"/>
            <w:vAlign w:val="bottom"/>
            <w:gridSpan w:val="3"/>
          </w:tcPr>
          <w:p>
            <w:pPr>
              <w:jc w:val="center"/>
              <w:ind w:left="529"/>
              <w:spacing w:after="0"/>
              <w:rPr>
                <w:sz w:val="20"/>
                <w:szCs w:val="20"/>
                <w:color w:val="auto"/>
              </w:rPr>
            </w:pPr>
            <w:r>
              <w:rPr>
                <w:rFonts w:ascii="Calibri" w:cs="Calibri" w:eastAsia="Calibri" w:hAnsi="Calibri"/>
                <w:sz w:val="14"/>
                <w:szCs w:val="14"/>
                <w:color w:val="333333"/>
                <w:w w:val="99"/>
              </w:rPr>
              <w:t>692,950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333333"/>
                <w:w w:val="99"/>
              </w:rPr>
              <w:t>692,950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280"/>
              <w:spacing w:after="0"/>
              <w:rPr>
                <w:sz w:val="20"/>
                <w:szCs w:val="20"/>
                <w:color w:val="auto"/>
              </w:rPr>
            </w:pPr>
            <w:r>
              <w:rPr>
                <w:rFonts w:ascii="Calibri" w:cs="Calibri" w:eastAsia="Calibri" w:hAnsi="Calibri"/>
                <w:sz w:val="14"/>
                <w:szCs w:val="14"/>
                <w:color w:val="333333"/>
              </w:rPr>
              <w:t>Prorated AIP for Year of</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alibri" w:cs="Calibri" w:eastAsia="Calibri" w:hAnsi="Calibri"/>
                <w:sz w:val="14"/>
                <w:szCs w:val="14"/>
                <w:color w:val="333333"/>
              </w:rPr>
              <w:t>Terminaton Based on Prior</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alibri" w:cs="Calibri" w:eastAsia="Calibri" w:hAnsi="Calibri"/>
                <w:sz w:val="14"/>
                <w:szCs w:val="14"/>
                <w:color w:val="333333"/>
              </w:rPr>
              <w:t>Year’s Individual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alibri" w:cs="Calibri" w:eastAsia="Calibri" w:hAnsi="Calibri"/>
                <w:sz w:val="14"/>
                <w:szCs w:val="14"/>
                <w:color w:val="333333"/>
              </w:rPr>
              <w:t>Performance at Actual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840"/>
              <w:spacing w:after="0"/>
              <w:rPr>
                <w:sz w:val="20"/>
                <w:szCs w:val="20"/>
                <w:color w:val="auto"/>
              </w:rPr>
            </w:pPr>
            <w:r>
              <w:rPr>
                <w:rFonts w:ascii="Calibri" w:cs="Calibri" w:eastAsia="Calibri" w:hAnsi="Calibri"/>
                <w:sz w:val="14"/>
                <w:szCs w:val="14"/>
                <w:color w:val="333333"/>
              </w:rPr>
              <w:t>—</w:t>
            </w:r>
          </w:p>
        </w:tc>
        <w:tc>
          <w:tcPr>
            <w:tcW w:w="1620" w:type="dxa"/>
            <w:vAlign w:val="bottom"/>
            <w:gridSpan w:val="3"/>
          </w:tcPr>
          <w:p>
            <w:pPr>
              <w:jc w:val="center"/>
              <w:ind w:left="228"/>
              <w:spacing w:after="0"/>
              <w:rPr>
                <w:sz w:val="20"/>
                <w:szCs w:val="20"/>
                <w:color w:val="auto"/>
              </w:rPr>
            </w:pPr>
            <w:r>
              <w:rPr>
                <w:rFonts w:ascii="Calibri" w:cs="Calibri" w:eastAsia="Calibri" w:hAnsi="Calibri"/>
                <w:sz w:val="14"/>
                <w:szCs w:val="14"/>
                <w:color w:val="333333"/>
              </w:rPr>
              <w:t>291,666</w:t>
            </w:r>
          </w:p>
        </w:tc>
        <w:tc>
          <w:tcPr>
            <w:tcW w:w="1980" w:type="dxa"/>
            <w:vAlign w:val="bottom"/>
            <w:gridSpan w:val="3"/>
          </w:tcPr>
          <w:p>
            <w:pPr>
              <w:jc w:val="center"/>
              <w:ind w:left="529"/>
              <w:spacing w:after="0"/>
              <w:rPr>
                <w:sz w:val="20"/>
                <w:szCs w:val="20"/>
                <w:color w:val="auto"/>
              </w:rPr>
            </w:pPr>
            <w:r>
              <w:rPr>
                <w:rFonts w:ascii="Calibri" w:cs="Calibri" w:eastAsia="Calibri" w:hAnsi="Calibri"/>
                <w:sz w:val="14"/>
                <w:szCs w:val="14"/>
                <w:color w:val="333333"/>
                <w:w w:val="99"/>
              </w:rPr>
              <w:t>291,666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333333"/>
                <w:w w:val="99"/>
              </w:rPr>
              <w:t>291,666</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40" w:type="dxa"/>
            <w:vAlign w:val="bottom"/>
          </w:tcPr>
          <w:p>
            <w:pPr>
              <w:ind w:left="280"/>
              <w:spacing w:after="0" w:line="179" w:lineRule="exact"/>
              <w:rPr>
                <w:sz w:val="20"/>
                <w:szCs w:val="20"/>
                <w:color w:val="auto"/>
              </w:rPr>
            </w:pPr>
            <w:r>
              <w:rPr>
                <w:rFonts w:ascii="Calibri" w:cs="Calibri" w:eastAsia="Calibri" w:hAnsi="Calibri"/>
                <w:sz w:val="13"/>
                <w:szCs w:val="13"/>
                <w:color w:val="333333"/>
              </w:rPr>
              <w:t xml:space="preserve">Equity Awards </w:t>
            </w:r>
            <w:r>
              <w:rPr>
                <w:rFonts w:ascii="Calibri" w:cs="Calibri" w:eastAsia="Calibri" w:hAnsi="Calibri"/>
                <w:sz w:val="19"/>
                <w:szCs w:val="19"/>
                <w:color w:val="333333"/>
                <w:vertAlign w:val="superscript"/>
              </w:rPr>
              <w:t>(3) (5) (7)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840"/>
              <w:spacing w:after="0"/>
              <w:rPr>
                <w:sz w:val="20"/>
                <w:szCs w:val="20"/>
                <w:color w:val="auto"/>
              </w:rPr>
            </w:pPr>
            <w:r>
              <w:rPr>
                <w:rFonts w:ascii="Calibri" w:cs="Calibri" w:eastAsia="Calibri" w:hAnsi="Calibri"/>
                <w:sz w:val="14"/>
                <w:szCs w:val="14"/>
                <w:color w:val="333333"/>
              </w:rPr>
              <w:t>—</w:t>
            </w:r>
          </w:p>
        </w:tc>
        <w:tc>
          <w:tcPr>
            <w:tcW w:w="1620" w:type="dxa"/>
            <w:vAlign w:val="bottom"/>
            <w:gridSpan w:val="3"/>
          </w:tcPr>
          <w:p>
            <w:pPr>
              <w:jc w:val="center"/>
              <w:ind w:left="228"/>
              <w:spacing w:after="0"/>
              <w:rPr>
                <w:sz w:val="20"/>
                <w:szCs w:val="20"/>
                <w:color w:val="auto"/>
              </w:rPr>
            </w:pPr>
            <w:r>
              <w:rPr>
                <w:rFonts w:ascii="Calibri" w:cs="Calibri" w:eastAsia="Calibri" w:hAnsi="Calibri"/>
                <w:sz w:val="14"/>
                <w:szCs w:val="14"/>
                <w:color w:val="333333"/>
                <w:w w:val="98"/>
              </w:rPr>
              <w:t>3,017,271</w:t>
            </w:r>
          </w:p>
        </w:tc>
        <w:tc>
          <w:tcPr>
            <w:tcW w:w="1980" w:type="dxa"/>
            <w:vAlign w:val="bottom"/>
            <w:gridSpan w:val="3"/>
          </w:tcPr>
          <w:p>
            <w:pPr>
              <w:jc w:val="center"/>
              <w:ind w:left="529"/>
              <w:spacing w:after="0"/>
              <w:rPr>
                <w:sz w:val="20"/>
                <w:szCs w:val="20"/>
                <w:color w:val="auto"/>
              </w:rPr>
            </w:pPr>
            <w:r>
              <w:rPr>
                <w:rFonts w:ascii="Calibri" w:cs="Calibri" w:eastAsia="Calibri" w:hAnsi="Calibri"/>
                <w:sz w:val="14"/>
                <w:szCs w:val="14"/>
                <w:color w:val="333333"/>
              </w:rPr>
              <w:t>3,017,271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333333"/>
              </w:rPr>
              <w:t>3,017,271</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280"/>
              <w:spacing w:after="0" w:line="174" w:lineRule="exact"/>
              <w:rPr>
                <w:sz w:val="20"/>
                <w:szCs w:val="20"/>
                <w:color w:val="auto"/>
              </w:rPr>
            </w:pPr>
            <w:r>
              <w:rPr>
                <w:rFonts w:ascii="Calibri" w:cs="Calibri" w:eastAsia="Calibri" w:hAnsi="Calibri"/>
                <w:sz w:val="12"/>
                <w:szCs w:val="12"/>
                <w:color w:val="333333"/>
              </w:rPr>
              <w:t xml:space="preserve">LTIP Performance Units </w:t>
            </w:r>
            <w:r>
              <w:rPr>
                <w:rFonts w:ascii="Calibri" w:cs="Calibri" w:eastAsia="Calibri" w:hAnsi="Calibri"/>
                <w:sz w:val="18"/>
                <w:szCs w:val="18"/>
                <w:color w:val="333333"/>
                <w:vertAlign w:val="superscript"/>
              </w:rPr>
              <w:t>(9)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840"/>
              <w:spacing w:after="0" w:line="169" w:lineRule="exact"/>
              <w:rPr>
                <w:sz w:val="20"/>
                <w:szCs w:val="20"/>
                <w:color w:val="auto"/>
              </w:rPr>
            </w:pPr>
            <w:r>
              <w:rPr>
                <w:rFonts w:ascii="Calibri" w:cs="Calibri" w:eastAsia="Calibri" w:hAnsi="Calibri"/>
                <w:sz w:val="14"/>
                <w:szCs w:val="14"/>
                <w:color w:val="333333"/>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1980" w:type="dxa"/>
            <w:vAlign w:val="bottom"/>
            <w:gridSpan w:val="3"/>
          </w:tcPr>
          <w:p>
            <w:pPr>
              <w:jc w:val="center"/>
              <w:ind w:left="529"/>
              <w:spacing w:after="0" w:line="169" w:lineRule="exact"/>
              <w:rPr>
                <w:sz w:val="20"/>
                <w:szCs w:val="20"/>
                <w:color w:val="auto"/>
              </w:rPr>
            </w:pPr>
            <w:r>
              <w:rPr>
                <w:rFonts w:ascii="Calibri" w:cs="Calibri" w:eastAsia="Calibri" w:hAnsi="Calibri"/>
                <w:sz w:val="14"/>
                <w:szCs w:val="14"/>
                <w:color w:val="333333"/>
              </w:rPr>
              <w:t>1,217,847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color w:val="333333"/>
              </w:rPr>
              <w:t>1,217,847</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280"/>
              <w:spacing w:after="0" w:line="174" w:lineRule="exact"/>
              <w:rPr>
                <w:sz w:val="20"/>
                <w:szCs w:val="20"/>
                <w:color w:val="auto"/>
              </w:rPr>
            </w:pPr>
            <w:r>
              <w:rPr>
                <w:rFonts w:ascii="Calibri" w:cs="Calibri" w:eastAsia="Calibri" w:hAnsi="Calibri"/>
                <w:sz w:val="12"/>
                <w:szCs w:val="12"/>
                <w:color w:val="333333"/>
              </w:rPr>
              <w:t xml:space="preserve">Severance Payment </w:t>
            </w:r>
            <w:r>
              <w:rPr>
                <w:rFonts w:ascii="Calibri" w:cs="Calibri" w:eastAsia="Calibri" w:hAnsi="Calibri"/>
                <w:sz w:val="18"/>
                <w:szCs w:val="18"/>
                <w:color w:val="333333"/>
                <w:vertAlign w:val="superscript"/>
              </w:rPr>
              <w:t>(11)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840"/>
              <w:spacing w:after="0" w:line="169" w:lineRule="exact"/>
              <w:rPr>
                <w:sz w:val="20"/>
                <w:szCs w:val="20"/>
                <w:color w:val="auto"/>
              </w:rPr>
            </w:pPr>
            <w:r>
              <w:rPr>
                <w:rFonts w:ascii="Calibri" w:cs="Calibri" w:eastAsia="Calibri" w:hAnsi="Calibri"/>
                <w:sz w:val="14"/>
                <w:szCs w:val="14"/>
                <w:color w:val="333333"/>
              </w:rPr>
              <w:t>—</w:t>
            </w:r>
          </w:p>
        </w:tc>
        <w:tc>
          <w:tcPr>
            <w:tcW w:w="1620" w:type="dxa"/>
            <w:vAlign w:val="bottom"/>
            <w:gridSpan w:val="3"/>
          </w:tcPr>
          <w:p>
            <w:pPr>
              <w:jc w:val="center"/>
              <w:ind w:left="228"/>
              <w:spacing w:after="0" w:line="169" w:lineRule="exact"/>
              <w:rPr>
                <w:sz w:val="20"/>
                <w:szCs w:val="20"/>
                <w:color w:val="auto"/>
              </w:rPr>
            </w:pPr>
            <w:r>
              <w:rPr>
                <w:rFonts w:ascii="Calibri" w:cs="Calibri" w:eastAsia="Calibri" w:hAnsi="Calibri"/>
                <w:sz w:val="14"/>
                <w:szCs w:val="14"/>
                <w:color w:val="333333"/>
              </w:rPr>
              <w:t>700,000</w:t>
            </w:r>
          </w:p>
        </w:tc>
        <w:tc>
          <w:tcPr>
            <w:tcW w:w="1980" w:type="dxa"/>
            <w:vAlign w:val="bottom"/>
            <w:gridSpan w:val="3"/>
          </w:tcPr>
          <w:p>
            <w:pPr>
              <w:jc w:val="center"/>
              <w:ind w:left="529"/>
              <w:spacing w:after="0" w:line="169" w:lineRule="exact"/>
              <w:rPr>
                <w:sz w:val="20"/>
                <w:szCs w:val="20"/>
                <w:color w:val="auto"/>
              </w:rPr>
            </w:pPr>
            <w:r>
              <w:rPr>
                <w:rFonts w:ascii="Calibri" w:cs="Calibri" w:eastAsia="Calibri" w:hAnsi="Calibri"/>
                <w:sz w:val="14"/>
                <w:szCs w:val="14"/>
                <w:color w:val="333333"/>
              </w:rPr>
              <w:t>1,575,000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40"/>
              <w:spacing w:after="0" w:line="169" w:lineRule="exact"/>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40" w:type="dxa"/>
            <w:vAlign w:val="bottom"/>
          </w:tcPr>
          <w:p>
            <w:pPr>
              <w:ind w:left="280"/>
              <w:spacing w:after="0" w:line="189" w:lineRule="exact"/>
              <w:rPr>
                <w:sz w:val="20"/>
                <w:szCs w:val="20"/>
                <w:color w:val="auto"/>
              </w:rPr>
            </w:pPr>
            <w:r>
              <w:rPr>
                <w:rFonts w:ascii="Calibri" w:cs="Calibri" w:eastAsia="Calibri" w:hAnsi="Calibri"/>
                <w:sz w:val="14"/>
                <w:szCs w:val="14"/>
                <w:color w:val="333333"/>
                <w:w w:val="99"/>
              </w:rPr>
              <w:t xml:space="preserve">Health and Welfare Benefts </w:t>
            </w:r>
            <w:r>
              <w:rPr>
                <w:rFonts w:ascii="Calibri" w:cs="Calibri" w:eastAsia="Calibri" w:hAnsi="Calibri"/>
                <w:sz w:val="20"/>
                <w:szCs w:val="20"/>
                <w:color w:val="333333"/>
                <w:w w:val="99"/>
                <w:vertAlign w:val="superscript"/>
              </w:rPr>
              <w:t>(12)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ind w:left="840"/>
              <w:spacing w:after="0" w:line="169" w:lineRule="exact"/>
              <w:rPr>
                <w:sz w:val="20"/>
                <w:szCs w:val="20"/>
                <w:color w:val="auto"/>
              </w:rPr>
            </w:pPr>
            <w:r>
              <w:rPr>
                <w:rFonts w:ascii="Calibri" w:cs="Calibri" w:eastAsia="Calibri" w:hAnsi="Calibri"/>
                <w:sz w:val="14"/>
                <w:szCs w:val="14"/>
                <w:color w:val="333333"/>
              </w:rPr>
              <w:t>—</w:t>
            </w:r>
          </w:p>
        </w:tc>
        <w:tc>
          <w:tcPr>
            <w:tcW w:w="1620" w:type="dxa"/>
            <w:vAlign w:val="bottom"/>
            <w:gridSpan w:val="3"/>
          </w:tcPr>
          <w:p>
            <w:pPr>
              <w:jc w:val="center"/>
              <w:ind w:left="228"/>
              <w:spacing w:after="0" w:line="169" w:lineRule="exact"/>
              <w:rPr>
                <w:sz w:val="20"/>
                <w:szCs w:val="20"/>
                <w:color w:val="auto"/>
              </w:rPr>
            </w:pPr>
            <w:r>
              <w:rPr>
                <w:rFonts w:ascii="Calibri" w:cs="Calibri" w:eastAsia="Calibri" w:hAnsi="Calibri"/>
                <w:sz w:val="14"/>
                <w:szCs w:val="14"/>
                <w:color w:val="333333"/>
              </w:rPr>
              <w:t>23,876</w:t>
            </w:r>
          </w:p>
        </w:tc>
        <w:tc>
          <w:tcPr>
            <w:tcW w:w="1980" w:type="dxa"/>
            <w:vAlign w:val="bottom"/>
            <w:gridSpan w:val="3"/>
          </w:tcPr>
          <w:p>
            <w:pPr>
              <w:jc w:val="center"/>
              <w:ind w:left="509"/>
              <w:spacing w:after="0" w:line="169" w:lineRule="exact"/>
              <w:rPr>
                <w:sz w:val="20"/>
                <w:szCs w:val="20"/>
                <w:color w:val="auto"/>
              </w:rPr>
            </w:pPr>
            <w:r>
              <w:rPr>
                <w:rFonts w:ascii="Calibri" w:cs="Calibri" w:eastAsia="Calibri" w:hAnsi="Calibri"/>
                <w:sz w:val="14"/>
                <w:szCs w:val="14"/>
                <w:color w:val="333333"/>
              </w:rPr>
              <w:t>23,876</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left="7"/>
              <w:spacing w:after="0" w:line="169" w:lineRule="exact"/>
              <w:rPr>
                <w:sz w:val="20"/>
                <w:szCs w:val="20"/>
                <w:color w:val="auto"/>
              </w:rPr>
            </w:pPr>
            <w:r>
              <w:rPr>
                <w:rFonts w:ascii="Calibri" w:cs="Calibri" w:eastAsia="Calibri" w:hAnsi="Calibri"/>
                <w:sz w:val="14"/>
                <w:szCs w:val="14"/>
                <w:color w:val="333333"/>
              </w:rPr>
              <w:t>23,876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ind w:left="280"/>
              <w:spacing w:after="0" w:line="161" w:lineRule="exact"/>
              <w:rPr>
                <w:sz w:val="20"/>
                <w:szCs w:val="20"/>
                <w:color w:val="auto"/>
              </w:rPr>
            </w:pPr>
            <w:r>
              <w:rPr>
                <w:rFonts w:ascii="Calibri" w:cs="Calibri" w:eastAsia="Calibri" w:hAnsi="Calibri"/>
                <w:sz w:val="14"/>
                <w:szCs w:val="14"/>
                <w:b w:val="1"/>
                <w:bCs w:val="1"/>
                <w:color w:val="333333"/>
              </w:rPr>
              <w:t>Total</w:t>
            </w:r>
          </w:p>
        </w:tc>
        <w:tc>
          <w:tcPr>
            <w:tcW w:w="200" w:type="dxa"/>
            <w:vAlign w:val="bottom"/>
          </w:tcPr>
          <w:p>
            <w:pPr>
              <w:spacing w:after="0"/>
              <w:rPr>
                <w:sz w:val="15"/>
                <w:szCs w:val="15"/>
                <w:color w:val="auto"/>
              </w:rPr>
            </w:pPr>
          </w:p>
        </w:tc>
        <w:tc>
          <w:tcPr>
            <w:tcW w:w="220" w:type="dxa"/>
            <w:vAlign w:val="bottom"/>
            <w:tcBorders>
              <w:top w:val="single" w:sz="8" w:color="333333"/>
              <w:bottom w:val="single" w:sz="8" w:color="333333"/>
            </w:tcBorders>
          </w:tcPr>
          <w:p>
            <w:pPr>
              <w:spacing w:after="0"/>
              <w:rPr>
                <w:sz w:val="15"/>
                <w:szCs w:val="15"/>
                <w:color w:val="auto"/>
              </w:rPr>
            </w:pPr>
          </w:p>
        </w:tc>
        <w:tc>
          <w:tcPr>
            <w:tcW w:w="740" w:type="dxa"/>
            <w:vAlign w:val="bottom"/>
            <w:tcBorders>
              <w:top w:val="single" w:sz="8" w:color="333333"/>
              <w:bottom w:val="single" w:sz="8" w:color="333333"/>
            </w:tcBorders>
          </w:tcPr>
          <w:p>
            <w:pPr>
              <w:ind w:left="300"/>
              <w:spacing w:after="0" w:line="169" w:lineRule="exact"/>
              <w:rPr>
                <w:sz w:val="20"/>
                <w:szCs w:val="20"/>
                <w:color w:val="auto"/>
              </w:rPr>
            </w:pPr>
            <w:r>
              <w:rPr>
                <w:rFonts w:ascii="Calibri" w:cs="Calibri" w:eastAsia="Calibri" w:hAnsi="Calibri"/>
                <w:sz w:val="14"/>
                <w:szCs w:val="14"/>
                <w:b w:val="1"/>
                <w:bCs w:val="1"/>
                <w:color w:val="333333"/>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333333"/>
              <w:bottom w:val="single" w:sz="8" w:color="333333"/>
            </w:tcBorders>
          </w:tcPr>
          <w:p>
            <w:pPr>
              <w:ind w:left="840"/>
              <w:spacing w:after="0" w:line="169" w:lineRule="exact"/>
              <w:rPr>
                <w:sz w:val="20"/>
                <w:szCs w:val="20"/>
                <w:color w:val="auto"/>
              </w:rPr>
            </w:pPr>
            <w:r>
              <w:rPr>
                <w:rFonts w:ascii="Calibri" w:cs="Calibri" w:eastAsia="Calibri" w:hAnsi="Calibri"/>
                <w:sz w:val="14"/>
                <w:szCs w:val="14"/>
                <w:b w:val="1"/>
                <w:bCs w:val="1"/>
                <w:color w:val="333333"/>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333333"/>
              <w:bottom w:val="single" w:sz="8" w:color="333333"/>
            </w:tcBorders>
            <w:gridSpan w:val="2"/>
          </w:tcPr>
          <w:p>
            <w:pPr>
              <w:jc w:val="center"/>
              <w:ind w:left="24"/>
              <w:spacing w:after="0" w:line="169" w:lineRule="exact"/>
              <w:rPr>
                <w:sz w:val="20"/>
                <w:szCs w:val="20"/>
                <w:color w:val="auto"/>
              </w:rPr>
            </w:pPr>
            <w:r>
              <w:rPr>
                <w:rFonts w:ascii="Calibri" w:cs="Calibri" w:eastAsia="Calibri" w:hAnsi="Calibri"/>
                <w:sz w:val="14"/>
                <w:szCs w:val="14"/>
                <w:b w:val="1"/>
                <w:bCs w:val="1"/>
                <w:color w:val="333333"/>
              </w:rPr>
              <w:t>4,725,763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333333"/>
              <w:bottom w:val="single" w:sz="8" w:color="333333"/>
            </w:tcBorders>
          </w:tcPr>
          <w:p>
            <w:pPr>
              <w:jc w:val="center"/>
              <w:ind w:left="4"/>
              <w:spacing w:after="0" w:line="169" w:lineRule="exact"/>
              <w:rPr>
                <w:sz w:val="20"/>
                <w:szCs w:val="20"/>
                <w:color w:val="auto"/>
              </w:rPr>
            </w:pPr>
            <w:r>
              <w:rPr>
                <w:rFonts w:ascii="Calibri" w:cs="Calibri" w:eastAsia="Calibri" w:hAnsi="Calibri"/>
                <w:sz w:val="14"/>
                <w:szCs w:val="14"/>
                <w:b w:val="1"/>
                <w:bCs w:val="1"/>
                <w:color w:val="333333"/>
              </w:rPr>
              <w:t>6,818,610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rPr>
              <w:t>5,243,610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333333"/>
            </w:tcBorders>
          </w:tcPr>
          <w:p>
            <w:pPr>
              <w:spacing w:after="0" w:line="20" w:lineRule="exact"/>
              <w:rPr>
                <w:sz w:val="1"/>
                <w:szCs w:val="1"/>
                <w:color w:val="auto"/>
              </w:rPr>
            </w:pPr>
          </w:p>
        </w:tc>
        <w:tc>
          <w:tcPr>
            <w:tcW w:w="740" w:type="dxa"/>
            <w:vAlign w:val="bottom"/>
            <w:tcBorders>
              <w:bottom w:val="single" w:sz="8" w:color="33333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33333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333333"/>
            </w:tcBorders>
          </w:tcPr>
          <w:p>
            <w:pPr>
              <w:spacing w:after="0" w:line="20" w:lineRule="exact"/>
              <w:rPr>
                <w:sz w:val="1"/>
                <w:szCs w:val="1"/>
                <w:color w:val="auto"/>
              </w:rPr>
            </w:pPr>
          </w:p>
        </w:tc>
        <w:tc>
          <w:tcPr>
            <w:tcW w:w="1320" w:type="dxa"/>
            <w:vAlign w:val="bottom"/>
            <w:tcBorders>
              <w:bottom w:val="single" w:sz="8" w:color="33333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33333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33333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Borders>
              <w:left w:val="single" w:sz="8" w:color="EFF2EF"/>
              <w:right w:val="single" w:sz="8" w:color="EFF2EF"/>
            </w:tcBorders>
            <w:shd w:val="clear" w:color="auto" w:fill="EFF2EF"/>
          </w:tcPr>
          <w:p>
            <w:pPr>
              <w:spacing w:after="0" w:line="169" w:lineRule="exact"/>
              <w:rPr>
                <w:sz w:val="20"/>
                <w:szCs w:val="20"/>
                <w:color w:val="auto"/>
              </w:rPr>
            </w:pPr>
            <w:r>
              <w:rPr>
                <w:rFonts w:ascii="Calibri" w:cs="Calibri" w:eastAsia="Calibri" w:hAnsi="Calibri"/>
                <w:sz w:val="14"/>
                <w:szCs w:val="14"/>
                <w:b w:val="1"/>
                <w:bCs w:val="1"/>
                <w:color w:val="0591DB"/>
              </w:rPr>
              <w:t> Curts P. Lu</w:t>
            </w:r>
          </w:p>
        </w:tc>
        <w:tc>
          <w:tcPr>
            <w:tcW w:w="200" w:type="dxa"/>
            <w:vAlign w:val="bottom"/>
            <w:shd w:val="clear" w:color="auto" w:fill="EFF2EF"/>
          </w:tcPr>
          <w:p>
            <w:pPr>
              <w:spacing w:after="0"/>
              <w:rPr>
                <w:sz w:val="14"/>
                <w:szCs w:val="14"/>
                <w:color w:val="auto"/>
              </w:rPr>
            </w:pPr>
          </w:p>
        </w:tc>
        <w:tc>
          <w:tcPr>
            <w:tcW w:w="220" w:type="dxa"/>
            <w:vAlign w:val="bottom"/>
            <w:shd w:val="clear" w:color="auto" w:fill="EFF2EF"/>
          </w:tcPr>
          <w:p>
            <w:pPr>
              <w:spacing w:after="0"/>
              <w:rPr>
                <w:sz w:val="14"/>
                <w:szCs w:val="14"/>
                <w:color w:val="auto"/>
              </w:rPr>
            </w:pPr>
          </w:p>
        </w:tc>
        <w:tc>
          <w:tcPr>
            <w:tcW w:w="740" w:type="dxa"/>
            <w:vAlign w:val="bottom"/>
            <w:shd w:val="clear" w:color="auto" w:fill="EFF2EF"/>
          </w:tcPr>
          <w:p>
            <w:pPr>
              <w:spacing w:after="0"/>
              <w:rPr>
                <w:sz w:val="14"/>
                <w:szCs w:val="14"/>
                <w:color w:val="auto"/>
              </w:rPr>
            </w:pPr>
          </w:p>
        </w:tc>
        <w:tc>
          <w:tcPr>
            <w:tcW w:w="30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1460" w:type="dxa"/>
            <w:vAlign w:val="bottom"/>
            <w:shd w:val="clear" w:color="auto" w:fill="EFF2EF"/>
          </w:tcPr>
          <w:p>
            <w:pPr>
              <w:spacing w:after="0"/>
              <w:rPr>
                <w:sz w:val="14"/>
                <w:szCs w:val="14"/>
                <w:color w:val="auto"/>
              </w:rPr>
            </w:pPr>
          </w:p>
        </w:tc>
        <w:tc>
          <w:tcPr>
            <w:tcW w:w="280" w:type="dxa"/>
            <w:vAlign w:val="bottom"/>
            <w:tcBorders>
              <w:right w:val="single" w:sz="8" w:color="EFF2EF"/>
            </w:tcBorders>
            <w:shd w:val="clear" w:color="auto" w:fill="EFF2EF"/>
          </w:tcPr>
          <w:p>
            <w:pPr>
              <w:spacing w:after="0"/>
              <w:rPr>
                <w:sz w:val="14"/>
                <w:szCs w:val="14"/>
                <w:color w:val="auto"/>
              </w:rPr>
            </w:pPr>
          </w:p>
        </w:tc>
        <w:tc>
          <w:tcPr>
            <w:tcW w:w="220" w:type="dxa"/>
            <w:vAlign w:val="bottom"/>
            <w:shd w:val="clear" w:color="auto" w:fill="EFF2EF"/>
          </w:tcPr>
          <w:p>
            <w:pPr>
              <w:spacing w:after="0"/>
              <w:rPr>
                <w:sz w:val="14"/>
                <w:szCs w:val="14"/>
                <w:color w:val="auto"/>
              </w:rPr>
            </w:pPr>
          </w:p>
        </w:tc>
        <w:tc>
          <w:tcPr>
            <w:tcW w:w="80" w:type="dxa"/>
            <w:vAlign w:val="bottom"/>
            <w:shd w:val="clear" w:color="auto" w:fill="EFF2EF"/>
          </w:tcPr>
          <w:p>
            <w:pPr>
              <w:spacing w:after="0"/>
              <w:rPr>
                <w:sz w:val="14"/>
                <w:szCs w:val="14"/>
                <w:color w:val="auto"/>
              </w:rPr>
            </w:pPr>
          </w:p>
        </w:tc>
        <w:tc>
          <w:tcPr>
            <w:tcW w:w="1320" w:type="dxa"/>
            <w:vAlign w:val="bottom"/>
            <w:shd w:val="clear" w:color="auto" w:fill="EFF2EF"/>
          </w:tcPr>
          <w:p>
            <w:pPr>
              <w:spacing w:after="0"/>
              <w:rPr>
                <w:sz w:val="14"/>
                <w:szCs w:val="14"/>
                <w:color w:val="auto"/>
              </w:rPr>
            </w:pPr>
          </w:p>
        </w:tc>
        <w:tc>
          <w:tcPr>
            <w:tcW w:w="32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1460" w:type="dxa"/>
            <w:vAlign w:val="bottom"/>
            <w:shd w:val="clear" w:color="auto" w:fill="EFF2EF"/>
          </w:tcPr>
          <w:p>
            <w:pPr>
              <w:spacing w:after="0"/>
              <w:rPr>
                <w:sz w:val="14"/>
                <w:szCs w:val="14"/>
                <w:color w:val="auto"/>
              </w:rPr>
            </w:pPr>
          </w:p>
        </w:tc>
        <w:tc>
          <w:tcPr>
            <w:tcW w:w="30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960" w:type="dxa"/>
            <w:vAlign w:val="bottom"/>
            <w:shd w:val="clear" w:color="auto" w:fill="EFF2EF"/>
          </w:tcPr>
          <w:p>
            <w:pPr>
              <w:spacing w:after="0"/>
              <w:rPr>
                <w:sz w:val="14"/>
                <w:szCs w:val="14"/>
                <w:color w:val="auto"/>
              </w:rPr>
            </w:pPr>
          </w:p>
        </w:tc>
        <w:tc>
          <w:tcPr>
            <w:tcW w:w="300" w:type="dxa"/>
            <w:vAlign w:val="bottom"/>
            <w:shd w:val="clear" w:color="auto" w:fill="EFF2E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Borders>
              <w:left w:val="single" w:sz="8" w:color="EFF2EF"/>
              <w:right w:val="single" w:sz="8" w:color="EFF2EF"/>
            </w:tcBorders>
            <w:shd w:val="clear" w:color="auto" w:fill="EFF2EF"/>
          </w:tcPr>
          <w:p>
            <w:pPr>
              <w:ind w:left="140"/>
              <w:spacing w:after="0" w:line="169" w:lineRule="exact"/>
              <w:rPr>
                <w:sz w:val="20"/>
                <w:szCs w:val="20"/>
                <w:color w:val="auto"/>
              </w:rPr>
            </w:pPr>
            <w:r>
              <w:rPr>
                <w:rFonts w:ascii="Calibri" w:cs="Calibri" w:eastAsia="Calibri" w:hAnsi="Calibri"/>
                <w:sz w:val="14"/>
                <w:szCs w:val="14"/>
                <w:color w:val="333333"/>
              </w:rPr>
              <w:t>Base Salary</w:t>
            </w:r>
          </w:p>
        </w:tc>
        <w:tc>
          <w:tcPr>
            <w:tcW w:w="200" w:type="dxa"/>
            <w:vAlign w:val="bottom"/>
            <w:shd w:val="clear" w:color="auto" w:fill="EFF2EF"/>
          </w:tcPr>
          <w:p>
            <w:pPr>
              <w:spacing w:after="0"/>
              <w:rPr>
                <w:sz w:val="14"/>
                <w:szCs w:val="14"/>
                <w:color w:val="auto"/>
              </w:rPr>
            </w:pPr>
          </w:p>
        </w:tc>
        <w:tc>
          <w:tcPr>
            <w:tcW w:w="220" w:type="dxa"/>
            <w:vAlign w:val="bottom"/>
            <w:shd w:val="clear" w:color="auto" w:fill="EFF2EF"/>
          </w:tcPr>
          <w:p>
            <w:pPr>
              <w:spacing w:after="0"/>
              <w:rPr>
                <w:sz w:val="14"/>
                <w:szCs w:val="14"/>
                <w:color w:val="auto"/>
              </w:rPr>
            </w:pPr>
          </w:p>
        </w:tc>
        <w:tc>
          <w:tcPr>
            <w:tcW w:w="740" w:type="dxa"/>
            <w:vAlign w:val="bottom"/>
            <w:shd w:val="clear" w:color="auto" w:fill="EFF2EF"/>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1740" w:type="dxa"/>
            <w:vAlign w:val="bottom"/>
            <w:tcBorders>
              <w:right w:val="single" w:sz="8" w:color="EFF2EF"/>
            </w:tcBorders>
            <w:gridSpan w:val="2"/>
            <w:shd w:val="clear" w:color="auto" w:fill="EFF2EF"/>
          </w:tcPr>
          <w:p>
            <w:pPr>
              <w:ind w:left="840"/>
              <w:spacing w:after="0" w:line="169" w:lineRule="exact"/>
              <w:rPr>
                <w:sz w:val="20"/>
                <w:szCs w:val="20"/>
                <w:color w:val="auto"/>
              </w:rPr>
            </w:pPr>
            <w:r>
              <w:rPr>
                <w:rFonts w:ascii="Calibri" w:cs="Calibri" w:eastAsia="Calibri" w:hAnsi="Calibri"/>
                <w:sz w:val="14"/>
                <w:szCs w:val="14"/>
                <w:color w:val="333333"/>
              </w:rPr>
              <w:t>—</w:t>
            </w:r>
          </w:p>
        </w:tc>
        <w:tc>
          <w:tcPr>
            <w:tcW w:w="220" w:type="dxa"/>
            <w:vAlign w:val="bottom"/>
            <w:shd w:val="clear" w:color="auto" w:fill="EFF2EF"/>
          </w:tcPr>
          <w:p>
            <w:pPr>
              <w:spacing w:after="0"/>
              <w:rPr>
                <w:sz w:val="14"/>
                <w:szCs w:val="14"/>
                <w:color w:val="auto"/>
              </w:rPr>
            </w:pPr>
          </w:p>
        </w:tc>
        <w:tc>
          <w:tcPr>
            <w:tcW w:w="80" w:type="dxa"/>
            <w:vAlign w:val="bottom"/>
            <w:shd w:val="clear" w:color="auto" w:fill="EFF2EF"/>
          </w:tcPr>
          <w:p>
            <w:pPr>
              <w:spacing w:after="0"/>
              <w:rPr>
                <w:sz w:val="14"/>
                <w:szCs w:val="14"/>
                <w:color w:val="auto"/>
              </w:rPr>
            </w:pPr>
          </w:p>
        </w:tc>
        <w:tc>
          <w:tcPr>
            <w:tcW w:w="132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2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1960" w:type="dxa"/>
            <w:vAlign w:val="bottom"/>
            <w:gridSpan w:val="3"/>
            <w:shd w:val="clear" w:color="auto" w:fill="EFF2EF"/>
          </w:tcPr>
          <w:p>
            <w:pPr>
              <w:jc w:val="center"/>
              <w:ind w:right="420"/>
              <w:spacing w:after="0" w:line="169" w:lineRule="exact"/>
              <w:rPr>
                <w:sz w:val="20"/>
                <w:szCs w:val="20"/>
                <w:color w:val="auto"/>
              </w:rPr>
            </w:pPr>
            <w:r>
              <w:rPr>
                <w:rFonts w:ascii="Calibri" w:cs="Calibri" w:eastAsia="Calibri" w:hAnsi="Calibri"/>
                <w:sz w:val="14"/>
                <w:szCs w:val="14"/>
                <w:color w:val="333333"/>
              </w:rPr>
              <w:t>—</w:t>
            </w:r>
          </w:p>
        </w:tc>
        <w:tc>
          <w:tcPr>
            <w:tcW w:w="1260" w:type="dxa"/>
            <w:vAlign w:val="bottom"/>
            <w:gridSpan w:val="2"/>
            <w:shd w:val="clear" w:color="auto" w:fill="EFF2EF"/>
          </w:tcPr>
          <w:p>
            <w:pPr>
              <w:jc w:val="center"/>
              <w:ind w:right="240"/>
              <w:spacing w:after="0" w:line="169" w:lineRule="exact"/>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140"/>
              <w:spacing w:after="0" w:line="184" w:lineRule="exact"/>
              <w:rPr>
                <w:sz w:val="20"/>
                <w:szCs w:val="20"/>
                <w:color w:val="auto"/>
              </w:rPr>
            </w:pPr>
            <w:r>
              <w:rPr>
                <w:rFonts w:ascii="Calibri" w:cs="Calibri" w:eastAsia="Calibri" w:hAnsi="Calibri"/>
                <w:sz w:val="14"/>
                <w:szCs w:val="14"/>
                <w:color w:val="333333"/>
              </w:rPr>
              <w:t xml:space="preserve">AIP: </w:t>
            </w:r>
            <w:r>
              <w:rPr>
                <w:rFonts w:ascii="Calibri" w:cs="Calibri" w:eastAsia="Calibri" w:hAnsi="Calibri"/>
                <w:sz w:val="20"/>
                <w:szCs w:val="20"/>
                <w:color w:val="333333"/>
                <w:vertAlign w:val="superscript"/>
              </w:rPr>
              <w:t>(2)</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spacing w:after="0"/>
              <w:rPr>
                <w:sz w:val="15"/>
                <w:szCs w:val="15"/>
                <w:color w:val="auto"/>
              </w:rPr>
            </w:pPr>
          </w:p>
        </w:tc>
        <w:tc>
          <w:tcPr>
            <w:tcW w:w="32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spacing w:after="0"/>
              <w:rPr>
                <w:sz w:val="15"/>
                <w:szCs w:val="15"/>
                <w:color w:val="auto"/>
              </w:rPr>
            </w:pP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Borders>
              <w:left w:val="single" w:sz="8" w:color="EFF2EF"/>
              <w:right w:val="single" w:sz="8" w:color="EFF2EF"/>
            </w:tcBorders>
            <w:shd w:val="clear" w:color="auto" w:fill="EFF2EF"/>
          </w:tcPr>
          <w:p>
            <w:pPr>
              <w:ind w:left="280"/>
              <w:spacing w:after="0" w:line="159" w:lineRule="exact"/>
              <w:rPr>
                <w:sz w:val="20"/>
                <w:szCs w:val="20"/>
                <w:color w:val="auto"/>
              </w:rPr>
            </w:pPr>
            <w:r>
              <w:rPr>
                <w:rFonts w:ascii="Calibri" w:cs="Calibri" w:eastAsia="Calibri" w:hAnsi="Calibri"/>
                <w:sz w:val="14"/>
                <w:szCs w:val="14"/>
                <w:color w:val="333333"/>
              </w:rPr>
              <w:t>Unpaid AIP for Year Prior to</w:t>
            </w:r>
          </w:p>
        </w:tc>
        <w:tc>
          <w:tcPr>
            <w:tcW w:w="200" w:type="dxa"/>
            <w:vAlign w:val="bottom"/>
            <w:shd w:val="clear" w:color="auto" w:fill="EFF2EF"/>
          </w:tcPr>
          <w:p>
            <w:pPr>
              <w:spacing w:after="0"/>
              <w:rPr>
                <w:sz w:val="13"/>
                <w:szCs w:val="13"/>
                <w:color w:val="auto"/>
              </w:rPr>
            </w:pPr>
          </w:p>
        </w:tc>
        <w:tc>
          <w:tcPr>
            <w:tcW w:w="220" w:type="dxa"/>
            <w:vAlign w:val="bottom"/>
            <w:shd w:val="clear" w:color="auto" w:fill="EFF2EF"/>
          </w:tcPr>
          <w:p>
            <w:pPr>
              <w:spacing w:after="0"/>
              <w:rPr>
                <w:sz w:val="13"/>
                <w:szCs w:val="13"/>
                <w:color w:val="auto"/>
              </w:rPr>
            </w:pPr>
          </w:p>
        </w:tc>
        <w:tc>
          <w:tcPr>
            <w:tcW w:w="740" w:type="dxa"/>
            <w:vAlign w:val="bottom"/>
            <w:shd w:val="clear" w:color="auto" w:fill="EFF2EF"/>
          </w:tcPr>
          <w:p>
            <w:pPr>
              <w:spacing w:after="0"/>
              <w:rPr>
                <w:sz w:val="13"/>
                <w:szCs w:val="13"/>
                <w:color w:val="auto"/>
              </w:rPr>
            </w:pPr>
          </w:p>
        </w:tc>
        <w:tc>
          <w:tcPr>
            <w:tcW w:w="300" w:type="dxa"/>
            <w:vAlign w:val="bottom"/>
            <w:tcBorders>
              <w:right w:val="single" w:sz="8" w:color="EFF2EF"/>
            </w:tcBorders>
            <w:shd w:val="clear" w:color="auto" w:fill="EFF2EF"/>
          </w:tcPr>
          <w:p>
            <w:pPr>
              <w:spacing w:after="0"/>
              <w:rPr>
                <w:sz w:val="13"/>
                <w:szCs w:val="13"/>
                <w:color w:val="auto"/>
              </w:rPr>
            </w:pPr>
          </w:p>
        </w:tc>
        <w:tc>
          <w:tcPr>
            <w:tcW w:w="200" w:type="dxa"/>
            <w:vAlign w:val="bottom"/>
            <w:shd w:val="clear" w:color="auto" w:fill="EFF2EF"/>
          </w:tcPr>
          <w:p>
            <w:pPr>
              <w:spacing w:after="0"/>
              <w:rPr>
                <w:sz w:val="13"/>
                <w:szCs w:val="13"/>
                <w:color w:val="auto"/>
              </w:rPr>
            </w:pPr>
          </w:p>
        </w:tc>
        <w:tc>
          <w:tcPr>
            <w:tcW w:w="1460" w:type="dxa"/>
            <w:vAlign w:val="bottom"/>
            <w:shd w:val="clear" w:color="auto" w:fill="EFF2EF"/>
          </w:tcPr>
          <w:p>
            <w:pPr>
              <w:spacing w:after="0"/>
              <w:rPr>
                <w:sz w:val="13"/>
                <w:szCs w:val="13"/>
                <w:color w:val="auto"/>
              </w:rPr>
            </w:pPr>
          </w:p>
        </w:tc>
        <w:tc>
          <w:tcPr>
            <w:tcW w:w="280" w:type="dxa"/>
            <w:vAlign w:val="bottom"/>
            <w:tcBorders>
              <w:right w:val="single" w:sz="8" w:color="EFF2EF"/>
            </w:tcBorders>
            <w:shd w:val="clear" w:color="auto" w:fill="EFF2EF"/>
          </w:tcPr>
          <w:p>
            <w:pPr>
              <w:spacing w:after="0"/>
              <w:rPr>
                <w:sz w:val="13"/>
                <w:szCs w:val="13"/>
                <w:color w:val="auto"/>
              </w:rPr>
            </w:pPr>
          </w:p>
        </w:tc>
        <w:tc>
          <w:tcPr>
            <w:tcW w:w="220" w:type="dxa"/>
            <w:vAlign w:val="bottom"/>
            <w:shd w:val="clear" w:color="auto" w:fill="EFF2EF"/>
          </w:tcPr>
          <w:p>
            <w:pPr>
              <w:spacing w:after="0"/>
              <w:rPr>
                <w:sz w:val="13"/>
                <w:szCs w:val="13"/>
                <w:color w:val="auto"/>
              </w:rPr>
            </w:pPr>
          </w:p>
        </w:tc>
        <w:tc>
          <w:tcPr>
            <w:tcW w:w="80" w:type="dxa"/>
            <w:vAlign w:val="bottom"/>
            <w:shd w:val="clear" w:color="auto" w:fill="EFF2EF"/>
          </w:tcPr>
          <w:p>
            <w:pPr>
              <w:spacing w:after="0"/>
              <w:rPr>
                <w:sz w:val="13"/>
                <w:szCs w:val="13"/>
                <w:color w:val="auto"/>
              </w:rPr>
            </w:pPr>
          </w:p>
        </w:tc>
        <w:tc>
          <w:tcPr>
            <w:tcW w:w="1320" w:type="dxa"/>
            <w:vAlign w:val="bottom"/>
            <w:shd w:val="clear" w:color="auto" w:fill="EFF2EF"/>
          </w:tcPr>
          <w:p>
            <w:pPr>
              <w:spacing w:after="0"/>
              <w:rPr>
                <w:sz w:val="13"/>
                <w:szCs w:val="13"/>
                <w:color w:val="auto"/>
              </w:rPr>
            </w:pPr>
          </w:p>
        </w:tc>
        <w:tc>
          <w:tcPr>
            <w:tcW w:w="320" w:type="dxa"/>
            <w:vAlign w:val="bottom"/>
            <w:tcBorders>
              <w:right w:val="single" w:sz="8" w:color="EFF2EF"/>
            </w:tcBorders>
            <w:shd w:val="clear" w:color="auto" w:fill="EFF2EF"/>
          </w:tcPr>
          <w:p>
            <w:pPr>
              <w:spacing w:after="0"/>
              <w:rPr>
                <w:sz w:val="13"/>
                <w:szCs w:val="13"/>
                <w:color w:val="auto"/>
              </w:rPr>
            </w:pPr>
          </w:p>
        </w:tc>
        <w:tc>
          <w:tcPr>
            <w:tcW w:w="200" w:type="dxa"/>
            <w:vAlign w:val="bottom"/>
            <w:shd w:val="clear" w:color="auto" w:fill="EFF2EF"/>
          </w:tcPr>
          <w:p>
            <w:pPr>
              <w:spacing w:after="0"/>
              <w:rPr>
                <w:sz w:val="13"/>
                <w:szCs w:val="13"/>
                <w:color w:val="auto"/>
              </w:rPr>
            </w:pPr>
          </w:p>
        </w:tc>
        <w:tc>
          <w:tcPr>
            <w:tcW w:w="1460" w:type="dxa"/>
            <w:vAlign w:val="bottom"/>
            <w:shd w:val="clear" w:color="auto" w:fill="EFF2EF"/>
          </w:tcPr>
          <w:p>
            <w:pPr>
              <w:spacing w:after="0"/>
              <w:rPr>
                <w:sz w:val="13"/>
                <w:szCs w:val="13"/>
                <w:color w:val="auto"/>
              </w:rPr>
            </w:pPr>
          </w:p>
        </w:tc>
        <w:tc>
          <w:tcPr>
            <w:tcW w:w="300" w:type="dxa"/>
            <w:vAlign w:val="bottom"/>
            <w:tcBorders>
              <w:right w:val="single" w:sz="8" w:color="EFF2EF"/>
            </w:tcBorders>
            <w:shd w:val="clear" w:color="auto" w:fill="EFF2EF"/>
          </w:tcPr>
          <w:p>
            <w:pPr>
              <w:spacing w:after="0"/>
              <w:rPr>
                <w:sz w:val="13"/>
                <w:szCs w:val="13"/>
                <w:color w:val="auto"/>
              </w:rPr>
            </w:pPr>
          </w:p>
        </w:tc>
        <w:tc>
          <w:tcPr>
            <w:tcW w:w="200" w:type="dxa"/>
            <w:vAlign w:val="bottom"/>
            <w:shd w:val="clear" w:color="auto" w:fill="EFF2EF"/>
          </w:tcPr>
          <w:p>
            <w:pPr>
              <w:spacing w:after="0"/>
              <w:rPr>
                <w:sz w:val="13"/>
                <w:szCs w:val="13"/>
                <w:color w:val="auto"/>
              </w:rPr>
            </w:pPr>
          </w:p>
        </w:tc>
        <w:tc>
          <w:tcPr>
            <w:tcW w:w="960" w:type="dxa"/>
            <w:vAlign w:val="bottom"/>
            <w:shd w:val="clear" w:color="auto" w:fill="EFF2EF"/>
          </w:tcPr>
          <w:p>
            <w:pPr>
              <w:spacing w:after="0"/>
              <w:rPr>
                <w:sz w:val="13"/>
                <w:szCs w:val="13"/>
                <w:color w:val="auto"/>
              </w:rPr>
            </w:pPr>
          </w:p>
        </w:tc>
        <w:tc>
          <w:tcPr>
            <w:tcW w:w="300" w:type="dxa"/>
            <w:vAlign w:val="bottom"/>
            <w:shd w:val="clear" w:color="auto" w:fill="EFF2E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Borders>
              <w:left w:val="single" w:sz="8" w:color="EFF2EF"/>
              <w:right w:val="single" w:sz="8" w:color="EFF2EF"/>
            </w:tcBorders>
            <w:shd w:val="clear" w:color="auto" w:fill="EFF2EF"/>
          </w:tcPr>
          <w:p>
            <w:pPr>
              <w:ind w:left="420"/>
              <w:spacing w:after="0" w:line="169" w:lineRule="exact"/>
              <w:rPr>
                <w:sz w:val="20"/>
                <w:szCs w:val="20"/>
                <w:color w:val="auto"/>
              </w:rPr>
            </w:pPr>
            <w:r>
              <w:rPr>
                <w:rFonts w:ascii="Calibri" w:cs="Calibri" w:eastAsia="Calibri" w:hAnsi="Calibri"/>
                <w:sz w:val="14"/>
                <w:szCs w:val="14"/>
                <w:color w:val="333333"/>
              </w:rPr>
              <w:t>Terminaton</w:t>
            </w:r>
          </w:p>
        </w:tc>
        <w:tc>
          <w:tcPr>
            <w:tcW w:w="200" w:type="dxa"/>
            <w:vAlign w:val="bottom"/>
            <w:shd w:val="clear" w:color="auto" w:fill="EFF2EF"/>
          </w:tcPr>
          <w:p>
            <w:pPr>
              <w:spacing w:after="0"/>
              <w:rPr>
                <w:sz w:val="14"/>
                <w:szCs w:val="14"/>
                <w:color w:val="auto"/>
              </w:rPr>
            </w:pPr>
          </w:p>
        </w:tc>
        <w:tc>
          <w:tcPr>
            <w:tcW w:w="220" w:type="dxa"/>
            <w:vAlign w:val="bottom"/>
            <w:shd w:val="clear" w:color="auto" w:fill="EFF2EF"/>
          </w:tcPr>
          <w:p>
            <w:pPr>
              <w:spacing w:after="0"/>
              <w:rPr>
                <w:sz w:val="14"/>
                <w:szCs w:val="14"/>
                <w:color w:val="auto"/>
              </w:rPr>
            </w:pPr>
          </w:p>
        </w:tc>
        <w:tc>
          <w:tcPr>
            <w:tcW w:w="740" w:type="dxa"/>
            <w:vAlign w:val="bottom"/>
            <w:shd w:val="clear" w:color="auto" w:fill="EFF2EF"/>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1740" w:type="dxa"/>
            <w:vAlign w:val="bottom"/>
            <w:tcBorders>
              <w:right w:val="single" w:sz="8" w:color="EFF2EF"/>
            </w:tcBorders>
            <w:gridSpan w:val="2"/>
            <w:shd w:val="clear" w:color="auto" w:fill="EFF2EF"/>
          </w:tcPr>
          <w:p>
            <w:pPr>
              <w:ind w:left="840"/>
              <w:spacing w:after="0" w:line="169" w:lineRule="exact"/>
              <w:rPr>
                <w:sz w:val="20"/>
                <w:szCs w:val="20"/>
                <w:color w:val="auto"/>
              </w:rPr>
            </w:pPr>
            <w:r>
              <w:rPr>
                <w:rFonts w:ascii="Calibri" w:cs="Calibri" w:eastAsia="Calibri" w:hAnsi="Calibri"/>
                <w:sz w:val="14"/>
                <w:szCs w:val="14"/>
                <w:color w:val="333333"/>
              </w:rPr>
              <w:t>—</w:t>
            </w:r>
          </w:p>
        </w:tc>
        <w:tc>
          <w:tcPr>
            <w:tcW w:w="220" w:type="dxa"/>
            <w:vAlign w:val="bottom"/>
            <w:shd w:val="clear" w:color="auto" w:fill="EFF2EF"/>
          </w:tcPr>
          <w:p>
            <w:pPr>
              <w:spacing w:after="0"/>
              <w:rPr>
                <w:sz w:val="14"/>
                <w:szCs w:val="14"/>
                <w:color w:val="auto"/>
              </w:rPr>
            </w:pPr>
          </w:p>
        </w:tc>
        <w:tc>
          <w:tcPr>
            <w:tcW w:w="80" w:type="dxa"/>
            <w:vAlign w:val="bottom"/>
            <w:shd w:val="clear" w:color="auto" w:fill="EFF2EF"/>
          </w:tcPr>
          <w:p>
            <w:pPr>
              <w:spacing w:after="0"/>
              <w:rPr>
                <w:sz w:val="14"/>
                <w:szCs w:val="14"/>
                <w:color w:val="auto"/>
              </w:rPr>
            </w:pPr>
          </w:p>
        </w:tc>
        <w:tc>
          <w:tcPr>
            <w:tcW w:w="132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20" w:type="dxa"/>
            <w:vAlign w:val="bottom"/>
            <w:tcBorders>
              <w:right w:val="single" w:sz="8" w:color="EFF2EF"/>
            </w:tcBorders>
            <w:shd w:val="clear" w:color="auto" w:fill="EFF2EF"/>
          </w:tcPr>
          <w:p>
            <w:pPr>
              <w:spacing w:after="0"/>
              <w:rPr>
                <w:sz w:val="14"/>
                <w:szCs w:val="14"/>
                <w:color w:val="auto"/>
              </w:rPr>
            </w:pPr>
          </w:p>
        </w:tc>
        <w:tc>
          <w:tcPr>
            <w:tcW w:w="200" w:type="dxa"/>
            <w:vAlign w:val="bottom"/>
            <w:shd w:val="clear" w:color="auto" w:fill="EFF2EF"/>
          </w:tcPr>
          <w:p>
            <w:pPr>
              <w:spacing w:after="0"/>
              <w:rPr>
                <w:sz w:val="14"/>
                <w:szCs w:val="14"/>
                <w:color w:val="auto"/>
              </w:rPr>
            </w:pPr>
          </w:p>
        </w:tc>
        <w:tc>
          <w:tcPr>
            <w:tcW w:w="1960" w:type="dxa"/>
            <w:vAlign w:val="bottom"/>
            <w:gridSpan w:val="3"/>
            <w:shd w:val="clear" w:color="auto" w:fill="EFF2EF"/>
          </w:tcPr>
          <w:p>
            <w:pPr>
              <w:jc w:val="center"/>
              <w:ind w:right="420"/>
              <w:spacing w:after="0" w:line="169" w:lineRule="exact"/>
              <w:rPr>
                <w:sz w:val="20"/>
                <w:szCs w:val="20"/>
                <w:color w:val="auto"/>
              </w:rPr>
            </w:pPr>
            <w:r>
              <w:rPr>
                <w:rFonts w:ascii="Calibri" w:cs="Calibri" w:eastAsia="Calibri" w:hAnsi="Calibri"/>
                <w:sz w:val="14"/>
                <w:szCs w:val="14"/>
                <w:color w:val="333333"/>
              </w:rPr>
              <w:t>—</w:t>
            </w:r>
          </w:p>
        </w:tc>
        <w:tc>
          <w:tcPr>
            <w:tcW w:w="1260" w:type="dxa"/>
            <w:vAlign w:val="bottom"/>
            <w:gridSpan w:val="2"/>
            <w:shd w:val="clear" w:color="auto" w:fill="EFF2EF"/>
          </w:tcPr>
          <w:p>
            <w:pPr>
              <w:jc w:val="center"/>
              <w:ind w:right="240"/>
              <w:spacing w:after="0" w:line="169" w:lineRule="exact"/>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280"/>
              <w:spacing w:after="0"/>
              <w:rPr>
                <w:sz w:val="20"/>
                <w:szCs w:val="20"/>
                <w:color w:val="auto"/>
              </w:rPr>
            </w:pPr>
            <w:r>
              <w:rPr>
                <w:rFonts w:ascii="Calibri" w:cs="Calibri" w:eastAsia="Calibri" w:hAnsi="Calibri"/>
                <w:sz w:val="14"/>
                <w:szCs w:val="14"/>
                <w:color w:val="333333"/>
              </w:rPr>
              <w:t>Prorated for AIP Based on</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spacing w:after="0"/>
              <w:rPr>
                <w:sz w:val="15"/>
                <w:szCs w:val="15"/>
                <w:color w:val="auto"/>
              </w:rPr>
            </w:pPr>
          </w:p>
        </w:tc>
        <w:tc>
          <w:tcPr>
            <w:tcW w:w="32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spacing w:after="0"/>
              <w:rPr>
                <w:sz w:val="15"/>
                <w:szCs w:val="15"/>
                <w:color w:val="auto"/>
              </w:rPr>
            </w:pP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420"/>
              <w:spacing w:after="0"/>
              <w:rPr>
                <w:sz w:val="20"/>
                <w:szCs w:val="20"/>
                <w:color w:val="auto"/>
              </w:rPr>
            </w:pPr>
            <w:r>
              <w:rPr>
                <w:rFonts w:ascii="Calibri" w:cs="Calibri" w:eastAsia="Calibri" w:hAnsi="Calibri"/>
                <w:sz w:val="14"/>
                <w:szCs w:val="14"/>
                <w:color w:val="333333"/>
              </w:rPr>
              <w:t>Financial Metrics for Year of</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spacing w:after="0"/>
              <w:rPr>
                <w:sz w:val="15"/>
                <w:szCs w:val="15"/>
                <w:color w:val="auto"/>
              </w:rPr>
            </w:pPr>
          </w:p>
        </w:tc>
        <w:tc>
          <w:tcPr>
            <w:tcW w:w="32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spacing w:after="0"/>
              <w:rPr>
                <w:sz w:val="15"/>
                <w:szCs w:val="15"/>
                <w:color w:val="auto"/>
              </w:rPr>
            </w:pP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420"/>
              <w:spacing w:after="0"/>
              <w:rPr>
                <w:sz w:val="20"/>
                <w:szCs w:val="20"/>
                <w:color w:val="auto"/>
              </w:rPr>
            </w:pPr>
            <w:r>
              <w:rPr>
                <w:rFonts w:ascii="Calibri" w:cs="Calibri" w:eastAsia="Calibri" w:hAnsi="Calibri"/>
                <w:sz w:val="14"/>
                <w:szCs w:val="14"/>
                <w:color w:val="333333"/>
              </w:rPr>
              <w:t>Terminaton at Actual</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740" w:type="dxa"/>
            <w:vAlign w:val="bottom"/>
            <w:tcBorders>
              <w:right w:val="single" w:sz="8" w:color="EFF2EF"/>
            </w:tcBorders>
            <w:gridSpan w:val="2"/>
            <w:shd w:val="clear" w:color="auto" w:fill="EFF2EF"/>
          </w:tcPr>
          <w:p>
            <w:pPr>
              <w:ind w:left="840"/>
              <w:spacing w:after="0"/>
              <w:rPr>
                <w:sz w:val="20"/>
                <w:szCs w:val="20"/>
                <w:color w:val="auto"/>
              </w:rPr>
            </w:pPr>
            <w:r>
              <w:rPr>
                <w:rFonts w:ascii="Calibri" w:cs="Calibri" w:eastAsia="Calibri" w:hAnsi="Calibri"/>
                <w:sz w:val="14"/>
                <w:szCs w:val="14"/>
                <w:color w:val="333333"/>
              </w:rPr>
              <w:t>—</w:t>
            </w:r>
          </w:p>
        </w:tc>
        <w:tc>
          <w:tcPr>
            <w:tcW w:w="1620" w:type="dxa"/>
            <w:vAlign w:val="bottom"/>
            <w:gridSpan w:val="3"/>
            <w:shd w:val="clear" w:color="auto" w:fill="EFF2EF"/>
          </w:tcPr>
          <w:p>
            <w:pPr>
              <w:jc w:val="center"/>
              <w:ind w:left="228"/>
              <w:spacing w:after="0"/>
              <w:rPr>
                <w:sz w:val="20"/>
                <w:szCs w:val="20"/>
                <w:color w:val="auto"/>
              </w:rPr>
            </w:pPr>
            <w:r>
              <w:rPr>
                <w:rFonts w:ascii="Calibri" w:cs="Calibri" w:eastAsia="Calibri" w:hAnsi="Calibri"/>
                <w:sz w:val="14"/>
                <w:szCs w:val="14"/>
                <w:color w:val="333333"/>
              </w:rPr>
              <w:t>692,950</w:t>
            </w:r>
          </w:p>
        </w:tc>
        <w:tc>
          <w:tcPr>
            <w:tcW w:w="1980" w:type="dxa"/>
            <w:vAlign w:val="bottom"/>
            <w:gridSpan w:val="3"/>
            <w:shd w:val="clear" w:color="auto" w:fill="EFF2EF"/>
          </w:tcPr>
          <w:p>
            <w:pPr>
              <w:jc w:val="center"/>
              <w:ind w:left="529"/>
              <w:spacing w:after="0"/>
              <w:rPr>
                <w:sz w:val="20"/>
                <w:szCs w:val="20"/>
                <w:color w:val="auto"/>
              </w:rPr>
            </w:pPr>
            <w:r>
              <w:rPr>
                <w:rFonts w:ascii="Calibri" w:cs="Calibri" w:eastAsia="Calibri" w:hAnsi="Calibri"/>
                <w:sz w:val="14"/>
                <w:szCs w:val="14"/>
                <w:color w:val="333333"/>
                <w:w w:val="99"/>
              </w:rPr>
              <w:t>692,950</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692,950</w:t>
            </w: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280"/>
              <w:spacing w:after="0"/>
              <w:rPr>
                <w:sz w:val="20"/>
                <w:szCs w:val="20"/>
                <w:color w:val="auto"/>
              </w:rPr>
            </w:pPr>
            <w:r>
              <w:rPr>
                <w:rFonts w:ascii="Calibri" w:cs="Calibri" w:eastAsia="Calibri" w:hAnsi="Calibri"/>
                <w:sz w:val="14"/>
                <w:szCs w:val="14"/>
                <w:color w:val="333333"/>
              </w:rPr>
              <w:t>Prorated AIP for Year of</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spacing w:after="0"/>
              <w:rPr>
                <w:sz w:val="15"/>
                <w:szCs w:val="15"/>
                <w:color w:val="auto"/>
              </w:rPr>
            </w:pPr>
          </w:p>
        </w:tc>
        <w:tc>
          <w:tcPr>
            <w:tcW w:w="32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spacing w:after="0"/>
              <w:rPr>
                <w:sz w:val="15"/>
                <w:szCs w:val="15"/>
                <w:color w:val="auto"/>
              </w:rPr>
            </w:pP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420"/>
              <w:spacing w:after="0"/>
              <w:rPr>
                <w:sz w:val="20"/>
                <w:szCs w:val="20"/>
                <w:color w:val="auto"/>
              </w:rPr>
            </w:pPr>
            <w:r>
              <w:rPr>
                <w:rFonts w:ascii="Calibri" w:cs="Calibri" w:eastAsia="Calibri" w:hAnsi="Calibri"/>
                <w:sz w:val="14"/>
                <w:szCs w:val="14"/>
                <w:color w:val="333333"/>
              </w:rPr>
              <w:t>Terminaton Based on Prior</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spacing w:after="0"/>
              <w:rPr>
                <w:sz w:val="15"/>
                <w:szCs w:val="15"/>
                <w:color w:val="auto"/>
              </w:rPr>
            </w:pPr>
          </w:p>
        </w:tc>
        <w:tc>
          <w:tcPr>
            <w:tcW w:w="32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spacing w:after="0"/>
              <w:rPr>
                <w:sz w:val="15"/>
                <w:szCs w:val="15"/>
                <w:color w:val="auto"/>
              </w:rPr>
            </w:pP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420"/>
              <w:spacing w:after="0"/>
              <w:rPr>
                <w:sz w:val="20"/>
                <w:szCs w:val="20"/>
                <w:color w:val="auto"/>
              </w:rPr>
            </w:pPr>
            <w:r>
              <w:rPr>
                <w:rFonts w:ascii="Calibri" w:cs="Calibri" w:eastAsia="Calibri" w:hAnsi="Calibri"/>
                <w:sz w:val="14"/>
                <w:szCs w:val="14"/>
                <w:color w:val="333333"/>
              </w:rPr>
              <w:t>Year’s Individual</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spacing w:after="0"/>
              <w:rPr>
                <w:sz w:val="15"/>
                <w:szCs w:val="15"/>
                <w:color w:val="auto"/>
              </w:rPr>
            </w:pPr>
          </w:p>
        </w:tc>
        <w:tc>
          <w:tcPr>
            <w:tcW w:w="32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spacing w:after="0"/>
              <w:rPr>
                <w:sz w:val="15"/>
                <w:szCs w:val="15"/>
                <w:color w:val="auto"/>
              </w:rPr>
            </w:pP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spacing w:after="0"/>
              <w:rPr>
                <w:sz w:val="15"/>
                <w:szCs w:val="15"/>
                <w:color w:val="auto"/>
              </w:rPr>
            </w:pP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420"/>
              <w:spacing w:after="0"/>
              <w:rPr>
                <w:sz w:val="20"/>
                <w:szCs w:val="20"/>
                <w:color w:val="auto"/>
              </w:rPr>
            </w:pPr>
            <w:r>
              <w:rPr>
                <w:rFonts w:ascii="Calibri" w:cs="Calibri" w:eastAsia="Calibri" w:hAnsi="Calibri"/>
                <w:sz w:val="14"/>
                <w:szCs w:val="14"/>
                <w:color w:val="333333"/>
              </w:rPr>
              <w:t>Performance at Actual</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740" w:type="dxa"/>
            <w:vAlign w:val="bottom"/>
            <w:tcBorders>
              <w:right w:val="single" w:sz="8" w:color="EFF2EF"/>
            </w:tcBorders>
            <w:gridSpan w:val="2"/>
            <w:shd w:val="clear" w:color="auto" w:fill="EFF2EF"/>
          </w:tcPr>
          <w:p>
            <w:pPr>
              <w:ind w:left="840"/>
              <w:spacing w:after="0"/>
              <w:rPr>
                <w:sz w:val="20"/>
                <w:szCs w:val="20"/>
                <w:color w:val="auto"/>
              </w:rPr>
            </w:pPr>
            <w:r>
              <w:rPr>
                <w:rFonts w:ascii="Calibri" w:cs="Calibri" w:eastAsia="Calibri" w:hAnsi="Calibri"/>
                <w:sz w:val="14"/>
                <w:szCs w:val="14"/>
                <w:color w:val="333333"/>
              </w:rPr>
              <w:t>—</w:t>
            </w:r>
          </w:p>
        </w:tc>
        <w:tc>
          <w:tcPr>
            <w:tcW w:w="1620" w:type="dxa"/>
            <w:vAlign w:val="bottom"/>
            <w:gridSpan w:val="3"/>
            <w:shd w:val="clear" w:color="auto" w:fill="EFF2EF"/>
          </w:tcPr>
          <w:p>
            <w:pPr>
              <w:jc w:val="center"/>
              <w:ind w:left="228"/>
              <w:spacing w:after="0"/>
              <w:rPr>
                <w:sz w:val="20"/>
                <w:szCs w:val="20"/>
                <w:color w:val="auto"/>
              </w:rPr>
            </w:pPr>
            <w:r>
              <w:rPr>
                <w:rFonts w:ascii="Calibri" w:cs="Calibri" w:eastAsia="Calibri" w:hAnsi="Calibri"/>
                <w:sz w:val="14"/>
                <w:szCs w:val="14"/>
                <w:color w:val="333333"/>
              </w:rPr>
              <w:t>364,583</w:t>
            </w:r>
          </w:p>
        </w:tc>
        <w:tc>
          <w:tcPr>
            <w:tcW w:w="1980" w:type="dxa"/>
            <w:vAlign w:val="bottom"/>
            <w:gridSpan w:val="3"/>
            <w:shd w:val="clear" w:color="auto" w:fill="EFF2EF"/>
          </w:tcPr>
          <w:p>
            <w:pPr>
              <w:jc w:val="center"/>
              <w:ind w:left="529"/>
              <w:spacing w:after="0"/>
              <w:rPr>
                <w:sz w:val="20"/>
                <w:szCs w:val="20"/>
                <w:color w:val="auto"/>
              </w:rPr>
            </w:pPr>
            <w:r>
              <w:rPr>
                <w:rFonts w:ascii="Calibri" w:cs="Calibri" w:eastAsia="Calibri" w:hAnsi="Calibri"/>
                <w:sz w:val="14"/>
                <w:szCs w:val="14"/>
                <w:color w:val="333333"/>
                <w:w w:val="99"/>
              </w:rPr>
              <w:t>364,583</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9"/>
              </w:rPr>
              <w:t>364,583</w:t>
            </w: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Borders>
              <w:left w:val="single" w:sz="8" w:color="EFF2EF"/>
              <w:right w:val="single" w:sz="8" w:color="EFF2EF"/>
            </w:tcBorders>
            <w:shd w:val="clear" w:color="auto" w:fill="EFF2EF"/>
          </w:tcPr>
          <w:p>
            <w:pPr>
              <w:ind w:left="280"/>
              <w:spacing w:after="0" w:line="194" w:lineRule="exact"/>
              <w:rPr>
                <w:sz w:val="20"/>
                <w:szCs w:val="20"/>
                <w:color w:val="auto"/>
              </w:rPr>
            </w:pPr>
            <w:r>
              <w:rPr>
                <w:rFonts w:ascii="Calibri" w:cs="Calibri" w:eastAsia="Calibri" w:hAnsi="Calibri"/>
                <w:sz w:val="14"/>
                <w:szCs w:val="14"/>
                <w:color w:val="333333"/>
              </w:rPr>
              <w:t xml:space="preserve">Equity Awards </w:t>
            </w:r>
            <w:r>
              <w:rPr>
                <w:rFonts w:ascii="Calibri" w:cs="Calibri" w:eastAsia="Calibri" w:hAnsi="Calibri"/>
                <w:sz w:val="21"/>
                <w:szCs w:val="21"/>
                <w:color w:val="333333"/>
                <w:vertAlign w:val="superscript"/>
              </w:rPr>
              <w:t>(3) (5) (7)</w:t>
            </w:r>
          </w:p>
        </w:tc>
        <w:tc>
          <w:tcPr>
            <w:tcW w:w="200" w:type="dxa"/>
            <w:vAlign w:val="bottom"/>
            <w:shd w:val="clear" w:color="auto" w:fill="EFF2EF"/>
          </w:tcPr>
          <w:p>
            <w:pPr>
              <w:spacing w:after="0"/>
              <w:rPr>
                <w:sz w:val="16"/>
                <w:szCs w:val="16"/>
                <w:color w:val="auto"/>
              </w:rPr>
            </w:pPr>
          </w:p>
        </w:tc>
        <w:tc>
          <w:tcPr>
            <w:tcW w:w="220" w:type="dxa"/>
            <w:vAlign w:val="bottom"/>
            <w:shd w:val="clear" w:color="auto" w:fill="EFF2EF"/>
          </w:tcPr>
          <w:p>
            <w:pPr>
              <w:spacing w:after="0"/>
              <w:rPr>
                <w:sz w:val="16"/>
                <w:szCs w:val="16"/>
                <w:color w:val="auto"/>
              </w:rPr>
            </w:pPr>
          </w:p>
        </w:tc>
        <w:tc>
          <w:tcPr>
            <w:tcW w:w="740" w:type="dxa"/>
            <w:vAlign w:val="bottom"/>
            <w:shd w:val="clear" w:color="auto" w:fill="EFF2EF"/>
          </w:tcPr>
          <w:p>
            <w:pPr>
              <w:ind w:left="300"/>
              <w:spacing w:after="0"/>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6"/>
                <w:szCs w:val="16"/>
                <w:color w:val="auto"/>
              </w:rPr>
            </w:pPr>
          </w:p>
        </w:tc>
        <w:tc>
          <w:tcPr>
            <w:tcW w:w="200" w:type="dxa"/>
            <w:vAlign w:val="bottom"/>
            <w:shd w:val="clear" w:color="auto" w:fill="EFF2EF"/>
          </w:tcPr>
          <w:p>
            <w:pPr>
              <w:spacing w:after="0"/>
              <w:rPr>
                <w:sz w:val="16"/>
                <w:szCs w:val="16"/>
                <w:color w:val="auto"/>
              </w:rPr>
            </w:pPr>
          </w:p>
        </w:tc>
        <w:tc>
          <w:tcPr>
            <w:tcW w:w="1740" w:type="dxa"/>
            <w:vAlign w:val="bottom"/>
            <w:tcBorders>
              <w:right w:val="single" w:sz="8" w:color="EFF2EF"/>
            </w:tcBorders>
            <w:gridSpan w:val="2"/>
            <w:shd w:val="clear" w:color="auto" w:fill="EFF2EF"/>
          </w:tcPr>
          <w:p>
            <w:pPr>
              <w:ind w:left="840"/>
              <w:spacing w:after="0"/>
              <w:rPr>
                <w:sz w:val="20"/>
                <w:szCs w:val="20"/>
                <w:color w:val="auto"/>
              </w:rPr>
            </w:pPr>
            <w:r>
              <w:rPr>
                <w:rFonts w:ascii="Calibri" w:cs="Calibri" w:eastAsia="Calibri" w:hAnsi="Calibri"/>
                <w:sz w:val="14"/>
                <w:szCs w:val="14"/>
                <w:color w:val="333333"/>
              </w:rPr>
              <w:t>—</w:t>
            </w:r>
          </w:p>
        </w:tc>
        <w:tc>
          <w:tcPr>
            <w:tcW w:w="1620" w:type="dxa"/>
            <w:vAlign w:val="bottom"/>
            <w:gridSpan w:val="3"/>
            <w:shd w:val="clear" w:color="auto" w:fill="EFF2EF"/>
          </w:tcPr>
          <w:p>
            <w:pPr>
              <w:jc w:val="center"/>
              <w:ind w:left="228"/>
              <w:spacing w:after="0"/>
              <w:rPr>
                <w:sz w:val="20"/>
                <w:szCs w:val="20"/>
                <w:color w:val="auto"/>
              </w:rPr>
            </w:pPr>
            <w:r>
              <w:rPr>
                <w:rFonts w:ascii="Calibri" w:cs="Calibri" w:eastAsia="Calibri" w:hAnsi="Calibri"/>
                <w:sz w:val="14"/>
                <w:szCs w:val="14"/>
                <w:color w:val="333333"/>
                <w:w w:val="98"/>
              </w:rPr>
              <w:t>1,734,034</w:t>
            </w:r>
          </w:p>
        </w:tc>
        <w:tc>
          <w:tcPr>
            <w:tcW w:w="1980" w:type="dxa"/>
            <w:vAlign w:val="bottom"/>
            <w:gridSpan w:val="3"/>
            <w:shd w:val="clear" w:color="auto" w:fill="EFF2EF"/>
          </w:tcPr>
          <w:p>
            <w:pPr>
              <w:jc w:val="center"/>
              <w:ind w:left="529"/>
              <w:spacing w:after="0"/>
              <w:rPr>
                <w:sz w:val="20"/>
                <w:szCs w:val="20"/>
                <w:color w:val="auto"/>
              </w:rPr>
            </w:pPr>
            <w:r>
              <w:rPr>
                <w:rFonts w:ascii="Calibri" w:cs="Calibri" w:eastAsia="Calibri" w:hAnsi="Calibri"/>
                <w:sz w:val="14"/>
                <w:szCs w:val="14"/>
                <w:color w:val="333333"/>
              </w:rPr>
              <w:t>1,734,034</w:t>
            </w:r>
          </w:p>
        </w:tc>
        <w:tc>
          <w:tcPr>
            <w:tcW w:w="300" w:type="dxa"/>
            <w:vAlign w:val="bottom"/>
            <w:tcBorders>
              <w:right w:val="single" w:sz="8" w:color="EFF2EF"/>
            </w:tcBorders>
            <w:shd w:val="clear" w:color="auto" w:fill="EFF2EF"/>
          </w:tcPr>
          <w:p>
            <w:pPr>
              <w:spacing w:after="0"/>
              <w:rPr>
                <w:sz w:val="16"/>
                <w:szCs w:val="16"/>
                <w:color w:val="auto"/>
              </w:rPr>
            </w:pPr>
          </w:p>
        </w:tc>
        <w:tc>
          <w:tcPr>
            <w:tcW w:w="200" w:type="dxa"/>
            <w:vAlign w:val="bottom"/>
            <w:shd w:val="clear" w:color="auto" w:fill="EFF2EF"/>
          </w:tcPr>
          <w:p>
            <w:pPr>
              <w:spacing w:after="0"/>
              <w:rPr>
                <w:sz w:val="16"/>
                <w:szCs w:val="16"/>
                <w:color w:val="auto"/>
              </w:rPr>
            </w:pPr>
          </w:p>
        </w:tc>
        <w:tc>
          <w:tcPr>
            <w:tcW w:w="96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1,734,034</w:t>
            </w:r>
          </w:p>
        </w:tc>
        <w:tc>
          <w:tcPr>
            <w:tcW w:w="300" w:type="dxa"/>
            <w:vAlign w:val="bottom"/>
            <w:shd w:val="clear" w:color="auto" w:fill="EFF2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280"/>
              <w:spacing w:after="0" w:line="174" w:lineRule="exact"/>
              <w:rPr>
                <w:sz w:val="20"/>
                <w:szCs w:val="20"/>
                <w:color w:val="auto"/>
              </w:rPr>
            </w:pPr>
            <w:r>
              <w:rPr>
                <w:rFonts w:ascii="Calibri" w:cs="Calibri" w:eastAsia="Calibri" w:hAnsi="Calibri"/>
                <w:sz w:val="12"/>
                <w:szCs w:val="12"/>
                <w:color w:val="333333"/>
              </w:rPr>
              <w:t xml:space="preserve">LTIP Performance Units </w:t>
            </w:r>
            <w:r>
              <w:rPr>
                <w:rFonts w:ascii="Calibri" w:cs="Calibri" w:eastAsia="Calibri" w:hAnsi="Calibri"/>
                <w:sz w:val="18"/>
                <w:szCs w:val="18"/>
                <w:color w:val="333333"/>
                <w:vertAlign w:val="superscript"/>
              </w:rPr>
              <w:t>(9)</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ind w:left="840"/>
              <w:spacing w:after="0" w:line="169" w:lineRule="exact"/>
              <w:rPr>
                <w:sz w:val="20"/>
                <w:szCs w:val="20"/>
                <w:color w:val="auto"/>
              </w:rPr>
            </w:pPr>
            <w:r>
              <w:rPr>
                <w:rFonts w:ascii="Calibri" w:cs="Calibri" w:eastAsia="Calibri" w:hAnsi="Calibri"/>
                <w:sz w:val="14"/>
                <w:szCs w:val="14"/>
                <w:color w:val="333333"/>
              </w:rPr>
              <w:t>—</w:t>
            </w:r>
          </w:p>
        </w:tc>
        <w:tc>
          <w:tcPr>
            <w:tcW w:w="280" w:type="dxa"/>
            <w:vAlign w:val="bottom"/>
            <w:tcBorders>
              <w:right w:val="single" w:sz="8" w:color="EFF2EF"/>
            </w:tcBorders>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80" w:type="dxa"/>
            <w:vAlign w:val="bottom"/>
            <w:shd w:val="clear" w:color="auto" w:fill="EFF2EF"/>
          </w:tcPr>
          <w:p>
            <w:pPr>
              <w:spacing w:after="0"/>
              <w:rPr>
                <w:sz w:val="15"/>
                <w:szCs w:val="15"/>
                <w:color w:val="auto"/>
              </w:rPr>
            </w:pPr>
          </w:p>
        </w:tc>
        <w:tc>
          <w:tcPr>
            <w:tcW w:w="132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1980" w:type="dxa"/>
            <w:vAlign w:val="bottom"/>
            <w:gridSpan w:val="3"/>
            <w:shd w:val="clear" w:color="auto" w:fill="EFF2EF"/>
          </w:tcPr>
          <w:p>
            <w:pPr>
              <w:jc w:val="center"/>
              <w:ind w:left="529"/>
              <w:spacing w:after="0" w:line="169" w:lineRule="exact"/>
              <w:rPr>
                <w:sz w:val="20"/>
                <w:szCs w:val="20"/>
                <w:color w:val="auto"/>
              </w:rPr>
            </w:pPr>
            <w:r>
              <w:rPr>
                <w:rFonts w:ascii="Calibri" w:cs="Calibri" w:eastAsia="Calibri" w:hAnsi="Calibri"/>
                <w:sz w:val="14"/>
                <w:szCs w:val="14"/>
                <w:color w:val="333333"/>
              </w:rPr>
              <w:t>1,217,847</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96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1,217,847</w:t>
            </w:r>
          </w:p>
        </w:tc>
        <w:tc>
          <w:tcPr>
            <w:tcW w:w="3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right w:val="single" w:sz="8" w:color="EFF2EF"/>
            </w:tcBorders>
            <w:shd w:val="clear" w:color="auto" w:fill="EFF2EF"/>
          </w:tcPr>
          <w:p>
            <w:pPr>
              <w:ind w:left="280"/>
              <w:spacing w:after="0" w:line="174" w:lineRule="exact"/>
              <w:rPr>
                <w:sz w:val="20"/>
                <w:szCs w:val="20"/>
                <w:color w:val="auto"/>
              </w:rPr>
            </w:pPr>
            <w:r>
              <w:rPr>
                <w:rFonts w:ascii="Calibri" w:cs="Calibri" w:eastAsia="Calibri" w:hAnsi="Calibri"/>
                <w:sz w:val="12"/>
                <w:szCs w:val="12"/>
                <w:color w:val="333333"/>
              </w:rPr>
              <w:t xml:space="preserve">Severance Payment </w:t>
            </w:r>
            <w:r>
              <w:rPr>
                <w:rFonts w:ascii="Calibri" w:cs="Calibri" w:eastAsia="Calibri" w:hAnsi="Calibri"/>
                <w:sz w:val="18"/>
                <w:szCs w:val="18"/>
                <w:color w:val="333333"/>
                <w:vertAlign w:val="superscript"/>
              </w:rPr>
              <w:t>(11)</w:t>
            </w:r>
          </w:p>
        </w:tc>
        <w:tc>
          <w:tcPr>
            <w:tcW w:w="200" w:type="dxa"/>
            <w:vAlign w:val="bottom"/>
            <w:shd w:val="clear" w:color="auto" w:fill="EFF2EF"/>
          </w:tcPr>
          <w:p>
            <w:pPr>
              <w:spacing w:after="0"/>
              <w:rPr>
                <w:sz w:val="15"/>
                <w:szCs w:val="15"/>
                <w:color w:val="auto"/>
              </w:rPr>
            </w:pPr>
          </w:p>
        </w:tc>
        <w:tc>
          <w:tcPr>
            <w:tcW w:w="220" w:type="dxa"/>
            <w:vAlign w:val="bottom"/>
            <w:shd w:val="clear" w:color="auto" w:fill="EFF2EF"/>
          </w:tcPr>
          <w:p>
            <w:pPr>
              <w:spacing w:after="0"/>
              <w:rPr>
                <w:sz w:val="15"/>
                <w:szCs w:val="15"/>
                <w:color w:val="auto"/>
              </w:rPr>
            </w:pPr>
          </w:p>
        </w:tc>
        <w:tc>
          <w:tcPr>
            <w:tcW w:w="740" w:type="dxa"/>
            <w:vAlign w:val="bottom"/>
            <w:shd w:val="clear" w:color="auto" w:fill="EFF2EF"/>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460" w:type="dxa"/>
            <w:vAlign w:val="bottom"/>
            <w:shd w:val="clear" w:color="auto" w:fill="EFF2EF"/>
          </w:tcPr>
          <w:p>
            <w:pPr>
              <w:ind w:left="840"/>
              <w:spacing w:after="0" w:line="169" w:lineRule="exact"/>
              <w:rPr>
                <w:sz w:val="20"/>
                <w:szCs w:val="20"/>
                <w:color w:val="auto"/>
              </w:rPr>
            </w:pPr>
            <w:r>
              <w:rPr>
                <w:rFonts w:ascii="Calibri" w:cs="Calibri" w:eastAsia="Calibri" w:hAnsi="Calibri"/>
                <w:sz w:val="14"/>
                <w:szCs w:val="14"/>
                <w:color w:val="333333"/>
              </w:rPr>
              <w:t>—</w:t>
            </w:r>
          </w:p>
        </w:tc>
        <w:tc>
          <w:tcPr>
            <w:tcW w:w="280" w:type="dxa"/>
            <w:vAlign w:val="bottom"/>
            <w:tcBorders>
              <w:right w:val="single" w:sz="8" w:color="EFF2EF"/>
            </w:tcBorders>
            <w:shd w:val="clear" w:color="auto" w:fill="EFF2EF"/>
          </w:tcPr>
          <w:p>
            <w:pPr>
              <w:spacing w:after="0"/>
              <w:rPr>
                <w:sz w:val="15"/>
                <w:szCs w:val="15"/>
                <w:color w:val="auto"/>
              </w:rPr>
            </w:pPr>
          </w:p>
        </w:tc>
        <w:tc>
          <w:tcPr>
            <w:tcW w:w="1620" w:type="dxa"/>
            <w:vAlign w:val="bottom"/>
            <w:gridSpan w:val="3"/>
            <w:shd w:val="clear" w:color="auto" w:fill="EFF2EF"/>
          </w:tcPr>
          <w:p>
            <w:pPr>
              <w:jc w:val="center"/>
              <w:ind w:left="228"/>
              <w:spacing w:after="0" w:line="169" w:lineRule="exact"/>
              <w:rPr>
                <w:sz w:val="20"/>
                <w:szCs w:val="20"/>
                <w:color w:val="auto"/>
              </w:rPr>
            </w:pPr>
            <w:r>
              <w:rPr>
                <w:rFonts w:ascii="Calibri" w:cs="Calibri" w:eastAsia="Calibri" w:hAnsi="Calibri"/>
                <w:sz w:val="14"/>
                <w:szCs w:val="14"/>
                <w:color w:val="333333"/>
              </w:rPr>
              <w:t>700,000</w:t>
            </w:r>
          </w:p>
        </w:tc>
        <w:tc>
          <w:tcPr>
            <w:tcW w:w="1980" w:type="dxa"/>
            <w:vAlign w:val="bottom"/>
            <w:gridSpan w:val="3"/>
            <w:shd w:val="clear" w:color="auto" w:fill="EFF2EF"/>
          </w:tcPr>
          <w:p>
            <w:pPr>
              <w:jc w:val="center"/>
              <w:ind w:left="529"/>
              <w:spacing w:after="0" w:line="169" w:lineRule="exact"/>
              <w:rPr>
                <w:sz w:val="20"/>
                <w:szCs w:val="20"/>
                <w:color w:val="auto"/>
              </w:rPr>
            </w:pPr>
            <w:r>
              <w:rPr>
                <w:rFonts w:ascii="Calibri" w:cs="Calibri" w:eastAsia="Calibri" w:hAnsi="Calibri"/>
                <w:sz w:val="14"/>
                <w:szCs w:val="14"/>
                <w:color w:val="333333"/>
              </w:rPr>
              <w:t>1,575,000</w:t>
            </w:r>
          </w:p>
        </w:tc>
        <w:tc>
          <w:tcPr>
            <w:tcW w:w="300" w:type="dxa"/>
            <w:vAlign w:val="bottom"/>
            <w:tcBorders>
              <w:right w:val="single" w:sz="8" w:color="EFF2EF"/>
            </w:tcBorders>
            <w:shd w:val="clear" w:color="auto" w:fill="EFF2EF"/>
          </w:tcPr>
          <w:p>
            <w:pPr>
              <w:spacing w:after="0"/>
              <w:rPr>
                <w:sz w:val="15"/>
                <w:szCs w:val="15"/>
                <w:color w:val="auto"/>
              </w:rPr>
            </w:pPr>
          </w:p>
        </w:tc>
        <w:tc>
          <w:tcPr>
            <w:tcW w:w="200" w:type="dxa"/>
            <w:vAlign w:val="bottom"/>
            <w:shd w:val="clear" w:color="auto" w:fill="EFF2EF"/>
          </w:tcPr>
          <w:p>
            <w:pPr>
              <w:spacing w:after="0"/>
              <w:rPr>
                <w:sz w:val="15"/>
                <w:szCs w:val="15"/>
                <w:color w:val="auto"/>
              </w:rPr>
            </w:pPr>
          </w:p>
        </w:tc>
        <w:tc>
          <w:tcPr>
            <w:tcW w:w="1260" w:type="dxa"/>
            <w:vAlign w:val="bottom"/>
            <w:gridSpan w:val="2"/>
            <w:shd w:val="clear" w:color="auto" w:fill="EFF2EF"/>
          </w:tcPr>
          <w:p>
            <w:pPr>
              <w:jc w:val="center"/>
              <w:ind w:right="240"/>
              <w:spacing w:after="0" w:line="169" w:lineRule="exact"/>
              <w:rPr>
                <w:sz w:val="20"/>
                <w:szCs w:val="20"/>
                <w:color w:val="auto"/>
              </w:rPr>
            </w:pPr>
            <w:r>
              <w:rPr>
                <w:rFonts w:ascii="Calibri" w:cs="Calibri" w:eastAsia="Calibri" w:hAnsi="Calibri"/>
                <w:sz w:val="14"/>
                <w:szCs w:val="14"/>
                <w:color w:val="33333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Borders>
              <w:left w:val="single" w:sz="8" w:color="EFF2EF"/>
              <w:bottom w:val="single" w:sz="8" w:color="EFF2EF"/>
              <w:right w:val="single" w:sz="8" w:color="EFF2EF"/>
            </w:tcBorders>
            <w:shd w:val="clear" w:color="auto" w:fill="EFF2EF"/>
          </w:tcPr>
          <w:p>
            <w:pPr>
              <w:ind w:left="280"/>
              <w:spacing w:after="0" w:line="174" w:lineRule="exact"/>
              <w:rPr>
                <w:sz w:val="20"/>
                <w:szCs w:val="20"/>
                <w:color w:val="auto"/>
              </w:rPr>
            </w:pPr>
            <w:r>
              <w:rPr>
                <w:rFonts w:ascii="Calibri" w:cs="Calibri" w:eastAsia="Calibri" w:hAnsi="Calibri"/>
                <w:sz w:val="12"/>
                <w:szCs w:val="12"/>
                <w:color w:val="333333"/>
              </w:rPr>
              <w:t xml:space="preserve">Health and Welfare Benefts </w:t>
            </w:r>
            <w:r>
              <w:rPr>
                <w:rFonts w:ascii="Calibri" w:cs="Calibri" w:eastAsia="Calibri" w:hAnsi="Calibri"/>
                <w:sz w:val="18"/>
                <w:szCs w:val="18"/>
                <w:color w:val="333333"/>
                <w:vertAlign w:val="superscript"/>
              </w:rPr>
              <w:t>(12)</w:t>
            </w:r>
          </w:p>
        </w:tc>
        <w:tc>
          <w:tcPr>
            <w:tcW w:w="200" w:type="dxa"/>
            <w:vAlign w:val="bottom"/>
            <w:tcBorders>
              <w:bottom w:val="single" w:sz="8" w:color="EFF2EF"/>
            </w:tcBorders>
            <w:shd w:val="clear" w:color="auto" w:fill="EFF2EF"/>
          </w:tcPr>
          <w:p>
            <w:pPr>
              <w:spacing w:after="0"/>
              <w:rPr>
                <w:sz w:val="15"/>
                <w:szCs w:val="15"/>
                <w:color w:val="auto"/>
              </w:rPr>
            </w:pPr>
          </w:p>
        </w:tc>
        <w:tc>
          <w:tcPr>
            <w:tcW w:w="220" w:type="dxa"/>
            <w:vAlign w:val="bottom"/>
            <w:tcBorders>
              <w:bottom w:val="single" w:sz="8" w:color="333333"/>
            </w:tcBorders>
            <w:shd w:val="clear" w:color="auto" w:fill="EFF2EF"/>
          </w:tcPr>
          <w:p>
            <w:pPr>
              <w:spacing w:after="0"/>
              <w:rPr>
                <w:sz w:val="15"/>
                <w:szCs w:val="15"/>
                <w:color w:val="auto"/>
              </w:rPr>
            </w:pPr>
          </w:p>
        </w:tc>
        <w:tc>
          <w:tcPr>
            <w:tcW w:w="740" w:type="dxa"/>
            <w:vAlign w:val="bottom"/>
            <w:tcBorders>
              <w:bottom w:val="single" w:sz="8" w:color="333333"/>
            </w:tcBorders>
            <w:shd w:val="clear" w:color="auto" w:fill="EFF2EF"/>
          </w:tcPr>
          <w:p>
            <w:pPr>
              <w:ind w:left="300"/>
              <w:spacing w:after="0" w:line="169" w:lineRule="exact"/>
              <w:rPr>
                <w:sz w:val="20"/>
                <w:szCs w:val="20"/>
                <w:color w:val="auto"/>
              </w:rPr>
            </w:pPr>
            <w:r>
              <w:rPr>
                <w:rFonts w:ascii="Calibri" w:cs="Calibri" w:eastAsia="Calibri" w:hAnsi="Calibri"/>
                <w:sz w:val="14"/>
                <w:szCs w:val="14"/>
                <w:color w:val="333333"/>
              </w:rPr>
              <w:t>—</w:t>
            </w:r>
          </w:p>
        </w:tc>
        <w:tc>
          <w:tcPr>
            <w:tcW w:w="300" w:type="dxa"/>
            <w:vAlign w:val="bottom"/>
            <w:tcBorders>
              <w:bottom w:val="single" w:sz="8" w:color="EFF2EF"/>
              <w:right w:val="single" w:sz="8" w:color="EFF2EF"/>
            </w:tcBorders>
            <w:shd w:val="clear" w:color="auto" w:fill="EFF2EF"/>
          </w:tcPr>
          <w:p>
            <w:pPr>
              <w:spacing w:after="0"/>
              <w:rPr>
                <w:sz w:val="15"/>
                <w:szCs w:val="15"/>
                <w:color w:val="auto"/>
              </w:rPr>
            </w:pPr>
          </w:p>
        </w:tc>
        <w:tc>
          <w:tcPr>
            <w:tcW w:w="200" w:type="dxa"/>
            <w:vAlign w:val="bottom"/>
            <w:tcBorders>
              <w:bottom w:val="single" w:sz="8" w:color="EFF2EF"/>
            </w:tcBorders>
            <w:shd w:val="clear" w:color="auto" w:fill="EFF2EF"/>
          </w:tcPr>
          <w:p>
            <w:pPr>
              <w:spacing w:after="0"/>
              <w:rPr>
                <w:sz w:val="15"/>
                <w:szCs w:val="15"/>
                <w:color w:val="auto"/>
              </w:rPr>
            </w:pPr>
          </w:p>
        </w:tc>
        <w:tc>
          <w:tcPr>
            <w:tcW w:w="1460" w:type="dxa"/>
            <w:vAlign w:val="bottom"/>
            <w:tcBorders>
              <w:bottom w:val="single" w:sz="8" w:color="333333"/>
            </w:tcBorders>
            <w:shd w:val="clear" w:color="auto" w:fill="EFF2EF"/>
          </w:tcPr>
          <w:p>
            <w:pPr>
              <w:ind w:left="840"/>
              <w:spacing w:after="0" w:line="169" w:lineRule="exact"/>
              <w:rPr>
                <w:sz w:val="20"/>
                <w:szCs w:val="20"/>
                <w:color w:val="auto"/>
              </w:rPr>
            </w:pPr>
            <w:r>
              <w:rPr>
                <w:rFonts w:ascii="Calibri" w:cs="Calibri" w:eastAsia="Calibri" w:hAnsi="Calibri"/>
                <w:sz w:val="14"/>
                <w:szCs w:val="14"/>
                <w:color w:val="333333"/>
              </w:rPr>
              <w:t>—</w:t>
            </w:r>
          </w:p>
        </w:tc>
        <w:tc>
          <w:tcPr>
            <w:tcW w:w="280" w:type="dxa"/>
            <w:vAlign w:val="bottom"/>
            <w:tcBorders>
              <w:bottom w:val="single" w:sz="8" w:color="EFF2EF"/>
              <w:right w:val="single" w:sz="8" w:color="EFF2EF"/>
            </w:tcBorders>
            <w:shd w:val="clear" w:color="auto" w:fill="EFF2EF"/>
          </w:tcPr>
          <w:p>
            <w:pPr>
              <w:spacing w:after="0"/>
              <w:rPr>
                <w:sz w:val="15"/>
                <w:szCs w:val="15"/>
                <w:color w:val="auto"/>
              </w:rPr>
            </w:pPr>
          </w:p>
        </w:tc>
        <w:tc>
          <w:tcPr>
            <w:tcW w:w="220" w:type="dxa"/>
            <w:vAlign w:val="bottom"/>
            <w:tcBorders>
              <w:bottom w:val="single" w:sz="8" w:color="EFF2EF"/>
            </w:tcBorders>
            <w:shd w:val="clear" w:color="auto" w:fill="EFF2EF"/>
          </w:tcPr>
          <w:p>
            <w:pPr>
              <w:spacing w:after="0"/>
              <w:rPr>
                <w:sz w:val="15"/>
                <w:szCs w:val="15"/>
                <w:color w:val="auto"/>
              </w:rPr>
            </w:pPr>
          </w:p>
        </w:tc>
        <w:tc>
          <w:tcPr>
            <w:tcW w:w="1400" w:type="dxa"/>
            <w:vAlign w:val="bottom"/>
            <w:tcBorders>
              <w:bottom w:val="single" w:sz="8" w:color="333333"/>
            </w:tcBorders>
            <w:gridSpan w:val="2"/>
            <w:shd w:val="clear" w:color="auto" w:fill="EFF2EF"/>
          </w:tcPr>
          <w:p>
            <w:pPr>
              <w:jc w:val="center"/>
              <w:ind w:left="4"/>
              <w:spacing w:after="0" w:line="169" w:lineRule="exact"/>
              <w:rPr>
                <w:sz w:val="20"/>
                <w:szCs w:val="20"/>
                <w:color w:val="auto"/>
              </w:rPr>
            </w:pPr>
            <w:r>
              <w:rPr>
                <w:rFonts w:ascii="Calibri" w:cs="Calibri" w:eastAsia="Calibri" w:hAnsi="Calibri"/>
                <w:sz w:val="14"/>
                <w:szCs w:val="14"/>
                <w:color w:val="333333"/>
              </w:rPr>
              <w:t>8,817</w:t>
            </w:r>
          </w:p>
        </w:tc>
        <w:tc>
          <w:tcPr>
            <w:tcW w:w="520" w:type="dxa"/>
            <w:vAlign w:val="bottom"/>
            <w:tcBorders>
              <w:bottom w:val="single" w:sz="8" w:color="EFF2EF"/>
            </w:tcBorders>
            <w:gridSpan w:val="2"/>
            <w:shd w:val="clear" w:color="auto" w:fill="EFF2EF"/>
          </w:tcPr>
          <w:p>
            <w:pPr>
              <w:spacing w:after="0"/>
              <w:rPr>
                <w:sz w:val="15"/>
                <w:szCs w:val="15"/>
                <w:color w:val="auto"/>
              </w:rPr>
            </w:pPr>
          </w:p>
        </w:tc>
        <w:tc>
          <w:tcPr>
            <w:tcW w:w="1460" w:type="dxa"/>
            <w:vAlign w:val="bottom"/>
            <w:tcBorders>
              <w:bottom w:val="single" w:sz="8" w:color="333333"/>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8,817</w:t>
            </w:r>
          </w:p>
        </w:tc>
        <w:tc>
          <w:tcPr>
            <w:tcW w:w="300" w:type="dxa"/>
            <w:vAlign w:val="bottom"/>
            <w:tcBorders>
              <w:bottom w:val="single" w:sz="8" w:color="EFF2EF"/>
              <w:right w:val="single" w:sz="8" w:color="EFF2EF"/>
            </w:tcBorders>
            <w:shd w:val="clear" w:color="auto" w:fill="EFF2EF"/>
          </w:tcPr>
          <w:p>
            <w:pPr>
              <w:spacing w:after="0"/>
              <w:rPr>
                <w:sz w:val="15"/>
                <w:szCs w:val="15"/>
                <w:color w:val="auto"/>
              </w:rPr>
            </w:pPr>
          </w:p>
        </w:tc>
        <w:tc>
          <w:tcPr>
            <w:tcW w:w="200" w:type="dxa"/>
            <w:vAlign w:val="bottom"/>
            <w:tcBorders>
              <w:bottom w:val="single" w:sz="8" w:color="EFF2EF"/>
            </w:tcBorders>
            <w:shd w:val="clear" w:color="auto" w:fill="EFF2EF"/>
          </w:tcPr>
          <w:p>
            <w:pPr>
              <w:spacing w:after="0"/>
              <w:rPr>
                <w:sz w:val="15"/>
                <w:szCs w:val="15"/>
                <w:color w:val="auto"/>
              </w:rPr>
            </w:pPr>
          </w:p>
        </w:tc>
        <w:tc>
          <w:tcPr>
            <w:tcW w:w="960" w:type="dxa"/>
            <w:vAlign w:val="bottom"/>
            <w:tcBorders>
              <w:bottom w:val="single" w:sz="8" w:color="333333"/>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8,817</w:t>
            </w:r>
          </w:p>
        </w:tc>
        <w:tc>
          <w:tcPr>
            <w:tcW w:w="300" w:type="dxa"/>
            <w:vAlign w:val="bottom"/>
            <w:tcBorders>
              <w:bottom w:val="single" w:sz="8" w:color="EFF2EF"/>
            </w:tcBorders>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tcBorders>
              <w:left w:val="single" w:sz="8" w:color="EFF2EF"/>
              <w:bottom w:val="single" w:sz="8" w:color="EFF2EF"/>
              <w:right w:val="single" w:sz="8" w:color="EFF2EF"/>
            </w:tcBorders>
            <w:shd w:val="clear" w:color="auto" w:fill="EFF2EF"/>
          </w:tcPr>
          <w:p>
            <w:pPr>
              <w:ind w:left="280"/>
              <w:spacing w:after="0" w:line="161" w:lineRule="exact"/>
              <w:rPr>
                <w:sz w:val="20"/>
                <w:szCs w:val="20"/>
                <w:color w:val="auto"/>
              </w:rPr>
            </w:pPr>
            <w:r>
              <w:rPr>
                <w:rFonts w:ascii="Calibri" w:cs="Calibri" w:eastAsia="Calibri" w:hAnsi="Calibri"/>
                <w:sz w:val="14"/>
                <w:szCs w:val="14"/>
                <w:b w:val="1"/>
                <w:bCs w:val="1"/>
                <w:color w:val="333333"/>
              </w:rPr>
              <w:t>Total</w:t>
            </w:r>
          </w:p>
        </w:tc>
        <w:tc>
          <w:tcPr>
            <w:tcW w:w="200" w:type="dxa"/>
            <w:vAlign w:val="bottom"/>
            <w:tcBorders>
              <w:bottom w:val="single" w:sz="8" w:color="EFF2EF"/>
            </w:tcBorders>
            <w:shd w:val="clear" w:color="auto" w:fill="EFF2EF"/>
          </w:tcPr>
          <w:p>
            <w:pPr>
              <w:spacing w:after="0"/>
              <w:rPr>
                <w:sz w:val="18"/>
                <w:szCs w:val="18"/>
                <w:color w:val="auto"/>
              </w:rPr>
            </w:pPr>
          </w:p>
        </w:tc>
        <w:tc>
          <w:tcPr>
            <w:tcW w:w="220" w:type="dxa"/>
            <w:vAlign w:val="bottom"/>
            <w:tcBorders>
              <w:bottom w:val="single" w:sz="8" w:color="333333"/>
            </w:tcBorders>
            <w:shd w:val="clear" w:color="auto" w:fill="EFF2EF"/>
          </w:tcPr>
          <w:p>
            <w:pPr>
              <w:spacing w:after="0"/>
              <w:rPr>
                <w:sz w:val="18"/>
                <w:szCs w:val="18"/>
                <w:color w:val="auto"/>
              </w:rPr>
            </w:pPr>
          </w:p>
        </w:tc>
        <w:tc>
          <w:tcPr>
            <w:tcW w:w="740" w:type="dxa"/>
            <w:vAlign w:val="bottom"/>
            <w:tcBorders>
              <w:bottom w:val="single" w:sz="8" w:color="333333"/>
            </w:tcBorders>
            <w:shd w:val="clear" w:color="auto" w:fill="EFF2EF"/>
          </w:tcPr>
          <w:p>
            <w:pPr>
              <w:ind w:left="300"/>
              <w:spacing w:after="0" w:line="169" w:lineRule="exact"/>
              <w:rPr>
                <w:sz w:val="20"/>
                <w:szCs w:val="20"/>
                <w:color w:val="auto"/>
              </w:rPr>
            </w:pPr>
            <w:r>
              <w:rPr>
                <w:rFonts w:ascii="Calibri" w:cs="Calibri" w:eastAsia="Calibri" w:hAnsi="Calibri"/>
                <w:sz w:val="14"/>
                <w:szCs w:val="14"/>
                <w:b w:val="1"/>
                <w:bCs w:val="1"/>
                <w:color w:val="333333"/>
              </w:rPr>
              <w:t>—</w:t>
            </w:r>
          </w:p>
        </w:tc>
        <w:tc>
          <w:tcPr>
            <w:tcW w:w="300" w:type="dxa"/>
            <w:vAlign w:val="bottom"/>
            <w:tcBorders>
              <w:bottom w:val="single" w:sz="8" w:color="EFF2EF"/>
              <w:right w:val="single" w:sz="8" w:color="EFF2EF"/>
            </w:tcBorders>
            <w:shd w:val="clear" w:color="auto" w:fill="EFF2EF"/>
          </w:tcPr>
          <w:p>
            <w:pPr>
              <w:spacing w:after="0"/>
              <w:rPr>
                <w:sz w:val="18"/>
                <w:szCs w:val="18"/>
                <w:color w:val="auto"/>
              </w:rPr>
            </w:pPr>
          </w:p>
        </w:tc>
        <w:tc>
          <w:tcPr>
            <w:tcW w:w="200" w:type="dxa"/>
            <w:vAlign w:val="bottom"/>
            <w:tcBorders>
              <w:bottom w:val="single" w:sz="8" w:color="EFF2EF"/>
            </w:tcBorders>
            <w:shd w:val="clear" w:color="auto" w:fill="EFF2EF"/>
          </w:tcPr>
          <w:p>
            <w:pPr>
              <w:spacing w:after="0"/>
              <w:rPr>
                <w:sz w:val="18"/>
                <w:szCs w:val="18"/>
                <w:color w:val="auto"/>
              </w:rPr>
            </w:pPr>
          </w:p>
        </w:tc>
        <w:tc>
          <w:tcPr>
            <w:tcW w:w="1460" w:type="dxa"/>
            <w:vAlign w:val="bottom"/>
            <w:tcBorders>
              <w:bottom w:val="single" w:sz="8" w:color="333333"/>
            </w:tcBorders>
            <w:shd w:val="clear" w:color="auto" w:fill="EFF2EF"/>
          </w:tcPr>
          <w:p>
            <w:pPr>
              <w:ind w:left="840"/>
              <w:spacing w:after="0" w:line="169" w:lineRule="exact"/>
              <w:rPr>
                <w:sz w:val="20"/>
                <w:szCs w:val="20"/>
                <w:color w:val="auto"/>
              </w:rPr>
            </w:pPr>
            <w:r>
              <w:rPr>
                <w:rFonts w:ascii="Calibri" w:cs="Calibri" w:eastAsia="Calibri" w:hAnsi="Calibri"/>
                <w:sz w:val="14"/>
                <w:szCs w:val="14"/>
                <w:b w:val="1"/>
                <w:bCs w:val="1"/>
                <w:color w:val="333333"/>
              </w:rPr>
              <w:t>—</w:t>
            </w:r>
          </w:p>
        </w:tc>
        <w:tc>
          <w:tcPr>
            <w:tcW w:w="280" w:type="dxa"/>
            <w:vAlign w:val="bottom"/>
            <w:tcBorders>
              <w:bottom w:val="single" w:sz="8" w:color="EFF2EF"/>
              <w:right w:val="single" w:sz="8" w:color="EFF2EF"/>
            </w:tcBorders>
            <w:shd w:val="clear" w:color="auto" w:fill="EFF2EF"/>
          </w:tcPr>
          <w:p>
            <w:pPr>
              <w:spacing w:after="0"/>
              <w:rPr>
                <w:sz w:val="18"/>
                <w:szCs w:val="18"/>
                <w:color w:val="auto"/>
              </w:rPr>
            </w:pPr>
          </w:p>
        </w:tc>
        <w:tc>
          <w:tcPr>
            <w:tcW w:w="220" w:type="dxa"/>
            <w:vAlign w:val="bottom"/>
            <w:tcBorders>
              <w:bottom w:val="single" w:sz="8" w:color="EFF2EF"/>
            </w:tcBorders>
            <w:shd w:val="clear" w:color="auto" w:fill="EFF2EF"/>
          </w:tcPr>
          <w:p>
            <w:pPr>
              <w:spacing w:after="0"/>
              <w:rPr>
                <w:sz w:val="18"/>
                <w:szCs w:val="18"/>
                <w:color w:val="auto"/>
              </w:rPr>
            </w:pPr>
          </w:p>
        </w:tc>
        <w:tc>
          <w:tcPr>
            <w:tcW w:w="80" w:type="dxa"/>
            <w:vAlign w:val="bottom"/>
            <w:tcBorders>
              <w:bottom w:val="single" w:sz="8" w:color="333333"/>
            </w:tcBorders>
            <w:shd w:val="clear" w:color="auto" w:fill="EFF2EF"/>
          </w:tcPr>
          <w:p>
            <w:pPr>
              <w:spacing w:after="0"/>
              <w:rPr>
                <w:sz w:val="18"/>
                <w:szCs w:val="18"/>
                <w:color w:val="auto"/>
              </w:rPr>
            </w:pPr>
          </w:p>
        </w:tc>
        <w:tc>
          <w:tcPr>
            <w:tcW w:w="1320" w:type="dxa"/>
            <w:vAlign w:val="bottom"/>
            <w:tcBorders>
              <w:bottom w:val="single" w:sz="8" w:color="333333"/>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rPr>
              <w:t>3,500,384</w:t>
            </w:r>
          </w:p>
        </w:tc>
        <w:tc>
          <w:tcPr>
            <w:tcW w:w="520" w:type="dxa"/>
            <w:vAlign w:val="bottom"/>
            <w:tcBorders>
              <w:bottom w:val="single" w:sz="8" w:color="EFF2EF"/>
            </w:tcBorders>
            <w:gridSpan w:val="2"/>
            <w:shd w:val="clear" w:color="auto" w:fill="EFF2EF"/>
          </w:tcPr>
          <w:p>
            <w:pPr>
              <w:spacing w:after="0"/>
              <w:rPr>
                <w:sz w:val="18"/>
                <w:szCs w:val="18"/>
                <w:color w:val="auto"/>
              </w:rPr>
            </w:pPr>
          </w:p>
        </w:tc>
        <w:tc>
          <w:tcPr>
            <w:tcW w:w="1460" w:type="dxa"/>
            <w:vAlign w:val="bottom"/>
            <w:tcBorders>
              <w:bottom w:val="single" w:sz="8" w:color="333333"/>
            </w:tcBorders>
            <w:shd w:val="clear" w:color="auto" w:fill="EFF2EF"/>
          </w:tcPr>
          <w:p>
            <w:pPr>
              <w:jc w:val="center"/>
              <w:ind w:left="4"/>
              <w:spacing w:after="0" w:line="169" w:lineRule="exact"/>
              <w:rPr>
                <w:sz w:val="20"/>
                <w:szCs w:val="20"/>
                <w:color w:val="auto"/>
              </w:rPr>
            </w:pPr>
            <w:r>
              <w:rPr>
                <w:rFonts w:ascii="Calibri" w:cs="Calibri" w:eastAsia="Calibri" w:hAnsi="Calibri"/>
                <w:sz w:val="14"/>
                <w:szCs w:val="14"/>
                <w:b w:val="1"/>
                <w:bCs w:val="1"/>
                <w:color w:val="333333"/>
              </w:rPr>
              <w:t>5,593,231</w:t>
            </w:r>
          </w:p>
        </w:tc>
        <w:tc>
          <w:tcPr>
            <w:tcW w:w="300" w:type="dxa"/>
            <w:vAlign w:val="bottom"/>
            <w:tcBorders>
              <w:bottom w:val="single" w:sz="8" w:color="EFF2EF"/>
              <w:right w:val="single" w:sz="8" w:color="EFF2EF"/>
            </w:tcBorders>
            <w:shd w:val="clear" w:color="auto" w:fill="EFF2EF"/>
          </w:tcPr>
          <w:p>
            <w:pPr>
              <w:spacing w:after="0"/>
              <w:rPr>
                <w:sz w:val="18"/>
                <w:szCs w:val="18"/>
                <w:color w:val="auto"/>
              </w:rPr>
            </w:pPr>
          </w:p>
        </w:tc>
        <w:tc>
          <w:tcPr>
            <w:tcW w:w="200" w:type="dxa"/>
            <w:vAlign w:val="bottom"/>
            <w:tcBorders>
              <w:bottom w:val="single" w:sz="8" w:color="EFF2EF"/>
            </w:tcBorders>
            <w:shd w:val="clear" w:color="auto" w:fill="EFF2EF"/>
          </w:tcPr>
          <w:p>
            <w:pPr>
              <w:spacing w:after="0"/>
              <w:rPr>
                <w:sz w:val="18"/>
                <w:szCs w:val="18"/>
                <w:color w:val="auto"/>
              </w:rPr>
            </w:pPr>
          </w:p>
        </w:tc>
        <w:tc>
          <w:tcPr>
            <w:tcW w:w="960" w:type="dxa"/>
            <w:vAlign w:val="bottom"/>
            <w:tcBorders>
              <w:bottom w:val="single" w:sz="8" w:color="333333"/>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rPr>
              <w:t>4,018,231</w:t>
            </w:r>
          </w:p>
        </w:tc>
        <w:tc>
          <w:tcPr>
            <w:tcW w:w="300" w:type="dxa"/>
            <w:vAlign w:val="bottom"/>
            <w:tcBorders>
              <w:bottom w:val="single" w:sz="8" w:color="EFF2EF"/>
            </w:tcBorders>
            <w:shd w:val="clear" w:color="auto" w:fill="EFF2E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101</w:t>
      </w:r>
    </w:p>
    <w:p>
      <w:pPr>
        <w:sectPr>
          <w:pgSz w:w="11900" w:h="16838" w:orient="portrait"/>
          <w:cols w:equalWidth="0" w:num="1">
            <w:col w:w="11100"/>
          </w:cols>
          <w:pgMar w:left="320" w:top="478"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80" w:type="dxa"/>
            <w:vAlign w:val="bottom"/>
            <w:tcBorders>
              <w:top w:val="single" w:sz="8" w:color="0591DB"/>
              <w:left w:val="single" w:sz="8" w:color="0591DB"/>
            </w:tcBorders>
          </w:tcPr>
          <w:p>
            <w:pPr>
              <w:spacing w:after="0"/>
              <w:rPr>
                <w:sz w:val="16"/>
                <w:szCs w:val="16"/>
                <w:color w:val="auto"/>
              </w:rPr>
            </w:pPr>
          </w:p>
        </w:tc>
        <w:tc>
          <w:tcPr>
            <w:tcW w:w="540" w:type="dxa"/>
            <w:vAlign w:val="bottom"/>
            <w:tcBorders>
              <w:top w:val="single" w:sz="8" w:color="0591DB"/>
              <w:right w:val="single" w:sz="8" w:color="0591DB"/>
            </w:tcBorders>
          </w:tcPr>
          <w:p>
            <w:pPr>
              <w:spacing w:after="0"/>
              <w:rPr>
                <w:sz w:val="16"/>
                <w:szCs w:val="16"/>
                <w:color w:val="auto"/>
              </w:rPr>
            </w:pPr>
          </w:p>
        </w:tc>
        <w:tc>
          <w:tcPr>
            <w:tcW w:w="340" w:type="dxa"/>
            <w:vAlign w:val="bottom"/>
            <w:tcBorders>
              <w:top w:val="single" w:sz="8" w:color="0591DB"/>
            </w:tcBorders>
          </w:tcPr>
          <w:p>
            <w:pPr>
              <w:spacing w:after="0"/>
              <w:rPr>
                <w:sz w:val="16"/>
                <w:szCs w:val="16"/>
                <w:color w:val="auto"/>
              </w:rPr>
            </w:pPr>
          </w:p>
        </w:tc>
        <w:tc>
          <w:tcPr>
            <w:tcW w:w="980" w:type="dxa"/>
            <w:vAlign w:val="bottom"/>
            <w:tcBorders>
              <w:top w:val="single" w:sz="8" w:color="0591DB"/>
              <w:right w:val="single" w:sz="8" w:color="0591DB"/>
            </w:tcBorders>
          </w:tcPr>
          <w:p>
            <w:pPr>
              <w:spacing w:after="0"/>
              <w:rPr>
                <w:sz w:val="16"/>
                <w:szCs w:val="16"/>
                <w:color w:val="auto"/>
              </w:rPr>
            </w:pPr>
          </w:p>
        </w:tc>
        <w:tc>
          <w:tcPr>
            <w:tcW w:w="340" w:type="dxa"/>
            <w:vAlign w:val="bottom"/>
            <w:tcBorders>
              <w:top w:val="single" w:sz="8" w:color="0591DB"/>
            </w:tcBorders>
          </w:tcPr>
          <w:p>
            <w:pPr>
              <w:spacing w:after="0"/>
              <w:rPr>
                <w:sz w:val="16"/>
                <w:szCs w:val="16"/>
                <w:color w:val="auto"/>
              </w:rPr>
            </w:pPr>
          </w:p>
        </w:tc>
        <w:tc>
          <w:tcPr>
            <w:tcW w:w="1480" w:type="dxa"/>
            <w:vAlign w:val="bottom"/>
            <w:tcBorders>
              <w:top w:val="single" w:sz="8" w:color="0591DB"/>
              <w:right w:val="single" w:sz="8" w:color="0591DB"/>
            </w:tcBorders>
          </w:tcPr>
          <w:p>
            <w:pPr>
              <w:spacing w:after="0"/>
              <w:rPr>
                <w:sz w:val="16"/>
                <w:szCs w:val="16"/>
                <w:color w:val="auto"/>
              </w:rPr>
            </w:pPr>
          </w:p>
        </w:tc>
        <w:tc>
          <w:tcPr>
            <w:tcW w:w="340" w:type="dxa"/>
            <w:vAlign w:val="bottom"/>
            <w:tcBorders>
              <w:top w:val="single" w:sz="8" w:color="0591DB"/>
            </w:tcBorders>
          </w:tcPr>
          <w:p>
            <w:pPr>
              <w:spacing w:after="0"/>
              <w:rPr>
                <w:sz w:val="16"/>
                <w:szCs w:val="16"/>
                <w:color w:val="auto"/>
              </w:rPr>
            </w:pPr>
          </w:p>
        </w:tc>
        <w:tc>
          <w:tcPr>
            <w:tcW w:w="1440" w:type="dxa"/>
            <w:vAlign w:val="bottom"/>
            <w:tcBorders>
              <w:top w:val="single" w:sz="8" w:color="0591DB"/>
              <w:right w:val="single" w:sz="8" w:color="0591DB"/>
            </w:tcBorders>
          </w:tcPr>
          <w:p>
            <w:pPr>
              <w:spacing w:after="0"/>
              <w:rPr>
                <w:sz w:val="16"/>
                <w:szCs w:val="16"/>
                <w:color w:val="auto"/>
              </w:rPr>
            </w:pPr>
          </w:p>
        </w:tc>
        <w:tc>
          <w:tcPr>
            <w:tcW w:w="340" w:type="dxa"/>
            <w:vAlign w:val="bottom"/>
            <w:tcBorders>
              <w:top w:val="single" w:sz="8" w:color="0591DB"/>
            </w:tcBorders>
          </w:tcPr>
          <w:p>
            <w:pPr>
              <w:spacing w:after="0"/>
              <w:rPr>
                <w:sz w:val="16"/>
                <w:szCs w:val="16"/>
                <w:color w:val="auto"/>
              </w:rPr>
            </w:pPr>
          </w:p>
        </w:tc>
        <w:tc>
          <w:tcPr>
            <w:tcW w:w="1480" w:type="dxa"/>
            <w:vAlign w:val="bottom"/>
            <w:tcBorders>
              <w:top w:val="single" w:sz="8" w:color="0591DB"/>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w w:val="99"/>
              </w:rPr>
              <w:t>TERMINATION BY THE</w:t>
            </w:r>
          </w:p>
        </w:tc>
        <w:tc>
          <w:tcPr>
            <w:tcW w:w="340" w:type="dxa"/>
            <w:vAlign w:val="bottom"/>
            <w:tcBorders>
              <w:top w:val="single" w:sz="8" w:color="0591DB"/>
            </w:tcBorders>
          </w:tcPr>
          <w:p>
            <w:pPr>
              <w:spacing w:after="0"/>
              <w:rPr>
                <w:sz w:val="16"/>
                <w:szCs w:val="16"/>
                <w:color w:val="auto"/>
              </w:rPr>
            </w:pPr>
          </w:p>
        </w:tc>
        <w:tc>
          <w:tcPr>
            <w:tcW w:w="1000" w:type="dxa"/>
            <w:vAlign w:val="bottom"/>
            <w:tcBorders>
              <w:top w:val="single" w:sz="8" w:color="0591DB"/>
            </w:tcBorders>
          </w:tcPr>
          <w:p>
            <w:pPr>
              <w:spacing w:after="0"/>
              <w:rPr>
                <w:sz w:val="16"/>
                <w:szCs w:val="16"/>
                <w:color w:val="auto"/>
              </w:rPr>
            </w:pPr>
          </w:p>
        </w:tc>
        <w:tc>
          <w:tcPr>
            <w:tcW w:w="20" w:type="dxa"/>
            <w:vAlign w:val="bottom"/>
            <w:tcBorders>
              <w:top w:val="single" w:sz="8" w:color="0591DB"/>
            </w:tcBorders>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left w:val="single" w:sz="8" w:color="0591DB"/>
            </w:tcBorders>
          </w:tcPr>
          <w:p>
            <w:pPr>
              <w:spacing w:after="0"/>
              <w:rPr>
                <w:sz w:val="16"/>
                <w:szCs w:val="16"/>
                <w:color w:val="auto"/>
              </w:rPr>
            </w:pPr>
          </w:p>
        </w:tc>
        <w:tc>
          <w:tcPr>
            <w:tcW w:w="540" w:type="dxa"/>
            <w:vAlign w:val="bottom"/>
            <w:tcBorders>
              <w:right w:val="single" w:sz="8" w:color="0591DB"/>
            </w:tcBorders>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Borders>
              <w:right w:val="single" w:sz="8" w:color="0591DB"/>
            </w:tcBorders>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Borders>
              <w:right w:val="single" w:sz="8" w:color="0591DB"/>
            </w:tcBorders>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right w:val="single" w:sz="8" w:color="0591DB"/>
            </w:tcBorders>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w w:val="98"/>
              </w:rPr>
              <w:t>COMPANY WITHOUT</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left w:val="single" w:sz="8" w:color="0591DB"/>
            </w:tcBorders>
          </w:tcPr>
          <w:p>
            <w:pPr>
              <w:spacing w:after="0"/>
              <w:rPr>
                <w:sz w:val="17"/>
                <w:szCs w:val="17"/>
                <w:color w:val="auto"/>
              </w:rPr>
            </w:pPr>
          </w:p>
        </w:tc>
        <w:tc>
          <w:tcPr>
            <w:tcW w:w="540" w:type="dxa"/>
            <w:vAlign w:val="bottom"/>
            <w:tcBorders>
              <w:right w:val="single" w:sz="8" w:color="0591DB"/>
            </w:tcBorders>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Borders>
              <w:right w:val="single" w:sz="8" w:color="0591DB"/>
            </w:tcBorders>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Borders>
              <w:right w:val="single" w:sz="8" w:color="0591DB"/>
            </w:tcBorders>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w w:val="99"/>
              </w:rPr>
              <w:t>TERMINATION</w:t>
            </w:r>
          </w:p>
        </w:tc>
        <w:tc>
          <w:tcPr>
            <w:tcW w:w="340" w:type="dxa"/>
            <w:vAlign w:val="bottom"/>
          </w:tcPr>
          <w:p>
            <w:pPr>
              <w:spacing w:after="0"/>
              <w:rPr>
                <w:sz w:val="17"/>
                <w:szCs w:val="17"/>
                <w:color w:val="auto"/>
              </w:rPr>
            </w:pPr>
          </w:p>
        </w:tc>
        <w:tc>
          <w:tcPr>
            <w:tcW w:w="1480" w:type="dxa"/>
            <w:vAlign w:val="bottom"/>
            <w:tcBorders>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w w:val="99"/>
              </w:rPr>
              <w:t>CAUSE COINCIDENT</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80" w:type="dxa"/>
            <w:vAlign w:val="bottom"/>
            <w:tcBorders>
              <w:left w:val="single" w:sz="8" w:color="0591DB"/>
            </w:tcBorders>
          </w:tcPr>
          <w:p>
            <w:pPr>
              <w:spacing w:after="0"/>
              <w:rPr>
                <w:sz w:val="12"/>
                <w:szCs w:val="12"/>
                <w:color w:val="auto"/>
              </w:rPr>
            </w:pPr>
          </w:p>
        </w:tc>
        <w:tc>
          <w:tcPr>
            <w:tcW w:w="54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Borders>
              <w:right w:val="single" w:sz="8" w:color="0591DB"/>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rPr>
              <w:t>WITH OR FOLLOWING</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80" w:type="dxa"/>
            <w:vAlign w:val="bottom"/>
            <w:tcBorders>
              <w:left w:val="single" w:sz="8" w:color="0591DB"/>
            </w:tcBorders>
          </w:tcPr>
          <w:p>
            <w:pPr>
              <w:spacing w:after="0"/>
              <w:rPr>
                <w:sz w:val="4"/>
                <w:szCs w:val="4"/>
                <w:color w:val="auto"/>
              </w:rPr>
            </w:pPr>
          </w:p>
        </w:tc>
        <w:tc>
          <w:tcPr>
            <w:tcW w:w="540" w:type="dxa"/>
            <w:vAlign w:val="bottom"/>
            <w:tcBorders>
              <w:right w:val="single" w:sz="8" w:color="0591DB"/>
            </w:tcBorders>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Borders>
              <w:right w:val="single" w:sz="8" w:color="0591DB"/>
            </w:tcBorders>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tcBorders>
              <w:right w:val="single" w:sz="8" w:color="0591DB"/>
            </w:tcBorders>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w w:val="97"/>
              </w:rPr>
              <w:t>BY THE COMPANY</w:t>
            </w:r>
          </w:p>
        </w:tc>
        <w:tc>
          <w:tcPr>
            <w:tcW w:w="340" w:type="dxa"/>
            <w:vAlign w:val="bottom"/>
          </w:tcPr>
          <w:p>
            <w:pPr>
              <w:spacing w:after="0"/>
              <w:rPr>
                <w:sz w:val="4"/>
                <w:szCs w:val="4"/>
                <w:color w:val="auto"/>
              </w:rPr>
            </w:pPr>
          </w:p>
        </w:tc>
        <w:tc>
          <w:tcPr>
            <w:tcW w:w="1480" w:type="dxa"/>
            <w:vAlign w:val="bottom"/>
            <w:tcBorders>
              <w:right w:val="single" w:sz="8" w:color="0591DB"/>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shd w:val="clear" w:color="auto" w:fill="0591DB"/>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80" w:type="dxa"/>
            <w:vAlign w:val="bottom"/>
            <w:tcBorders>
              <w:left w:val="single" w:sz="8" w:color="0591DB"/>
            </w:tcBorders>
          </w:tcPr>
          <w:p>
            <w:pPr>
              <w:spacing w:after="0"/>
              <w:rPr>
                <w:sz w:val="12"/>
                <w:szCs w:val="12"/>
                <w:color w:val="auto"/>
              </w:rPr>
            </w:pPr>
          </w:p>
        </w:tc>
        <w:tc>
          <w:tcPr>
            <w:tcW w:w="54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Borders>
              <w:right w:val="single" w:sz="8" w:color="0591DB"/>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rPr>
              <w:t>A CHANGE IN</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80" w:type="dxa"/>
            <w:vAlign w:val="bottom"/>
            <w:tcBorders>
              <w:left w:val="single" w:sz="8" w:color="0591DB"/>
            </w:tcBorders>
          </w:tcPr>
          <w:p>
            <w:pPr>
              <w:spacing w:after="0"/>
              <w:rPr>
                <w:sz w:val="4"/>
                <w:szCs w:val="4"/>
                <w:color w:val="auto"/>
              </w:rPr>
            </w:pPr>
          </w:p>
        </w:tc>
        <w:tc>
          <w:tcPr>
            <w:tcW w:w="540" w:type="dxa"/>
            <w:vAlign w:val="bottom"/>
            <w:tcBorders>
              <w:right w:val="single" w:sz="8" w:color="0591DB"/>
            </w:tcBorders>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w w:val="99"/>
              </w:rPr>
              <w:t>TERMINATION</w:t>
            </w:r>
          </w:p>
        </w:tc>
        <w:tc>
          <w:tcPr>
            <w:tcW w:w="340" w:type="dxa"/>
            <w:vAlign w:val="bottom"/>
          </w:tcPr>
          <w:p>
            <w:pPr>
              <w:spacing w:after="0"/>
              <w:rPr>
                <w:sz w:val="4"/>
                <w:szCs w:val="4"/>
                <w:color w:val="auto"/>
              </w:rPr>
            </w:pPr>
          </w:p>
        </w:tc>
        <w:tc>
          <w:tcPr>
            <w:tcW w:w="1480" w:type="dxa"/>
            <w:vAlign w:val="bottom"/>
            <w:tcBorders>
              <w:right w:val="single" w:sz="8" w:color="0591DB"/>
            </w:tcBorders>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rPr>
              <w:t>WITHOUT CAUSE OR</w:t>
            </w:r>
          </w:p>
        </w:tc>
        <w:tc>
          <w:tcPr>
            <w:tcW w:w="340" w:type="dxa"/>
            <w:vAlign w:val="bottom"/>
          </w:tcPr>
          <w:p>
            <w:pPr>
              <w:spacing w:after="0"/>
              <w:rPr>
                <w:sz w:val="4"/>
                <w:szCs w:val="4"/>
                <w:color w:val="auto"/>
              </w:rPr>
            </w:pPr>
          </w:p>
        </w:tc>
        <w:tc>
          <w:tcPr>
            <w:tcW w:w="1480" w:type="dxa"/>
            <w:vAlign w:val="bottom"/>
            <w:tcBorders>
              <w:right w:val="single" w:sz="8" w:color="0591DB"/>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shd w:val="clear" w:color="auto" w:fill="0591DB"/>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80" w:type="dxa"/>
            <w:vAlign w:val="bottom"/>
            <w:tcBorders>
              <w:left w:val="single" w:sz="8" w:color="0591DB"/>
            </w:tcBorders>
          </w:tcPr>
          <w:p>
            <w:pPr>
              <w:spacing w:after="0"/>
              <w:rPr>
                <w:sz w:val="12"/>
                <w:szCs w:val="12"/>
                <w:color w:val="auto"/>
              </w:rPr>
            </w:pPr>
          </w:p>
        </w:tc>
        <w:tc>
          <w:tcPr>
            <w:tcW w:w="54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right w:val="single" w:sz="8" w:color="0591DB"/>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0591DB"/>
            </w:tcBorders>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Borders>
              <w:right w:val="single" w:sz="8" w:color="0591DB"/>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w w:val="99"/>
              </w:rPr>
              <w:t>CONTROL OR BY THE</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shd w:val="clear" w:color="auto" w:fill="0591DB"/>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80" w:type="dxa"/>
            <w:vAlign w:val="bottom"/>
            <w:tcBorders>
              <w:left w:val="single" w:sz="8" w:color="0591DB"/>
            </w:tcBorders>
          </w:tcPr>
          <w:p>
            <w:pPr>
              <w:spacing w:after="0"/>
              <w:rPr>
                <w:sz w:val="4"/>
                <w:szCs w:val="4"/>
                <w:color w:val="auto"/>
              </w:rPr>
            </w:pPr>
          </w:p>
        </w:tc>
        <w:tc>
          <w:tcPr>
            <w:tcW w:w="540" w:type="dxa"/>
            <w:vAlign w:val="bottom"/>
            <w:tcBorders>
              <w:right w:val="single" w:sz="8" w:color="0591DB"/>
            </w:tcBorders>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rPr>
              <w:t>BY THE</w:t>
            </w:r>
          </w:p>
        </w:tc>
        <w:tc>
          <w:tcPr>
            <w:tcW w:w="340" w:type="dxa"/>
            <w:vAlign w:val="bottom"/>
          </w:tcPr>
          <w:p>
            <w:pPr>
              <w:spacing w:after="0"/>
              <w:rPr>
                <w:sz w:val="4"/>
                <w:szCs w:val="4"/>
                <w:color w:val="auto"/>
              </w:rPr>
            </w:pPr>
          </w:p>
        </w:tc>
        <w:tc>
          <w:tcPr>
            <w:tcW w:w="148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w w:val="98"/>
              </w:rPr>
              <w:t>VOLUNTARY</w:t>
            </w:r>
          </w:p>
        </w:tc>
        <w:tc>
          <w:tcPr>
            <w:tcW w:w="340" w:type="dxa"/>
            <w:vAlign w:val="bottom"/>
          </w:tcPr>
          <w:p>
            <w:pPr>
              <w:spacing w:after="0"/>
              <w:rPr>
                <w:sz w:val="4"/>
                <w:szCs w:val="4"/>
                <w:color w:val="auto"/>
              </w:rPr>
            </w:pPr>
          </w:p>
        </w:tc>
        <w:tc>
          <w:tcPr>
            <w:tcW w:w="1440" w:type="dxa"/>
            <w:vAlign w:val="bottom"/>
            <w:tcBorders>
              <w:right w:val="single" w:sz="8" w:color="0591DB"/>
            </w:tcBorders>
            <w:vMerge w:val="restart"/>
          </w:tcPr>
          <w:p>
            <w:pPr>
              <w:jc w:val="center"/>
              <w:spacing w:after="0"/>
              <w:rPr>
                <w:sz w:val="20"/>
                <w:szCs w:val="20"/>
                <w:color w:val="auto"/>
              </w:rPr>
            </w:pPr>
            <w:r>
              <w:rPr>
                <w:rFonts w:ascii="Calibri" w:cs="Calibri" w:eastAsia="Calibri" w:hAnsi="Calibri"/>
                <w:sz w:val="16"/>
                <w:szCs w:val="16"/>
                <w:b w:val="1"/>
                <w:bCs w:val="1"/>
                <w:color w:val="0591DB"/>
                <w:w w:val="99"/>
              </w:rPr>
              <w:t>BY THE EXECUTIVE</w:t>
            </w:r>
          </w:p>
        </w:tc>
        <w:tc>
          <w:tcPr>
            <w:tcW w:w="340" w:type="dxa"/>
            <w:vAlign w:val="bottom"/>
          </w:tcPr>
          <w:p>
            <w:pPr>
              <w:spacing w:after="0"/>
              <w:rPr>
                <w:sz w:val="4"/>
                <w:szCs w:val="4"/>
                <w:color w:val="auto"/>
              </w:rPr>
            </w:pPr>
          </w:p>
        </w:tc>
        <w:tc>
          <w:tcPr>
            <w:tcW w:w="1480" w:type="dxa"/>
            <w:vAlign w:val="bottom"/>
            <w:tcBorders>
              <w:right w:val="single" w:sz="8" w:color="0591DB"/>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shd w:val="clear" w:color="auto" w:fill="0591DB"/>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Borders>
              <w:left w:val="single" w:sz="8" w:color="0591DB"/>
            </w:tcBorders>
          </w:tcPr>
          <w:p>
            <w:pPr>
              <w:spacing w:after="0"/>
              <w:rPr>
                <w:sz w:val="13"/>
                <w:szCs w:val="13"/>
                <w:color w:val="auto"/>
              </w:rPr>
            </w:pPr>
          </w:p>
        </w:tc>
        <w:tc>
          <w:tcPr>
            <w:tcW w:w="540" w:type="dxa"/>
            <w:vAlign w:val="bottom"/>
            <w:tcBorders>
              <w:right w:val="single" w:sz="8" w:color="0591DB"/>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right w:val="single" w:sz="8" w:color="0591DB"/>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Borders>
              <w:right w:val="single" w:sz="8" w:color="0591DB"/>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Borders>
              <w:right w:val="single" w:sz="8" w:color="0591DB"/>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Borders>
              <w:right w:val="single" w:sz="8" w:color="0591DB"/>
            </w:tcBorders>
          </w:tcPr>
          <w:p>
            <w:pPr>
              <w:jc w:val="center"/>
              <w:spacing w:after="0" w:line="161" w:lineRule="exact"/>
              <w:rPr>
                <w:sz w:val="20"/>
                <w:szCs w:val="20"/>
                <w:color w:val="auto"/>
              </w:rPr>
            </w:pPr>
            <w:r>
              <w:rPr>
                <w:rFonts w:ascii="Calibri" w:cs="Calibri" w:eastAsia="Calibri" w:hAnsi="Calibri"/>
                <w:sz w:val="16"/>
                <w:szCs w:val="16"/>
                <w:b w:val="1"/>
                <w:bCs w:val="1"/>
                <w:color w:val="0591DB"/>
              </w:rPr>
              <w:t>EXECUTIVE OFFICER</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shd w:val="clear" w:color="auto" w:fill="0591DB"/>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left w:val="single" w:sz="8" w:color="0591DB"/>
            </w:tcBorders>
          </w:tcPr>
          <w:p>
            <w:pPr>
              <w:spacing w:after="0"/>
              <w:rPr>
                <w:sz w:val="17"/>
                <w:szCs w:val="17"/>
                <w:color w:val="auto"/>
              </w:rPr>
            </w:pPr>
          </w:p>
        </w:tc>
        <w:tc>
          <w:tcPr>
            <w:tcW w:w="540" w:type="dxa"/>
            <w:vAlign w:val="bottom"/>
            <w:tcBorders>
              <w:right w:val="single" w:sz="8" w:color="0591DB"/>
            </w:tcBorders>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w w:val="96"/>
              </w:rPr>
              <w:t>COMPANY</w:t>
            </w:r>
          </w:p>
        </w:tc>
        <w:tc>
          <w:tcPr>
            <w:tcW w:w="340" w:type="dxa"/>
            <w:vAlign w:val="bottom"/>
          </w:tcPr>
          <w:p>
            <w:pPr>
              <w:spacing w:after="0"/>
              <w:rPr>
                <w:sz w:val="17"/>
                <w:szCs w:val="17"/>
                <w:color w:val="auto"/>
              </w:rPr>
            </w:pPr>
          </w:p>
        </w:tc>
        <w:tc>
          <w:tcPr>
            <w:tcW w:w="1480" w:type="dxa"/>
            <w:vAlign w:val="bottom"/>
            <w:tcBorders>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w w:val="99"/>
              </w:rPr>
              <w:t>TERMINATION BY THE</w:t>
            </w:r>
          </w:p>
        </w:tc>
        <w:tc>
          <w:tcPr>
            <w:tcW w:w="340" w:type="dxa"/>
            <w:vAlign w:val="bottom"/>
          </w:tcPr>
          <w:p>
            <w:pPr>
              <w:spacing w:after="0"/>
              <w:rPr>
                <w:sz w:val="17"/>
                <w:szCs w:val="17"/>
                <w:color w:val="auto"/>
              </w:rPr>
            </w:pPr>
          </w:p>
        </w:tc>
        <w:tc>
          <w:tcPr>
            <w:tcW w:w="144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rPr>
              <w:t>OFFICER WITH GOOD</w:t>
            </w:r>
          </w:p>
        </w:tc>
        <w:tc>
          <w:tcPr>
            <w:tcW w:w="340" w:type="dxa"/>
            <w:vAlign w:val="bottom"/>
          </w:tcPr>
          <w:p>
            <w:pPr>
              <w:spacing w:after="0"/>
              <w:rPr>
                <w:sz w:val="17"/>
                <w:szCs w:val="17"/>
                <w:color w:val="auto"/>
              </w:rPr>
            </w:pPr>
          </w:p>
        </w:tc>
        <w:tc>
          <w:tcPr>
            <w:tcW w:w="1480" w:type="dxa"/>
            <w:vAlign w:val="bottom"/>
            <w:tcBorders>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rPr>
              <w:t>WITH GOOD REASON</w:t>
            </w:r>
          </w:p>
        </w:tc>
        <w:tc>
          <w:tcPr>
            <w:tcW w:w="340" w:type="dxa"/>
            <w:vAlign w:val="bottom"/>
          </w:tcPr>
          <w:p>
            <w:pPr>
              <w:spacing w:after="0"/>
              <w:rPr>
                <w:sz w:val="17"/>
                <w:szCs w:val="17"/>
                <w:color w:val="auto"/>
              </w:rPr>
            </w:pPr>
          </w:p>
        </w:tc>
        <w:tc>
          <w:tcPr>
            <w:tcW w:w="10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rPr>
              <w:t>DISABILITY OR</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left w:val="single" w:sz="8" w:color="0591DB"/>
            </w:tcBorders>
          </w:tcPr>
          <w:p>
            <w:pPr>
              <w:spacing w:after="0"/>
              <w:rPr>
                <w:sz w:val="16"/>
                <w:szCs w:val="16"/>
                <w:color w:val="auto"/>
              </w:rPr>
            </w:pPr>
          </w:p>
        </w:tc>
        <w:tc>
          <w:tcPr>
            <w:tcW w:w="540" w:type="dxa"/>
            <w:vAlign w:val="bottom"/>
            <w:tcBorders>
              <w:right w:val="single" w:sz="8" w:color="0591DB"/>
            </w:tcBorders>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rPr>
              <w:t>FOR CAUSE</w:t>
            </w:r>
          </w:p>
        </w:tc>
        <w:tc>
          <w:tcPr>
            <w:tcW w:w="340" w:type="dxa"/>
            <w:vAlign w:val="bottom"/>
          </w:tcPr>
          <w:p>
            <w:pPr>
              <w:spacing w:after="0"/>
              <w:rPr>
                <w:sz w:val="16"/>
                <w:szCs w:val="16"/>
                <w:color w:val="auto"/>
              </w:rPr>
            </w:pPr>
          </w:p>
        </w:tc>
        <w:tc>
          <w:tcPr>
            <w:tcW w:w="1480" w:type="dxa"/>
            <w:vAlign w:val="bottom"/>
            <w:tcBorders>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w w:val="98"/>
              </w:rPr>
              <w:t>EXECUTIVE OFFICER</w:t>
            </w:r>
          </w:p>
        </w:tc>
        <w:tc>
          <w:tcPr>
            <w:tcW w:w="340" w:type="dxa"/>
            <w:vAlign w:val="bottom"/>
          </w:tcPr>
          <w:p>
            <w:pPr>
              <w:spacing w:after="0"/>
              <w:rPr>
                <w:sz w:val="16"/>
                <w:szCs w:val="16"/>
                <w:color w:val="auto"/>
              </w:rPr>
            </w:pPr>
          </w:p>
        </w:tc>
        <w:tc>
          <w:tcPr>
            <w:tcW w:w="144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w w:val="97"/>
              </w:rPr>
              <w:t>REASON</w:t>
            </w:r>
          </w:p>
        </w:tc>
        <w:tc>
          <w:tcPr>
            <w:tcW w:w="1820" w:type="dxa"/>
            <w:vAlign w:val="bottom"/>
            <w:tcBorders>
              <w:right w:val="single" w:sz="8" w:color="0591DB"/>
            </w:tcBorders>
            <w:gridSpan w:val="2"/>
          </w:tcPr>
          <w:p>
            <w:pPr>
              <w:jc w:val="center"/>
              <w:ind w:left="249"/>
              <w:spacing w:after="0"/>
              <w:rPr>
                <w:sz w:val="20"/>
                <w:szCs w:val="20"/>
                <w:color w:val="auto"/>
              </w:rPr>
            </w:pPr>
            <w:r>
              <w:rPr>
                <w:rFonts w:ascii="Calibri" w:cs="Calibri" w:eastAsia="Calibri" w:hAnsi="Calibri"/>
                <w:sz w:val="12"/>
                <w:szCs w:val="12"/>
                <w:b w:val="1"/>
                <w:bCs w:val="1"/>
                <w:color w:val="0591DB"/>
              </w:rPr>
              <w:t>(1)</w:t>
            </w:r>
          </w:p>
        </w:tc>
        <w:tc>
          <w:tcPr>
            <w:tcW w:w="340" w:type="dxa"/>
            <w:vAlign w:val="bottom"/>
          </w:tcPr>
          <w:p>
            <w:pPr>
              <w:spacing w:after="0"/>
              <w:rPr>
                <w:sz w:val="16"/>
                <w:szCs w:val="16"/>
                <w:color w:val="auto"/>
              </w:rPr>
            </w:pPr>
          </w:p>
        </w:tc>
        <w:tc>
          <w:tcPr>
            <w:tcW w:w="10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w w:val="96"/>
              </w:rPr>
              <w:t>DEATH</w:t>
            </w:r>
          </w:p>
        </w:tc>
        <w:tc>
          <w:tcPr>
            <w:tcW w:w="20" w:type="dxa"/>
            <w:vAlign w:val="bottom"/>
            <w:shd w:val="clear" w:color="auto" w:fill="0591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left w:val="single" w:sz="8" w:color="0591DB"/>
            </w:tcBorders>
          </w:tcPr>
          <w:p>
            <w:pPr>
              <w:spacing w:after="0"/>
              <w:rPr>
                <w:sz w:val="17"/>
                <w:szCs w:val="17"/>
                <w:color w:val="auto"/>
              </w:rPr>
            </w:pPr>
          </w:p>
        </w:tc>
        <w:tc>
          <w:tcPr>
            <w:tcW w:w="540" w:type="dxa"/>
            <w:vAlign w:val="bottom"/>
            <w:tcBorders>
              <w:right w:val="single" w:sz="8" w:color="0591DB"/>
            </w:tcBorders>
          </w:tcPr>
          <w:p>
            <w:pPr>
              <w:spacing w:after="0"/>
              <w:rPr>
                <w:sz w:val="17"/>
                <w:szCs w:val="17"/>
                <w:color w:val="auto"/>
              </w:rPr>
            </w:pPr>
          </w:p>
        </w:tc>
        <w:tc>
          <w:tcPr>
            <w:tcW w:w="1320" w:type="dxa"/>
            <w:vAlign w:val="bottom"/>
            <w:tcBorders>
              <w:right w:val="single" w:sz="8" w:color="0591DB"/>
            </w:tcBorders>
            <w:gridSpan w:val="2"/>
          </w:tcPr>
          <w:p>
            <w:pPr>
              <w:jc w:val="center"/>
              <w:ind w:left="220"/>
              <w:spacing w:after="0" w:line="193" w:lineRule="exact"/>
              <w:rPr>
                <w:sz w:val="20"/>
                <w:szCs w:val="20"/>
                <w:color w:val="auto"/>
              </w:rPr>
            </w:pPr>
            <w:r>
              <w:rPr>
                <w:rFonts w:ascii="Calibri" w:cs="Calibri" w:eastAsia="Calibri" w:hAnsi="Calibri"/>
                <w:sz w:val="16"/>
                <w:szCs w:val="16"/>
                <w:b w:val="1"/>
                <w:bCs w:val="1"/>
                <w:color w:val="0591DB"/>
                <w:w w:val="99"/>
              </w:rPr>
              <w:t>($)</w:t>
            </w:r>
          </w:p>
        </w:tc>
        <w:tc>
          <w:tcPr>
            <w:tcW w:w="340" w:type="dxa"/>
            <w:vAlign w:val="bottom"/>
          </w:tcPr>
          <w:p>
            <w:pPr>
              <w:spacing w:after="0"/>
              <w:rPr>
                <w:sz w:val="17"/>
                <w:szCs w:val="17"/>
                <w:color w:val="auto"/>
              </w:rPr>
            </w:pPr>
          </w:p>
        </w:tc>
        <w:tc>
          <w:tcPr>
            <w:tcW w:w="1480" w:type="dxa"/>
            <w:vAlign w:val="bottom"/>
            <w:tcBorders>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w w:val="98"/>
              </w:rPr>
              <w:t>WITHOUT GOOD</w:t>
            </w:r>
          </w:p>
        </w:tc>
        <w:tc>
          <w:tcPr>
            <w:tcW w:w="1780" w:type="dxa"/>
            <w:vAlign w:val="bottom"/>
            <w:tcBorders>
              <w:right w:val="single" w:sz="8" w:color="0591DB"/>
            </w:tcBorders>
            <w:gridSpan w:val="2"/>
          </w:tcPr>
          <w:p>
            <w:pPr>
              <w:jc w:val="center"/>
              <w:ind w:left="247"/>
              <w:spacing w:after="0" w:line="193" w:lineRule="exact"/>
              <w:rPr>
                <w:sz w:val="20"/>
                <w:szCs w:val="20"/>
                <w:color w:val="auto"/>
              </w:rPr>
            </w:pPr>
            <w:r>
              <w:rPr>
                <w:rFonts w:ascii="Calibri" w:cs="Calibri" w:eastAsia="Calibri" w:hAnsi="Calibri"/>
                <w:sz w:val="16"/>
                <w:szCs w:val="16"/>
                <w:b w:val="1"/>
                <w:bCs w:val="1"/>
                <w:color w:val="0591DB"/>
                <w:w w:val="99"/>
              </w:rPr>
              <w:t>($)</w:t>
            </w:r>
          </w:p>
        </w:tc>
        <w:tc>
          <w:tcPr>
            <w:tcW w:w="1820" w:type="dxa"/>
            <w:vAlign w:val="bottom"/>
            <w:tcBorders>
              <w:right w:val="single" w:sz="8" w:color="0591DB"/>
            </w:tcBorders>
            <w:gridSpan w:val="2"/>
          </w:tcPr>
          <w:p>
            <w:pPr>
              <w:jc w:val="center"/>
              <w:ind w:left="249"/>
              <w:spacing w:after="0" w:line="193" w:lineRule="exact"/>
              <w:rPr>
                <w:sz w:val="20"/>
                <w:szCs w:val="20"/>
                <w:color w:val="auto"/>
              </w:rPr>
            </w:pPr>
            <w:r>
              <w:rPr>
                <w:rFonts w:ascii="Calibri" w:cs="Calibri" w:eastAsia="Calibri" w:hAnsi="Calibri"/>
                <w:sz w:val="16"/>
                <w:szCs w:val="16"/>
                <w:b w:val="1"/>
                <w:bCs w:val="1"/>
                <w:color w:val="0591DB"/>
                <w:w w:val="99"/>
              </w:rPr>
              <w:t>($)</w:t>
            </w:r>
          </w:p>
        </w:tc>
        <w:tc>
          <w:tcPr>
            <w:tcW w:w="340" w:type="dxa"/>
            <w:vAlign w:val="bottom"/>
          </w:tcPr>
          <w:p>
            <w:pPr>
              <w:spacing w:after="0"/>
              <w:rPr>
                <w:sz w:val="17"/>
                <w:szCs w:val="17"/>
                <w:color w:val="auto"/>
              </w:rPr>
            </w:pPr>
          </w:p>
        </w:tc>
        <w:tc>
          <w:tcPr>
            <w:tcW w:w="10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w w:val="99"/>
              </w:rPr>
              <w:t>($)</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tcBorders>
              <w:left w:val="single" w:sz="8" w:color="0591DB"/>
              <w:right w:val="single" w:sz="8" w:color="0591DB"/>
            </w:tcBorders>
            <w:gridSpan w:val="2"/>
          </w:tcPr>
          <w:p>
            <w:pPr>
              <w:ind w:left="140"/>
              <w:spacing w:after="0"/>
              <w:rPr>
                <w:sz w:val="20"/>
                <w:szCs w:val="20"/>
                <w:color w:val="auto"/>
              </w:rPr>
            </w:pPr>
            <w:r>
              <w:rPr>
                <w:rFonts w:ascii="Calibri" w:cs="Calibri" w:eastAsia="Calibri" w:hAnsi="Calibri"/>
                <w:sz w:val="16"/>
                <w:szCs w:val="16"/>
                <w:b w:val="1"/>
                <w:bCs w:val="1"/>
                <w:color w:val="0591DB"/>
              </w:rPr>
              <w:t> NAME</w:t>
            </w:r>
          </w:p>
        </w:tc>
        <w:tc>
          <w:tcPr>
            <w:tcW w:w="340" w:type="dxa"/>
            <w:vAlign w:val="bottom"/>
          </w:tcPr>
          <w:p>
            <w:pPr>
              <w:spacing w:after="0"/>
              <w:rPr>
                <w:sz w:val="17"/>
                <w:szCs w:val="17"/>
                <w:color w:val="auto"/>
              </w:rPr>
            </w:pPr>
          </w:p>
        </w:tc>
        <w:tc>
          <w:tcPr>
            <w:tcW w:w="98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rPr>
              <w:t>(a)</w:t>
            </w:r>
          </w:p>
        </w:tc>
        <w:tc>
          <w:tcPr>
            <w:tcW w:w="340" w:type="dxa"/>
            <w:vAlign w:val="bottom"/>
          </w:tcPr>
          <w:p>
            <w:pPr>
              <w:spacing w:after="0"/>
              <w:rPr>
                <w:sz w:val="17"/>
                <w:szCs w:val="17"/>
                <w:color w:val="auto"/>
              </w:rPr>
            </w:pPr>
          </w:p>
        </w:tc>
        <w:tc>
          <w:tcPr>
            <w:tcW w:w="1480" w:type="dxa"/>
            <w:vAlign w:val="bottom"/>
            <w:tcBorders>
              <w:right w:val="single" w:sz="8" w:color="0591DB"/>
            </w:tcBorders>
          </w:tcPr>
          <w:p>
            <w:pPr>
              <w:jc w:val="center"/>
              <w:spacing w:after="0"/>
              <w:rPr>
                <w:sz w:val="20"/>
                <w:szCs w:val="20"/>
                <w:color w:val="auto"/>
              </w:rPr>
            </w:pPr>
            <w:r>
              <w:rPr>
                <w:rFonts w:ascii="Calibri" w:cs="Calibri" w:eastAsia="Calibri" w:hAnsi="Calibri"/>
                <w:sz w:val="16"/>
                <w:szCs w:val="16"/>
                <w:b w:val="1"/>
                <w:bCs w:val="1"/>
                <w:color w:val="0591DB"/>
                <w:w w:val="97"/>
              </w:rPr>
              <w:t>REASON</w:t>
            </w:r>
          </w:p>
        </w:tc>
        <w:tc>
          <w:tcPr>
            <w:tcW w:w="340" w:type="dxa"/>
            <w:vAlign w:val="bottom"/>
          </w:tcPr>
          <w:p>
            <w:pPr>
              <w:spacing w:after="0"/>
              <w:rPr>
                <w:sz w:val="17"/>
                <w:szCs w:val="17"/>
                <w:color w:val="auto"/>
              </w:rPr>
            </w:pPr>
          </w:p>
        </w:tc>
        <w:tc>
          <w:tcPr>
            <w:tcW w:w="144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w w:val="96"/>
              </w:rPr>
              <w:t>(b)</w:t>
            </w:r>
          </w:p>
        </w:tc>
        <w:tc>
          <w:tcPr>
            <w:tcW w:w="340" w:type="dxa"/>
            <w:vAlign w:val="bottom"/>
          </w:tcPr>
          <w:p>
            <w:pPr>
              <w:spacing w:after="0"/>
              <w:rPr>
                <w:sz w:val="17"/>
                <w:szCs w:val="17"/>
                <w:color w:val="auto"/>
              </w:rPr>
            </w:pPr>
          </w:p>
        </w:tc>
        <w:tc>
          <w:tcPr>
            <w:tcW w:w="1480" w:type="dxa"/>
            <w:vAlign w:val="bottom"/>
            <w:tcBorders>
              <w:right w:val="single" w:sz="8" w:color="0591DB"/>
            </w:tcBorders>
          </w:tcPr>
          <w:p>
            <w:pPr>
              <w:jc w:val="center"/>
              <w:spacing w:after="0" w:line="193" w:lineRule="exact"/>
              <w:rPr>
                <w:sz w:val="20"/>
                <w:szCs w:val="20"/>
                <w:color w:val="auto"/>
              </w:rPr>
            </w:pPr>
            <w:r>
              <w:rPr>
                <w:rFonts w:ascii="Calibri" w:cs="Calibri" w:eastAsia="Calibri" w:hAnsi="Calibri"/>
                <w:sz w:val="16"/>
                <w:szCs w:val="16"/>
                <w:b w:val="1"/>
                <w:bCs w:val="1"/>
                <w:color w:val="0591DB"/>
              </w:rPr>
              <w:t>(c)</w:t>
            </w:r>
          </w:p>
        </w:tc>
        <w:tc>
          <w:tcPr>
            <w:tcW w:w="340" w:type="dxa"/>
            <w:vAlign w:val="bottom"/>
          </w:tcPr>
          <w:p>
            <w:pPr>
              <w:spacing w:after="0"/>
              <w:rPr>
                <w:sz w:val="17"/>
                <w:szCs w:val="17"/>
                <w:color w:val="auto"/>
              </w:rPr>
            </w:pPr>
          </w:p>
        </w:tc>
        <w:tc>
          <w:tcPr>
            <w:tcW w:w="10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0591DB"/>
              </w:rPr>
              <w:t>(d)</w:t>
            </w: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Borders>
              <w:left w:val="single" w:sz="8" w:color="0591DB"/>
              <w:bottom w:val="single" w:sz="8" w:color="0591DB"/>
            </w:tcBorders>
          </w:tcPr>
          <w:p>
            <w:pPr>
              <w:spacing w:after="0"/>
              <w:rPr>
                <w:sz w:val="2"/>
                <w:szCs w:val="2"/>
                <w:color w:val="auto"/>
              </w:rPr>
            </w:pPr>
          </w:p>
        </w:tc>
        <w:tc>
          <w:tcPr>
            <w:tcW w:w="540" w:type="dxa"/>
            <w:vAlign w:val="bottom"/>
            <w:tcBorders>
              <w:bottom w:val="single" w:sz="8" w:color="0591DB"/>
              <w:right w:val="single" w:sz="8" w:color="0591DB"/>
            </w:tcBorders>
          </w:tcPr>
          <w:p>
            <w:pPr>
              <w:spacing w:after="0"/>
              <w:rPr>
                <w:sz w:val="2"/>
                <w:szCs w:val="2"/>
                <w:color w:val="auto"/>
              </w:rPr>
            </w:pPr>
          </w:p>
        </w:tc>
        <w:tc>
          <w:tcPr>
            <w:tcW w:w="340" w:type="dxa"/>
            <w:vAlign w:val="bottom"/>
            <w:tcBorders>
              <w:bottom w:val="single" w:sz="8" w:color="0591DB"/>
            </w:tcBorders>
          </w:tcPr>
          <w:p>
            <w:pPr>
              <w:spacing w:after="0"/>
              <w:rPr>
                <w:sz w:val="2"/>
                <w:szCs w:val="2"/>
                <w:color w:val="auto"/>
              </w:rPr>
            </w:pPr>
          </w:p>
        </w:tc>
        <w:tc>
          <w:tcPr>
            <w:tcW w:w="980" w:type="dxa"/>
            <w:vAlign w:val="bottom"/>
            <w:tcBorders>
              <w:bottom w:val="single" w:sz="8" w:color="0591DB"/>
              <w:right w:val="single" w:sz="8" w:color="0591DB"/>
            </w:tcBorders>
          </w:tcPr>
          <w:p>
            <w:pPr>
              <w:spacing w:after="0"/>
              <w:rPr>
                <w:sz w:val="2"/>
                <w:szCs w:val="2"/>
                <w:color w:val="auto"/>
              </w:rPr>
            </w:pPr>
          </w:p>
        </w:tc>
        <w:tc>
          <w:tcPr>
            <w:tcW w:w="340" w:type="dxa"/>
            <w:vAlign w:val="bottom"/>
            <w:tcBorders>
              <w:bottom w:val="single" w:sz="8" w:color="0591DB"/>
            </w:tcBorders>
          </w:tcPr>
          <w:p>
            <w:pPr>
              <w:spacing w:after="0"/>
              <w:rPr>
                <w:sz w:val="2"/>
                <w:szCs w:val="2"/>
                <w:color w:val="auto"/>
              </w:rPr>
            </w:pPr>
          </w:p>
        </w:tc>
        <w:tc>
          <w:tcPr>
            <w:tcW w:w="1480" w:type="dxa"/>
            <w:vAlign w:val="bottom"/>
            <w:tcBorders>
              <w:bottom w:val="single" w:sz="8" w:color="0591DB"/>
              <w:right w:val="single" w:sz="8" w:color="0591DB"/>
            </w:tcBorders>
          </w:tcPr>
          <w:p>
            <w:pPr>
              <w:spacing w:after="0"/>
              <w:rPr>
                <w:sz w:val="2"/>
                <w:szCs w:val="2"/>
                <w:color w:val="auto"/>
              </w:rPr>
            </w:pPr>
          </w:p>
        </w:tc>
        <w:tc>
          <w:tcPr>
            <w:tcW w:w="340" w:type="dxa"/>
            <w:vAlign w:val="bottom"/>
            <w:tcBorders>
              <w:bottom w:val="single" w:sz="8" w:color="0591DB"/>
            </w:tcBorders>
          </w:tcPr>
          <w:p>
            <w:pPr>
              <w:spacing w:after="0"/>
              <w:rPr>
                <w:sz w:val="2"/>
                <w:szCs w:val="2"/>
                <w:color w:val="auto"/>
              </w:rPr>
            </w:pPr>
          </w:p>
        </w:tc>
        <w:tc>
          <w:tcPr>
            <w:tcW w:w="1440" w:type="dxa"/>
            <w:vAlign w:val="bottom"/>
            <w:tcBorders>
              <w:bottom w:val="single" w:sz="8" w:color="0591DB"/>
              <w:right w:val="single" w:sz="8" w:color="0591DB"/>
            </w:tcBorders>
          </w:tcPr>
          <w:p>
            <w:pPr>
              <w:spacing w:after="0"/>
              <w:rPr>
                <w:sz w:val="2"/>
                <w:szCs w:val="2"/>
                <w:color w:val="auto"/>
              </w:rPr>
            </w:pPr>
          </w:p>
        </w:tc>
        <w:tc>
          <w:tcPr>
            <w:tcW w:w="340" w:type="dxa"/>
            <w:vAlign w:val="bottom"/>
            <w:tcBorders>
              <w:bottom w:val="single" w:sz="8" w:color="0591DB"/>
            </w:tcBorders>
          </w:tcPr>
          <w:p>
            <w:pPr>
              <w:spacing w:after="0"/>
              <w:rPr>
                <w:sz w:val="2"/>
                <w:szCs w:val="2"/>
                <w:color w:val="auto"/>
              </w:rPr>
            </w:pPr>
          </w:p>
        </w:tc>
        <w:tc>
          <w:tcPr>
            <w:tcW w:w="1480" w:type="dxa"/>
            <w:vAlign w:val="bottom"/>
            <w:tcBorders>
              <w:bottom w:val="single" w:sz="8" w:color="0591DB"/>
              <w:right w:val="single" w:sz="8" w:color="0591DB"/>
            </w:tcBorders>
          </w:tcPr>
          <w:p>
            <w:pPr>
              <w:spacing w:after="0"/>
              <w:rPr>
                <w:sz w:val="2"/>
                <w:szCs w:val="2"/>
                <w:color w:val="auto"/>
              </w:rPr>
            </w:pPr>
          </w:p>
        </w:tc>
        <w:tc>
          <w:tcPr>
            <w:tcW w:w="340" w:type="dxa"/>
            <w:vAlign w:val="bottom"/>
            <w:tcBorders>
              <w:bottom w:val="single" w:sz="8" w:color="0591DB"/>
            </w:tcBorders>
          </w:tcPr>
          <w:p>
            <w:pPr>
              <w:spacing w:after="0"/>
              <w:rPr>
                <w:sz w:val="2"/>
                <w:szCs w:val="2"/>
                <w:color w:val="auto"/>
              </w:rPr>
            </w:pPr>
          </w:p>
        </w:tc>
        <w:tc>
          <w:tcPr>
            <w:tcW w:w="100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820" w:type="dxa"/>
            <w:vAlign w:val="bottom"/>
            <w:gridSpan w:val="2"/>
          </w:tcPr>
          <w:p>
            <w:pPr>
              <w:spacing w:after="0" w:line="153" w:lineRule="exact"/>
              <w:rPr>
                <w:sz w:val="20"/>
                <w:szCs w:val="20"/>
                <w:color w:val="auto"/>
              </w:rPr>
            </w:pPr>
            <w:r>
              <w:rPr>
                <w:rFonts w:ascii="Calibri" w:cs="Calibri" w:eastAsia="Calibri" w:hAnsi="Calibri"/>
                <w:sz w:val="14"/>
                <w:szCs w:val="14"/>
                <w:b w:val="1"/>
                <w:bCs w:val="1"/>
                <w:color w:val="0591DB"/>
              </w:rPr>
              <w:t> Holly Paul</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ind w:left="140"/>
              <w:spacing w:after="0" w:line="169" w:lineRule="exact"/>
              <w:rPr>
                <w:sz w:val="20"/>
                <w:szCs w:val="20"/>
                <w:color w:val="auto"/>
              </w:rPr>
            </w:pPr>
            <w:r>
              <w:rPr>
                <w:rFonts w:ascii="Calibri" w:cs="Calibri" w:eastAsia="Calibri" w:hAnsi="Calibri"/>
                <w:sz w:val="14"/>
                <w:szCs w:val="14"/>
                <w:color w:val="333333"/>
              </w:rPr>
              <w:t>Base Salary</w:t>
            </w:r>
          </w:p>
        </w:tc>
        <w:tc>
          <w:tcPr>
            <w:tcW w:w="34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tcPr>
          <w:p>
            <w:pPr>
              <w:spacing w:after="0"/>
              <w:rPr>
                <w:sz w:val="14"/>
                <w:szCs w:val="14"/>
                <w:color w:val="auto"/>
              </w:rPr>
            </w:pPr>
          </w:p>
        </w:tc>
        <w:tc>
          <w:tcPr>
            <w:tcW w:w="1820" w:type="dxa"/>
            <w:vAlign w:val="bottom"/>
            <w:gridSpan w:val="2"/>
          </w:tcPr>
          <w:p>
            <w:pPr>
              <w:jc w:val="center"/>
              <w:ind w:right="360"/>
              <w:spacing w:after="0" w:line="169" w:lineRule="exact"/>
              <w:rPr>
                <w:sz w:val="20"/>
                <w:szCs w:val="20"/>
                <w:color w:val="auto"/>
              </w:rPr>
            </w:pPr>
            <w:r>
              <w:rPr>
                <w:rFonts w:ascii="Calibri" w:cs="Calibri" w:eastAsia="Calibri" w:hAnsi="Calibri"/>
                <w:sz w:val="14"/>
                <w:szCs w:val="14"/>
                <w:color w:val="333333"/>
              </w:rPr>
              <w:t>—</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20" w:type="dxa"/>
            <w:vAlign w:val="bottom"/>
            <w:gridSpan w:val="2"/>
          </w:tcPr>
          <w:p>
            <w:pPr>
              <w:ind w:left="140"/>
              <w:spacing w:after="0" w:line="179" w:lineRule="exact"/>
              <w:rPr>
                <w:sz w:val="20"/>
                <w:szCs w:val="20"/>
                <w:color w:val="auto"/>
              </w:rPr>
            </w:pPr>
            <w:r>
              <w:rPr>
                <w:rFonts w:ascii="Calibri" w:cs="Calibri" w:eastAsia="Calibri" w:hAnsi="Calibri"/>
                <w:sz w:val="13"/>
                <w:szCs w:val="13"/>
                <w:color w:val="333333"/>
              </w:rPr>
              <w:t xml:space="preserve">AIP: </w:t>
            </w:r>
            <w:r>
              <w:rPr>
                <w:rFonts w:ascii="Calibri" w:cs="Calibri" w:eastAsia="Calibri" w:hAnsi="Calibri"/>
                <w:sz w:val="19"/>
                <w:szCs w:val="19"/>
                <w:color w:val="333333"/>
                <w:vertAlign w:val="superscript"/>
              </w:rPr>
              <w:t>(2)</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ind w:left="280"/>
              <w:spacing w:after="0" w:line="169" w:lineRule="exact"/>
              <w:rPr>
                <w:sz w:val="20"/>
                <w:szCs w:val="20"/>
                <w:color w:val="auto"/>
              </w:rPr>
            </w:pPr>
            <w:r>
              <w:rPr>
                <w:rFonts w:ascii="Calibri" w:cs="Calibri" w:eastAsia="Calibri" w:hAnsi="Calibri"/>
                <w:sz w:val="14"/>
                <w:szCs w:val="14"/>
                <w:color w:val="333333"/>
              </w:rPr>
              <w:t>Unpaid AIP for Year Prior to Terminaton</w:t>
            </w:r>
          </w:p>
        </w:tc>
        <w:tc>
          <w:tcPr>
            <w:tcW w:w="34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tcPr>
          <w:p>
            <w:pPr>
              <w:spacing w:after="0"/>
              <w:rPr>
                <w:sz w:val="14"/>
                <w:szCs w:val="14"/>
                <w:color w:val="auto"/>
              </w:rPr>
            </w:pPr>
          </w:p>
        </w:tc>
        <w:tc>
          <w:tcPr>
            <w:tcW w:w="1820" w:type="dxa"/>
            <w:vAlign w:val="bottom"/>
            <w:gridSpan w:val="2"/>
          </w:tcPr>
          <w:p>
            <w:pPr>
              <w:jc w:val="center"/>
              <w:ind w:right="360"/>
              <w:spacing w:after="0" w:line="169" w:lineRule="exact"/>
              <w:rPr>
                <w:sz w:val="20"/>
                <w:szCs w:val="20"/>
                <w:color w:val="auto"/>
              </w:rPr>
            </w:pPr>
            <w:r>
              <w:rPr>
                <w:rFonts w:ascii="Calibri" w:cs="Calibri" w:eastAsia="Calibri" w:hAnsi="Calibri"/>
                <w:sz w:val="14"/>
                <w:szCs w:val="14"/>
                <w:color w:val="333333"/>
              </w:rPr>
              <w:t>—</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280"/>
              <w:spacing w:after="0"/>
              <w:rPr>
                <w:sz w:val="20"/>
                <w:szCs w:val="20"/>
                <w:color w:val="auto"/>
              </w:rPr>
            </w:pPr>
            <w:r>
              <w:rPr>
                <w:rFonts w:ascii="Calibri" w:cs="Calibri" w:eastAsia="Calibri" w:hAnsi="Calibri"/>
                <w:sz w:val="14"/>
                <w:szCs w:val="14"/>
                <w:color w:val="333333"/>
              </w:rPr>
              <w:t>Prorated AIP Based on Financial Metrics for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420"/>
              <w:spacing w:after="0"/>
              <w:rPr>
                <w:sz w:val="20"/>
                <w:szCs w:val="20"/>
                <w:color w:val="auto"/>
              </w:rPr>
            </w:pPr>
            <w:r>
              <w:rPr>
                <w:rFonts w:ascii="Calibri" w:cs="Calibri" w:eastAsia="Calibri" w:hAnsi="Calibri"/>
                <w:sz w:val="14"/>
                <w:szCs w:val="14"/>
                <w:color w:val="333333"/>
              </w:rPr>
              <w:t>Year of Terminaton at Actual</w:t>
            </w:r>
          </w:p>
        </w:tc>
        <w:tc>
          <w:tcPr>
            <w:tcW w:w="3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1780" w:type="dxa"/>
            <w:vAlign w:val="bottom"/>
            <w:gridSpan w:val="2"/>
          </w:tcPr>
          <w:p>
            <w:pPr>
              <w:jc w:val="center"/>
              <w:ind w:left="247"/>
              <w:spacing w:after="0"/>
              <w:rPr>
                <w:sz w:val="20"/>
                <w:szCs w:val="20"/>
                <w:color w:val="auto"/>
              </w:rPr>
            </w:pPr>
            <w:r>
              <w:rPr>
                <w:rFonts w:ascii="Calibri" w:cs="Calibri" w:eastAsia="Calibri" w:hAnsi="Calibri"/>
                <w:sz w:val="14"/>
                <w:szCs w:val="14"/>
                <w:color w:val="333333"/>
                <w:w w:val="99"/>
              </w:rPr>
              <w:t>346,474</w:t>
            </w:r>
          </w:p>
        </w:tc>
        <w:tc>
          <w:tcPr>
            <w:tcW w:w="1820" w:type="dxa"/>
            <w:vAlign w:val="bottom"/>
            <w:gridSpan w:val="2"/>
          </w:tcPr>
          <w:p>
            <w:pPr>
              <w:jc w:val="center"/>
              <w:ind w:left="249"/>
              <w:spacing w:after="0"/>
              <w:rPr>
                <w:sz w:val="20"/>
                <w:szCs w:val="20"/>
                <w:color w:val="auto"/>
              </w:rPr>
            </w:pPr>
            <w:r>
              <w:rPr>
                <w:rFonts w:ascii="Calibri" w:cs="Calibri" w:eastAsia="Calibri" w:hAnsi="Calibri"/>
                <w:sz w:val="14"/>
                <w:szCs w:val="14"/>
                <w:color w:val="333333"/>
                <w:w w:val="99"/>
              </w:rPr>
              <w:t>346,474</w:t>
            </w: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color w:val="333333"/>
              </w:rPr>
              <w:t>346,474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280"/>
              <w:spacing w:after="0"/>
              <w:rPr>
                <w:sz w:val="20"/>
                <w:szCs w:val="20"/>
                <w:color w:val="auto"/>
              </w:rPr>
            </w:pPr>
            <w:r>
              <w:rPr>
                <w:rFonts w:ascii="Calibri" w:cs="Calibri" w:eastAsia="Calibri" w:hAnsi="Calibri"/>
                <w:sz w:val="14"/>
                <w:szCs w:val="14"/>
                <w:color w:val="333333"/>
              </w:rPr>
              <w:t>Prorated AIP for Year of Terminaton Based</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420"/>
              <w:spacing w:after="0"/>
              <w:rPr>
                <w:sz w:val="20"/>
                <w:szCs w:val="20"/>
                <w:color w:val="auto"/>
              </w:rPr>
            </w:pPr>
            <w:r>
              <w:rPr>
                <w:rFonts w:ascii="Calibri" w:cs="Calibri" w:eastAsia="Calibri" w:hAnsi="Calibri"/>
                <w:sz w:val="14"/>
                <w:szCs w:val="14"/>
                <w:color w:val="333333"/>
              </w:rPr>
              <w:t>on Prior Year’s Individual Performance at</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420"/>
              <w:spacing w:after="0"/>
              <w:rPr>
                <w:sz w:val="20"/>
                <w:szCs w:val="20"/>
                <w:color w:val="auto"/>
              </w:rPr>
            </w:pPr>
            <w:r>
              <w:rPr>
                <w:rFonts w:ascii="Calibri" w:cs="Calibri" w:eastAsia="Calibri" w:hAnsi="Calibri"/>
                <w:sz w:val="14"/>
                <w:szCs w:val="14"/>
                <w:color w:val="333333"/>
              </w:rPr>
              <w:t>Actual</w:t>
            </w:r>
          </w:p>
        </w:tc>
        <w:tc>
          <w:tcPr>
            <w:tcW w:w="3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1780" w:type="dxa"/>
            <w:vAlign w:val="bottom"/>
            <w:gridSpan w:val="2"/>
          </w:tcPr>
          <w:p>
            <w:pPr>
              <w:jc w:val="center"/>
              <w:ind w:left="247"/>
              <w:spacing w:after="0"/>
              <w:rPr>
                <w:sz w:val="20"/>
                <w:szCs w:val="20"/>
                <w:color w:val="auto"/>
              </w:rPr>
            </w:pPr>
            <w:r>
              <w:rPr>
                <w:rFonts w:ascii="Calibri" w:cs="Calibri" w:eastAsia="Calibri" w:hAnsi="Calibri"/>
                <w:sz w:val="14"/>
                <w:szCs w:val="14"/>
                <w:color w:val="333333"/>
                <w:w w:val="99"/>
              </w:rPr>
              <w:t>145,834</w:t>
            </w:r>
          </w:p>
        </w:tc>
        <w:tc>
          <w:tcPr>
            <w:tcW w:w="1820" w:type="dxa"/>
            <w:vAlign w:val="bottom"/>
            <w:gridSpan w:val="2"/>
          </w:tcPr>
          <w:p>
            <w:pPr>
              <w:jc w:val="center"/>
              <w:ind w:left="249"/>
              <w:spacing w:after="0"/>
              <w:rPr>
                <w:sz w:val="20"/>
                <w:szCs w:val="20"/>
                <w:color w:val="auto"/>
              </w:rPr>
            </w:pPr>
            <w:r>
              <w:rPr>
                <w:rFonts w:ascii="Calibri" w:cs="Calibri" w:eastAsia="Calibri" w:hAnsi="Calibri"/>
                <w:sz w:val="14"/>
                <w:szCs w:val="14"/>
                <w:color w:val="333333"/>
                <w:w w:val="99"/>
              </w:rPr>
              <w:t>145,834</w:t>
            </w: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color w:val="333333"/>
              </w:rPr>
              <w:t>145,834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20" w:type="dxa"/>
            <w:vAlign w:val="bottom"/>
            <w:gridSpan w:val="2"/>
          </w:tcPr>
          <w:p>
            <w:pPr>
              <w:ind w:left="280"/>
              <w:spacing w:after="0" w:line="179" w:lineRule="exact"/>
              <w:rPr>
                <w:sz w:val="20"/>
                <w:szCs w:val="20"/>
                <w:color w:val="auto"/>
              </w:rPr>
            </w:pPr>
            <w:r>
              <w:rPr>
                <w:rFonts w:ascii="Calibri" w:cs="Calibri" w:eastAsia="Calibri" w:hAnsi="Calibri"/>
                <w:sz w:val="13"/>
                <w:szCs w:val="13"/>
                <w:color w:val="333333"/>
              </w:rPr>
              <w:t xml:space="preserve">Equity Awards </w:t>
            </w:r>
            <w:r>
              <w:rPr>
                <w:rFonts w:ascii="Calibri" w:cs="Calibri" w:eastAsia="Calibri" w:hAnsi="Calibri"/>
                <w:sz w:val="19"/>
                <w:szCs w:val="19"/>
                <w:color w:val="333333"/>
                <w:vertAlign w:val="superscript"/>
              </w:rPr>
              <w:t>(3) (5) (7)</w:t>
            </w:r>
          </w:p>
        </w:tc>
        <w:tc>
          <w:tcPr>
            <w:tcW w:w="3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alibri" w:cs="Calibri" w:eastAsia="Calibri" w:hAnsi="Calibri"/>
                <w:sz w:val="14"/>
                <w:szCs w:val="14"/>
                <w:color w:val="333333"/>
              </w:rPr>
              <w:t>—</w:t>
            </w:r>
          </w:p>
        </w:tc>
        <w:tc>
          <w:tcPr>
            <w:tcW w:w="1780" w:type="dxa"/>
            <w:vAlign w:val="bottom"/>
            <w:gridSpan w:val="2"/>
          </w:tcPr>
          <w:p>
            <w:pPr>
              <w:jc w:val="center"/>
              <w:ind w:left="247"/>
              <w:spacing w:after="0"/>
              <w:rPr>
                <w:sz w:val="20"/>
                <w:szCs w:val="20"/>
                <w:color w:val="auto"/>
              </w:rPr>
            </w:pPr>
            <w:r>
              <w:rPr>
                <w:rFonts w:ascii="Calibri" w:cs="Calibri" w:eastAsia="Calibri" w:hAnsi="Calibri"/>
                <w:sz w:val="14"/>
                <w:szCs w:val="14"/>
                <w:color w:val="333333"/>
                <w:w w:val="99"/>
              </w:rPr>
              <w:t>418,704</w:t>
            </w:r>
          </w:p>
        </w:tc>
        <w:tc>
          <w:tcPr>
            <w:tcW w:w="1820" w:type="dxa"/>
            <w:vAlign w:val="bottom"/>
            <w:gridSpan w:val="2"/>
          </w:tcPr>
          <w:p>
            <w:pPr>
              <w:jc w:val="center"/>
              <w:ind w:left="249"/>
              <w:spacing w:after="0"/>
              <w:rPr>
                <w:sz w:val="20"/>
                <w:szCs w:val="20"/>
                <w:color w:val="auto"/>
              </w:rPr>
            </w:pPr>
            <w:r>
              <w:rPr>
                <w:rFonts w:ascii="Calibri" w:cs="Calibri" w:eastAsia="Calibri" w:hAnsi="Calibri"/>
                <w:sz w:val="14"/>
                <w:szCs w:val="14"/>
                <w:color w:val="333333"/>
                <w:w w:val="99"/>
              </w:rPr>
              <w:t>418,704</w:t>
            </w: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color w:val="333333"/>
              </w:rPr>
              <w:t>418,704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280"/>
              <w:spacing w:after="0" w:line="174" w:lineRule="exact"/>
              <w:rPr>
                <w:sz w:val="20"/>
                <w:szCs w:val="20"/>
                <w:color w:val="auto"/>
              </w:rPr>
            </w:pPr>
            <w:r>
              <w:rPr>
                <w:rFonts w:ascii="Calibri" w:cs="Calibri" w:eastAsia="Calibri" w:hAnsi="Calibri"/>
                <w:sz w:val="12"/>
                <w:szCs w:val="12"/>
                <w:color w:val="333333"/>
              </w:rPr>
              <w:t xml:space="preserve">LTIP Performance Units </w:t>
            </w:r>
            <w:r>
              <w:rPr>
                <w:rFonts w:ascii="Calibri" w:cs="Calibri" w:eastAsia="Calibri" w:hAnsi="Calibri"/>
                <w:sz w:val="18"/>
                <w:szCs w:val="18"/>
                <w:color w:val="333333"/>
                <w:vertAlign w:val="superscript"/>
              </w:rPr>
              <w:t>(9)</w:t>
            </w:r>
          </w:p>
        </w:tc>
        <w:tc>
          <w:tcPr>
            <w:tcW w:w="340" w:type="dxa"/>
            <w:vAlign w:val="bottom"/>
          </w:tcPr>
          <w:p>
            <w:pPr>
              <w:spacing w:after="0"/>
              <w:rPr>
                <w:sz w:val="15"/>
                <w:szCs w:val="15"/>
                <w:color w:val="auto"/>
              </w:rPr>
            </w:pP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5"/>
                <w:szCs w:val="15"/>
                <w:color w:val="auto"/>
              </w:rPr>
            </w:pPr>
          </w:p>
        </w:tc>
        <w:tc>
          <w:tcPr>
            <w:tcW w:w="148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tcPr>
          <w:p>
            <w:pPr>
              <w:spacing w:after="0"/>
              <w:rPr>
                <w:sz w:val="15"/>
                <w:szCs w:val="15"/>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1820" w:type="dxa"/>
            <w:vAlign w:val="bottom"/>
            <w:gridSpan w:val="2"/>
          </w:tcPr>
          <w:p>
            <w:pPr>
              <w:jc w:val="center"/>
              <w:ind w:left="249"/>
              <w:spacing w:after="0" w:line="169" w:lineRule="exact"/>
              <w:rPr>
                <w:sz w:val="20"/>
                <w:szCs w:val="20"/>
                <w:color w:val="auto"/>
              </w:rPr>
            </w:pPr>
            <w:r>
              <w:rPr>
                <w:rFonts w:ascii="Calibri" w:cs="Calibri" w:eastAsia="Calibri" w:hAnsi="Calibri"/>
                <w:sz w:val="14"/>
                <w:szCs w:val="14"/>
                <w:color w:val="333333"/>
                <w:w w:val="99"/>
              </w:rPr>
              <w:t>851,246</w:t>
            </w:r>
          </w:p>
        </w:tc>
        <w:tc>
          <w:tcPr>
            <w:tcW w:w="340" w:type="dxa"/>
            <w:vAlign w:val="bottom"/>
          </w:tcPr>
          <w:p>
            <w:pPr>
              <w:spacing w:after="0"/>
              <w:rPr>
                <w:sz w:val="15"/>
                <w:szCs w:val="15"/>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333333"/>
              </w:rPr>
              <w:t>851,246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280"/>
              <w:spacing w:after="0" w:line="174" w:lineRule="exact"/>
              <w:rPr>
                <w:sz w:val="20"/>
                <w:szCs w:val="20"/>
                <w:color w:val="auto"/>
              </w:rPr>
            </w:pPr>
            <w:r>
              <w:rPr>
                <w:rFonts w:ascii="Calibri" w:cs="Calibri" w:eastAsia="Calibri" w:hAnsi="Calibri"/>
                <w:sz w:val="12"/>
                <w:szCs w:val="12"/>
                <w:color w:val="333333"/>
              </w:rPr>
              <w:t xml:space="preserve">Severance Payment </w:t>
            </w:r>
            <w:r>
              <w:rPr>
                <w:rFonts w:ascii="Calibri" w:cs="Calibri" w:eastAsia="Calibri" w:hAnsi="Calibri"/>
                <w:sz w:val="18"/>
                <w:szCs w:val="18"/>
                <w:color w:val="333333"/>
                <w:vertAlign w:val="superscript"/>
              </w:rPr>
              <w:t>(11)</w:t>
            </w:r>
          </w:p>
        </w:tc>
        <w:tc>
          <w:tcPr>
            <w:tcW w:w="340" w:type="dxa"/>
            <w:vAlign w:val="bottom"/>
          </w:tcPr>
          <w:p>
            <w:pPr>
              <w:spacing w:after="0"/>
              <w:rPr>
                <w:sz w:val="15"/>
                <w:szCs w:val="15"/>
                <w:color w:val="auto"/>
              </w:rPr>
            </w:pP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5"/>
                <w:szCs w:val="15"/>
                <w:color w:val="auto"/>
              </w:rPr>
            </w:pPr>
          </w:p>
        </w:tc>
        <w:tc>
          <w:tcPr>
            <w:tcW w:w="148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1780" w:type="dxa"/>
            <w:vAlign w:val="bottom"/>
            <w:gridSpan w:val="2"/>
          </w:tcPr>
          <w:p>
            <w:pPr>
              <w:jc w:val="center"/>
              <w:ind w:left="247"/>
              <w:spacing w:after="0" w:line="169" w:lineRule="exact"/>
              <w:rPr>
                <w:sz w:val="20"/>
                <w:szCs w:val="20"/>
                <w:color w:val="auto"/>
              </w:rPr>
            </w:pPr>
            <w:r>
              <w:rPr>
                <w:rFonts w:ascii="Calibri" w:cs="Calibri" w:eastAsia="Calibri" w:hAnsi="Calibri"/>
                <w:sz w:val="14"/>
                <w:szCs w:val="14"/>
                <w:color w:val="333333"/>
                <w:w w:val="99"/>
              </w:rPr>
              <w:t>350,000</w:t>
            </w:r>
          </w:p>
        </w:tc>
        <w:tc>
          <w:tcPr>
            <w:tcW w:w="1820" w:type="dxa"/>
            <w:vAlign w:val="bottom"/>
            <w:gridSpan w:val="2"/>
          </w:tcPr>
          <w:p>
            <w:pPr>
              <w:jc w:val="center"/>
              <w:ind w:left="249"/>
              <w:spacing w:after="0" w:line="169" w:lineRule="exact"/>
              <w:rPr>
                <w:sz w:val="20"/>
                <w:szCs w:val="20"/>
                <w:color w:val="auto"/>
              </w:rPr>
            </w:pPr>
            <w:r>
              <w:rPr>
                <w:rFonts w:ascii="Calibri" w:cs="Calibri" w:eastAsia="Calibri" w:hAnsi="Calibri"/>
                <w:sz w:val="14"/>
                <w:szCs w:val="14"/>
                <w:color w:val="333333"/>
                <w:w w:val="99"/>
              </w:rPr>
              <w:t>787,500</w:t>
            </w:r>
          </w:p>
        </w:tc>
        <w:tc>
          <w:tcPr>
            <w:tcW w:w="340" w:type="dxa"/>
            <w:vAlign w:val="bottom"/>
          </w:tcPr>
          <w:p>
            <w:pPr>
              <w:spacing w:after="0"/>
              <w:rPr>
                <w:sz w:val="15"/>
                <w:szCs w:val="15"/>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gridSpan w:val="2"/>
          </w:tcPr>
          <w:p>
            <w:pPr>
              <w:ind w:left="280"/>
              <w:spacing w:after="0" w:line="189" w:lineRule="exact"/>
              <w:rPr>
                <w:sz w:val="20"/>
                <w:szCs w:val="20"/>
                <w:color w:val="auto"/>
              </w:rPr>
            </w:pPr>
            <w:r>
              <w:rPr>
                <w:rFonts w:ascii="Calibri" w:cs="Calibri" w:eastAsia="Calibri" w:hAnsi="Calibri"/>
                <w:sz w:val="14"/>
                <w:szCs w:val="14"/>
                <w:color w:val="333333"/>
              </w:rPr>
              <w:t xml:space="preserve">Health and Welfare Benefts </w:t>
            </w:r>
            <w:r>
              <w:rPr>
                <w:rFonts w:ascii="Calibri" w:cs="Calibri" w:eastAsia="Calibri" w:hAnsi="Calibri"/>
                <w:sz w:val="20"/>
                <w:szCs w:val="20"/>
                <w:color w:val="333333"/>
                <w:vertAlign w:val="superscript"/>
              </w:rPr>
              <w:t>(12)</w:t>
            </w:r>
          </w:p>
        </w:tc>
        <w:tc>
          <w:tcPr>
            <w:tcW w:w="340" w:type="dxa"/>
            <w:vAlign w:val="bottom"/>
          </w:tcPr>
          <w:p>
            <w:pPr>
              <w:spacing w:after="0"/>
              <w:rPr>
                <w:sz w:val="16"/>
                <w:szCs w:val="16"/>
                <w:color w:val="auto"/>
              </w:rPr>
            </w:pP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tcPr>
          <w:p>
            <w:pPr>
              <w:spacing w:after="0"/>
              <w:rPr>
                <w:sz w:val="16"/>
                <w:szCs w:val="16"/>
                <w:color w:val="auto"/>
              </w:rPr>
            </w:pPr>
          </w:p>
        </w:tc>
        <w:tc>
          <w:tcPr>
            <w:tcW w:w="1480" w:type="dxa"/>
            <w:vAlign w:val="bottom"/>
          </w:tcPr>
          <w:p>
            <w:pPr>
              <w:jc w:val="center"/>
              <w:spacing w:after="0" w:line="169" w:lineRule="exact"/>
              <w:rPr>
                <w:sz w:val="20"/>
                <w:szCs w:val="20"/>
                <w:color w:val="auto"/>
              </w:rPr>
            </w:pPr>
            <w:r>
              <w:rPr>
                <w:rFonts w:ascii="Calibri" w:cs="Calibri" w:eastAsia="Calibri" w:hAnsi="Calibri"/>
                <w:sz w:val="14"/>
                <w:szCs w:val="14"/>
                <w:color w:val="333333"/>
              </w:rPr>
              <w:t>—</w:t>
            </w:r>
          </w:p>
        </w:tc>
        <w:tc>
          <w:tcPr>
            <w:tcW w:w="1780" w:type="dxa"/>
            <w:vAlign w:val="bottom"/>
            <w:gridSpan w:val="2"/>
          </w:tcPr>
          <w:p>
            <w:pPr>
              <w:jc w:val="center"/>
              <w:ind w:left="247"/>
              <w:spacing w:after="0" w:line="169" w:lineRule="exact"/>
              <w:rPr>
                <w:sz w:val="20"/>
                <w:szCs w:val="20"/>
                <w:color w:val="auto"/>
              </w:rPr>
            </w:pPr>
            <w:r>
              <w:rPr>
                <w:rFonts w:ascii="Calibri" w:cs="Calibri" w:eastAsia="Calibri" w:hAnsi="Calibri"/>
                <w:sz w:val="14"/>
                <w:szCs w:val="14"/>
                <w:color w:val="333333"/>
                <w:w w:val="97"/>
              </w:rPr>
              <w:t>21,980</w:t>
            </w:r>
          </w:p>
        </w:tc>
        <w:tc>
          <w:tcPr>
            <w:tcW w:w="1820" w:type="dxa"/>
            <w:vAlign w:val="bottom"/>
            <w:gridSpan w:val="2"/>
          </w:tcPr>
          <w:p>
            <w:pPr>
              <w:jc w:val="center"/>
              <w:ind w:left="229"/>
              <w:spacing w:after="0" w:line="169" w:lineRule="exact"/>
              <w:rPr>
                <w:sz w:val="20"/>
                <w:szCs w:val="20"/>
                <w:color w:val="auto"/>
              </w:rPr>
            </w:pPr>
            <w:r>
              <w:rPr>
                <w:rFonts w:ascii="Calibri" w:cs="Calibri" w:eastAsia="Calibri" w:hAnsi="Calibri"/>
                <w:sz w:val="14"/>
                <w:szCs w:val="14"/>
                <w:color w:val="333333"/>
              </w:rPr>
              <w:t>21,980</w:t>
            </w:r>
          </w:p>
        </w:tc>
        <w:tc>
          <w:tcPr>
            <w:tcW w:w="340" w:type="dxa"/>
            <w:vAlign w:val="bottom"/>
          </w:tcPr>
          <w:p>
            <w:pPr>
              <w:spacing w:after="0"/>
              <w:rPr>
                <w:sz w:val="16"/>
                <w:szCs w:val="16"/>
                <w:color w:val="auto"/>
              </w:rPr>
            </w:pP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333333"/>
              </w:rPr>
              <w:t>21,980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gridSpan w:val="2"/>
          </w:tcPr>
          <w:p>
            <w:pPr>
              <w:ind w:left="280"/>
              <w:spacing w:after="0" w:line="161" w:lineRule="exact"/>
              <w:rPr>
                <w:sz w:val="20"/>
                <w:szCs w:val="20"/>
                <w:color w:val="auto"/>
              </w:rPr>
            </w:pPr>
            <w:r>
              <w:rPr>
                <w:rFonts w:ascii="Calibri" w:cs="Calibri" w:eastAsia="Calibri" w:hAnsi="Calibri"/>
                <w:sz w:val="14"/>
                <w:szCs w:val="14"/>
                <w:b w:val="1"/>
                <w:bCs w:val="1"/>
                <w:color w:val="333333"/>
              </w:rPr>
              <w:t>Total</w:t>
            </w:r>
          </w:p>
        </w:tc>
        <w:tc>
          <w:tcPr>
            <w:tcW w:w="340" w:type="dxa"/>
            <w:vAlign w:val="bottom"/>
          </w:tcPr>
          <w:p>
            <w:pPr>
              <w:spacing w:after="0"/>
              <w:rPr>
                <w:sz w:val="15"/>
                <w:szCs w:val="15"/>
                <w:color w:val="auto"/>
              </w:rPr>
            </w:pPr>
          </w:p>
        </w:tc>
        <w:tc>
          <w:tcPr>
            <w:tcW w:w="98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w w:val="94"/>
              </w:rPr>
              <w:t>—</w:t>
            </w:r>
          </w:p>
        </w:tc>
        <w:tc>
          <w:tcPr>
            <w:tcW w:w="340" w:type="dxa"/>
            <w:vAlign w:val="bottom"/>
          </w:tcPr>
          <w:p>
            <w:pPr>
              <w:spacing w:after="0"/>
              <w:rPr>
                <w:sz w:val="15"/>
                <w:szCs w:val="15"/>
                <w:color w:val="auto"/>
              </w:rPr>
            </w:pPr>
          </w:p>
        </w:tc>
        <w:tc>
          <w:tcPr>
            <w:tcW w:w="148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rPr>
              <w:t>—</w:t>
            </w:r>
          </w:p>
        </w:tc>
        <w:tc>
          <w:tcPr>
            <w:tcW w:w="340" w:type="dxa"/>
            <w:vAlign w:val="bottom"/>
          </w:tcPr>
          <w:p>
            <w:pPr>
              <w:spacing w:after="0"/>
              <w:rPr>
                <w:sz w:val="15"/>
                <w:szCs w:val="15"/>
                <w:color w:val="auto"/>
              </w:rPr>
            </w:pPr>
          </w:p>
        </w:tc>
        <w:tc>
          <w:tcPr>
            <w:tcW w:w="144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rPr>
              <w:t>1,282,992</w:t>
            </w:r>
          </w:p>
        </w:tc>
        <w:tc>
          <w:tcPr>
            <w:tcW w:w="340" w:type="dxa"/>
            <w:vAlign w:val="bottom"/>
          </w:tcPr>
          <w:p>
            <w:pPr>
              <w:spacing w:after="0"/>
              <w:rPr>
                <w:sz w:val="15"/>
                <w:szCs w:val="15"/>
                <w:color w:val="auto"/>
              </w:rPr>
            </w:pPr>
          </w:p>
        </w:tc>
        <w:tc>
          <w:tcPr>
            <w:tcW w:w="148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rPr>
              <w:t>2,571,738</w:t>
            </w:r>
          </w:p>
        </w:tc>
        <w:tc>
          <w:tcPr>
            <w:tcW w:w="340" w:type="dxa"/>
            <w:vAlign w:val="bottom"/>
          </w:tcPr>
          <w:p>
            <w:pPr>
              <w:spacing w:after="0"/>
              <w:rPr>
                <w:sz w:val="15"/>
                <w:szCs w:val="15"/>
                <w:color w:val="auto"/>
              </w:rPr>
            </w:pPr>
          </w:p>
        </w:tc>
        <w:tc>
          <w:tcPr>
            <w:tcW w:w="1000" w:type="dxa"/>
            <w:vAlign w:val="bottom"/>
            <w:tcBorders>
              <w:top w:val="single" w:sz="8" w:color="333333"/>
              <w:bottom w:val="single" w:sz="8" w:color="333333"/>
            </w:tcBorders>
          </w:tcPr>
          <w:p>
            <w:pPr>
              <w:jc w:val="center"/>
              <w:spacing w:after="0" w:line="169" w:lineRule="exact"/>
              <w:rPr>
                <w:sz w:val="20"/>
                <w:szCs w:val="20"/>
                <w:color w:val="auto"/>
              </w:rPr>
            </w:pPr>
            <w:r>
              <w:rPr>
                <w:rFonts w:ascii="Calibri" w:cs="Calibri" w:eastAsia="Calibri" w:hAnsi="Calibri"/>
                <w:sz w:val="14"/>
                <w:szCs w:val="14"/>
                <w:b w:val="1"/>
                <w:bCs w:val="1"/>
                <w:color w:val="333333"/>
              </w:rPr>
              <w:t>1,784,238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33333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33333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33333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33333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33333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Borders>
              <w:left w:val="single" w:sz="8" w:color="EFF2EF"/>
              <w:right w:val="single" w:sz="8" w:color="EFF2EF"/>
            </w:tcBorders>
            <w:gridSpan w:val="2"/>
            <w:shd w:val="clear" w:color="auto" w:fill="EFF2EF"/>
          </w:tcPr>
          <w:p>
            <w:pPr>
              <w:spacing w:after="0" w:line="169" w:lineRule="exact"/>
              <w:rPr>
                <w:sz w:val="20"/>
                <w:szCs w:val="20"/>
                <w:color w:val="auto"/>
              </w:rPr>
            </w:pPr>
            <w:r>
              <w:rPr>
                <w:rFonts w:ascii="Calibri" w:cs="Calibri" w:eastAsia="Calibri" w:hAnsi="Calibri"/>
                <w:sz w:val="14"/>
                <w:szCs w:val="14"/>
                <w:b w:val="1"/>
                <w:bCs w:val="1"/>
                <w:color w:val="0591DB"/>
              </w:rPr>
              <w:t> Brendan J. Keatng</w:t>
            </w:r>
          </w:p>
        </w:tc>
        <w:tc>
          <w:tcPr>
            <w:tcW w:w="340" w:type="dxa"/>
            <w:vAlign w:val="bottom"/>
            <w:shd w:val="clear" w:color="auto" w:fill="EFF2EF"/>
          </w:tcPr>
          <w:p>
            <w:pPr>
              <w:spacing w:after="0"/>
              <w:rPr>
                <w:sz w:val="14"/>
                <w:szCs w:val="14"/>
                <w:color w:val="auto"/>
              </w:rPr>
            </w:pPr>
          </w:p>
        </w:tc>
        <w:tc>
          <w:tcPr>
            <w:tcW w:w="98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44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000" w:type="dxa"/>
            <w:vAlign w:val="bottom"/>
            <w:shd w:val="clear" w:color="auto" w:fill="EFF2E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Borders>
              <w:left w:val="single" w:sz="8" w:color="EFF2EF"/>
              <w:right w:val="single" w:sz="8" w:color="EFF2EF"/>
            </w:tcBorders>
            <w:gridSpan w:val="2"/>
            <w:shd w:val="clear" w:color="auto" w:fill="EFF2EF"/>
          </w:tcPr>
          <w:p>
            <w:pPr>
              <w:ind w:left="140"/>
              <w:spacing w:after="0" w:line="169" w:lineRule="exact"/>
              <w:rPr>
                <w:sz w:val="20"/>
                <w:szCs w:val="20"/>
                <w:color w:val="auto"/>
              </w:rPr>
            </w:pPr>
            <w:r>
              <w:rPr>
                <w:rFonts w:ascii="Calibri" w:cs="Calibri" w:eastAsia="Calibri" w:hAnsi="Calibri"/>
                <w:sz w:val="14"/>
                <w:szCs w:val="14"/>
                <w:color w:val="333333"/>
              </w:rPr>
              <w:t>Base Salary</w:t>
            </w:r>
          </w:p>
        </w:tc>
        <w:tc>
          <w:tcPr>
            <w:tcW w:w="340" w:type="dxa"/>
            <w:vAlign w:val="bottom"/>
            <w:shd w:val="clear" w:color="auto" w:fill="EFF2EF"/>
          </w:tcPr>
          <w:p>
            <w:pPr>
              <w:spacing w:after="0"/>
              <w:rPr>
                <w:sz w:val="14"/>
                <w:szCs w:val="14"/>
                <w:color w:val="auto"/>
              </w:rPr>
            </w:pPr>
          </w:p>
        </w:tc>
        <w:tc>
          <w:tcPr>
            <w:tcW w:w="9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4"/>
                <w:szCs w:val="14"/>
                <w:color w:val="auto"/>
              </w:rPr>
            </w:pPr>
          </w:p>
        </w:tc>
        <w:tc>
          <w:tcPr>
            <w:tcW w:w="144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4"/>
                <w:szCs w:val="14"/>
                <w:color w:val="auto"/>
              </w:rPr>
            </w:pPr>
          </w:p>
        </w:tc>
        <w:tc>
          <w:tcPr>
            <w:tcW w:w="1820" w:type="dxa"/>
            <w:vAlign w:val="bottom"/>
            <w:gridSpan w:val="2"/>
            <w:shd w:val="clear" w:color="auto" w:fill="EFF2EF"/>
          </w:tcPr>
          <w:p>
            <w:pPr>
              <w:jc w:val="center"/>
              <w:ind w:right="360"/>
              <w:spacing w:after="0" w:line="169" w:lineRule="exact"/>
              <w:rPr>
                <w:sz w:val="20"/>
                <w:szCs w:val="20"/>
                <w:color w:val="auto"/>
              </w:rPr>
            </w:pPr>
            <w:r>
              <w:rPr>
                <w:rFonts w:ascii="Calibri" w:cs="Calibri" w:eastAsia="Calibri" w:hAnsi="Calibri"/>
                <w:sz w:val="14"/>
                <w:szCs w:val="14"/>
                <w:color w:val="333333"/>
              </w:rPr>
              <w:t>—</w:t>
            </w:r>
          </w:p>
        </w:tc>
        <w:tc>
          <w:tcPr>
            <w:tcW w:w="100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20" w:type="dxa"/>
            <w:vAlign w:val="bottom"/>
            <w:tcBorders>
              <w:left w:val="single" w:sz="8" w:color="EFF2EF"/>
              <w:right w:val="single" w:sz="8" w:color="EFF2EF"/>
            </w:tcBorders>
            <w:gridSpan w:val="2"/>
            <w:shd w:val="clear" w:color="auto" w:fill="EFF2EF"/>
          </w:tcPr>
          <w:p>
            <w:pPr>
              <w:ind w:left="140"/>
              <w:spacing w:after="0" w:line="184" w:lineRule="exact"/>
              <w:rPr>
                <w:sz w:val="20"/>
                <w:szCs w:val="20"/>
                <w:color w:val="auto"/>
              </w:rPr>
            </w:pPr>
            <w:r>
              <w:rPr>
                <w:rFonts w:ascii="Calibri" w:cs="Calibri" w:eastAsia="Calibri" w:hAnsi="Calibri"/>
                <w:sz w:val="14"/>
                <w:szCs w:val="14"/>
                <w:color w:val="333333"/>
              </w:rPr>
              <w:t xml:space="preserve">AIP: </w:t>
            </w:r>
            <w:r>
              <w:rPr>
                <w:rFonts w:ascii="Calibri" w:cs="Calibri" w:eastAsia="Calibri" w:hAnsi="Calibri"/>
                <w:sz w:val="20"/>
                <w:szCs w:val="20"/>
                <w:color w:val="333333"/>
                <w:vertAlign w:val="superscript"/>
              </w:rPr>
              <w:t>(2)</w:t>
            </w:r>
          </w:p>
        </w:tc>
        <w:tc>
          <w:tcPr>
            <w:tcW w:w="340" w:type="dxa"/>
            <w:vAlign w:val="bottom"/>
            <w:shd w:val="clear" w:color="auto" w:fill="EFF2EF"/>
          </w:tcPr>
          <w:p>
            <w:pPr>
              <w:spacing w:after="0"/>
              <w:rPr>
                <w:sz w:val="15"/>
                <w:szCs w:val="15"/>
                <w:color w:val="auto"/>
              </w:rPr>
            </w:pPr>
          </w:p>
        </w:tc>
        <w:tc>
          <w:tcPr>
            <w:tcW w:w="9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4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0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Borders>
              <w:left w:val="single" w:sz="8" w:color="EFF2EF"/>
              <w:right w:val="single" w:sz="8" w:color="EFF2EF"/>
            </w:tcBorders>
            <w:gridSpan w:val="2"/>
            <w:shd w:val="clear" w:color="auto" w:fill="EFF2EF"/>
          </w:tcPr>
          <w:p>
            <w:pPr>
              <w:ind w:left="280"/>
              <w:spacing w:after="0" w:line="169" w:lineRule="exact"/>
              <w:rPr>
                <w:sz w:val="20"/>
                <w:szCs w:val="20"/>
                <w:color w:val="auto"/>
              </w:rPr>
            </w:pPr>
            <w:r>
              <w:rPr>
                <w:rFonts w:ascii="Calibri" w:cs="Calibri" w:eastAsia="Calibri" w:hAnsi="Calibri"/>
                <w:sz w:val="14"/>
                <w:szCs w:val="14"/>
                <w:color w:val="333333"/>
              </w:rPr>
              <w:t>Unpaid AIP for Year Prior to Terminaton</w:t>
            </w:r>
          </w:p>
        </w:tc>
        <w:tc>
          <w:tcPr>
            <w:tcW w:w="340" w:type="dxa"/>
            <w:vAlign w:val="bottom"/>
            <w:shd w:val="clear" w:color="auto" w:fill="EFF2EF"/>
          </w:tcPr>
          <w:p>
            <w:pPr>
              <w:spacing w:after="0"/>
              <w:rPr>
                <w:sz w:val="14"/>
                <w:szCs w:val="14"/>
                <w:color w:val="auto"/>
              </w:rPr>
            </w:pPr>
          </w:p>
        </w:tc>
        <w:tc>
          <w:tcPr>
            <w:tcW w:w="9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4"/>
                <w:szCs w:val="14"/>
                <w:color w:val="auto"/>
              </w:rPr>
            </w:pPr>
          </w:p>
        </w:tc>
        <w:tc>
          <w:tcPr>
            <w:tcW w:w="144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4"/>
                <w:szCs w:val="14"/>
                <w:color w:val="auto"/>
              </w:rPr>
            </w:pPr>
          </w:p>
        </w:tc>
        <w:tc>
          <w:tcPr>
            <w:tcW w:w="1820" w:type="dxa"/>
            <w:vAlign w:val="bottom"/>
            <w:gridSpan w:val="2"/>
            <w:shd w:val="clear" w:color="auto" w:fill="EFF2EF"/>
          </w:tcPr>
          <w:p>
            <w:pPr>
              <w:jc w:val="center"/>
              <w:ind w:right="360"/>
              <w:spacing w:after="0" w:line="169" w:lineRule="exact"/>
              <w:rPr>
                <w:sz w:val="20"/>
                <w:szCs w:val="20"/>
                <w:color w:val="auto"/>
              </w:rPr>
            </w:pPr>
            <w:r>
              <w:rPr>
                <w:rFonts w:ascii="Calibri" w:cs="Calibri" w:eastAsia="Calibri" w:hAnsi="Calibri"/>
                <w:sz w:val="14"/>
                <w:szCs w:val="14"/>
                <w:color w:val="333333"/>
              </w:rPr>
              <w:t>—</w:t>
            </w:r>
          </w:p>
        </w:tc>
        <w:tc>
          <w:tcPr>
            <w:tcW w:w="100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tcBorders>
              <w:left w:val="single" w:sz="8" w:color="EFF2EF"/>
              <w:right w:val="single" w:sz="8" w:color="EFF2EF"/>
            </w:tcBorders>
            <w:gridSpan w:val="2"/>
            <w:shd w:val="clear" w:color="auto" w:fill="EFF2EF"/>
          </w:tcPr>
          <w:p>
            <w:pPr>
              <w:ind w:left="280"/>
              <w:spacing w:after="0" w:line="164" w:lineRule="exact"/>
              <w:rPr>
                <w:sz w:val="20"/>
                <w:szCs w:val="20"/>
                <w:color w:val="auto"/>
              </w:rPr>
            </w:pPr>
            <w:r>
              <w:rPr>
                <w:rFonts w:ascii="Calibri" w:cs="Calibri" w:eastAsia="Calibri" w:hAnsi="Calibri"/>
                <w:sz w:val="14"/>
                <w:szCs w:val="14"/>
                <w:color w:val="333333"/>
              </w:rPr>
              <w:t>Prorated for AIP Based on Financial Metrics</w:t>
            </w:r>
          </w:p>
        </w:tc>
        <w:tc>
          <w:tcPr>
            <w:tcW w:w="340" w:type="dxa"/>
            <w:vAlign w:val="bottom"/>
            <w:shd w:val="clear" w:color="auto" w:fill="EFF2EF"/>
          </w:tcPr>
          <w:p>
            <w:pPr>
              <w:spacing w:after="0"/>
              <w:rPr>
                <w:sz w:val="14"/>
                <w:szCs w:val="14"/>
                <w:color w:val="auto"/>
              </w:rPr>
            </w:pPr>
          </w:p>
        </w:tc>
        <w:tc>
          <w:tcPr>
            <w:tcW w:w="98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44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spacing w:after="0"/>
              <w:rPr>
                <w:sz w:val="14"/>
                <w:szCs w:val="14"/>
                <w:color w:val="auto"/>
              </w:rPr>
            </w:pPr>
          </w:p>
        </w:tc>
        <w:tc>
          <w:tcPr>
            <w:tcW w:w="340" w:type="dxa"/>
            <w:vAlign w:val="bottom"/>
            <w:shd w:val="clear" w:color="auto" w:fill="EFF2EF"/>
          </w:tcPr>
          <w:p>
            <w:pPr>
              <w:spacing w:after="0"/>
              <w:rPr>
                <w:sz w:val="14"/>
                <w:szCs w:val="14"/>
                <w:color w:val="auto"/>
              </w:rPr>
            </w:pPr>
          </w:p>
        </w:tc>
        <w:tc>
          <w:tcPr>
            <w:tcW w:w="1000" w:type="dxa"/>
            <w:vAlign w:val="bottom"/>
            <w:shd w:val="clear" w:color="auto" w:fill="EFF2E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Borders>
              <w:left w:val="single" w:sz="8" w:color="EFF2EF"/>
              <w:right w:val="single" w:sz="8" w:color="EFF2EF"/>
            </w:tcBorders>
            <w:gridSpan w:val="2"/>
            <w:shd w:val="clear" w:color="auto" w:fill="EFF2EF"/>
          </w:tcPr>
          <w:p>
            <w:pPr>
              <w:ind w:left="420"/>
              <w:spacing w:after="0" w:line="169" w:lineRule="exact"/>
              <w:rPr>
                <w:sz w:val="20"/>
                <w:szCs w:val="20"/>
                <w:color w:val="auto"/>
              </w:rPr>
            </w:pPr>
            <w:r>
              <w:rPr>
                <w:rFonts w:ascii="Calibri" w:cs="Calibri" w:eastAsia="Calibri" w:hAnsi="Calibri"/>
                <w:sz w:val="14"/>
                <w:szCs w:val="14"/>
                <w:color w:val="333333"/>
              </w:rPr>
              <w:t>for Year of Terminaton at Actual</w:t>
            </w:r>
          </w:p>
        </w:tc>
        <w:tc>
          <w:tcPr>
            <w:tcW w:w="340" w:type="dxa"/>
            <w:vAlign w:val="bottom"/>
            <w:shd w:val="clear" w:color="auto" w:fill="EFF2EF"/>
          </w:tcPr>
          <w:p>
            <w:pPr>
              <w:spacing w:after="0"/>
              <w:rPr>
                <w:sz w:val="14"/>
                <w:szCs w:val="14"/>
                <w:color w:val="auto"/>
              </w:rPr>
            </w:pPr>
          </w:p>
        </w:tc>
        <w:tc>
          <w:tcPr>
            <w:tcW w:w="9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4"/>
                <w:szCs w:val="14"/>
                <w:color w:val="auto"/>
              </w:rPr>
            </w:pPr>
          </w:p>
        </w:tc>
        <w:tc>
          <w:tcPr>
            <w:tcW w:w="14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4"/>
                <w:szCs w:val="14"/>
                <w:color w:val="auto"/>
              </w:rPr>
            </w:pPr>
          </w:p>
        </w:tc>
        <w:tc>
          <w:tcPr>
            <w:tcW w:w="144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4"/>
                <w:szCs w:val="14"/>
                <w:color w:val="auto"/>
              </w:rPr>
            </w:pPr>
          </w:p>
        </w:tc>
        <w:tc>
          <w:tcPr>
            <w:tcW w:w="1820" w:type="dxa"/>
            <w:vAlign w:val="bottom"/>
            <w:gridSpan w:val="2"/>
            <w:shd w:val="clear" w:color="auto" w:fill="EFF2EF"/>
          </w:tcPr>
          <w:p>
            <w:pPr>
              <w:jc w:val="center"/>
              <w:ind w:right="360"/>
              <w:spacing w:after="0" w:line="169" w:lineRule="exact"/>
              <w:rPr>
                <w:sz w:val="20"/>
                <w:szCs w:val="20"/>
                <w:color w:val="auto"/>
              </w:rPr>
            </w:pPr>
            <w:r>
              <w:rPr>
                <w:rFonts w:ascii="Calibri" w:cs="Calibri" w:eastAsia="Calibri" w:hAnsi="Calibri"/>
                <w:sz w:val="14"/>
                <w:szCs w:val="14"/>
                <w:color w:val="333333"/>
              </w:rPr>
              <w:t>—</w:t>
            </w:r>
          </w:p>
        </w:tc>
        <w:tc>
          <w:tcPr>
            <w:tcW w:w="100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left w:val="single" w:sz="8" w:color="EFF2EF"/>
              <w:right w:val="single" w:sz="8" w:color="EFF2EF"/>
            </w:tcBorders>
            <w:gridSpan w:val="2"/>
            <w:shd w:val="clear" w:color="auto" w:fill="EFF2EF"/>
          </w:tcPr>
          <w:p>
            <w:pPr>
              <w:ind w:left="280"/>
              <w:spacing w:after="0"/>
              <w:rPr>
                <w:sz w:val="20"/>
                <w:szCs w:val="20"/>
                <w:color w:val="auto"/>
              </w:rPr>
            </w:pPr>
            <w:r>
              <w:rPr>
                <w:rFonts w:ascii="Calibri" w:cs="Calibri" w:eastAsia="Calibri" w:hAnsi="Calibri"/>
                <w:sz w:val="14"/>
                <w:szCs w:val="14"/>
                <w:color w:val="333333"/>
              </w:rPr>
              <w:t>Prorated AIP for Year of Terminaton Based</w:t>
            </w:r>
          </w:p>
        </w:tc>
        <w:tc>
          <w:tcPr>
            <w:tcW w:w="340" w:type="dxa"/>
            <w:vAlign w:val="bottom"/>
            <w:shd w:val="clear" w:color="auto" w:fill="EFF2EF"/>
          </w:tcPr>
          <w:p>
            <w:pPr>
              <w:spacing w:after="0"/>
              <w:rPr>
                <w:sz w:val="15"/>
                <w:szCs w:val="15"/>
                <w:color w:val="auto"/>
              </w:rPr>
            </w:pPr>
          </w:p>
        </w:tc>
        <w:tc>
          <w:tcPr>
            <w:tcW w:w="9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4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0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left w:val="single" w:sz="8" w:color="EFF2EF"/>
              <w:right w:val="single" w:sz="8" w:color="EFF2EF"/>
            </w:tcBorders>
            <w:gridSpan w:val="2"/>
            <w:shd w:val="clear" w:color="auto" w:fill="EFF2EF"/>
          </w:tcPr>
          <w:p>
            <w:pPr>
              <w:ind w:left="420"/>
              <w:spacing w:after="0"/>
              <w:rPr>
                <w:sz w:val="20"/>
                <w:szCs w:val="20"/>
                <w:color w:val="auto"/>
              </w:rPr>
            </w:pPr>
            <w:r>
              <w:rPr>
                <w:rFonts w:ascii="Calibri" w:cs="Calibri" w:eastAsia="Calibri" w:hAnsi="Calibri"/>
                <w:sz w:val="14"/>
                <w:szCs w:val="14"/>
                <w:color w:val="333333"/>
              </w:rPr>
              <w:t>on Prior Year’s Individual Performance at</w:t>
            </w:r>
          </w:p>
        </w:tc>
        <w:tc>
          <w:tcPr>
            <w:tcW w:w="340" w:type="dxa"/>
            <w:vAlign w:val="bottom"/>
            <w:shd w:val="clear" w:color="auto" w:fill="EFF2EF"/>
          </w:tcPr>
          <w:p>
            <w:pPr>
              <w:spacing w:after="0"/>
              <w:rPr>
                <w:sz w:val="15"/>
                <w:szCs w:val="15"/>
                <w:color w:val="auto"/>
              </w:rPr>
            </w:pPr>
          </w:p>
        </w:tc>
        <w:tc>
          <w:tcPr>
            <w:tcW w:w="9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4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spacing w:after="0"/>
              <w:rPr>
                <w:sz w:val="15"/>
                <w:szCs w:val="15"/>
                <w:color w:val="auto"/>
              </w:rPr>
            </w:pPr>
          </w:p>
        </w:tc>
        <w:tc>
          <w:tcPr>
            <w:tcW w:w="340" w:type="dxa"/>
            <w:vAlign w:val="bottom"/>
            <w:shd w:val="clear" w:color="auto" w:fill="EFF2EF"/>
          </w:tcPr>
          <w:p>
            <w:pPr>
              <w:spacing w:after="0"/>
              <w:rPr>
                <w:sz w:val="15"/>
                <w:szCs w:val="15"/>
                <w:color w:val="auto"/>
              </w:rPr>
            </w:pPr>
          </w:p>
        </w:tc>
        <w:tc>
          <w:tcPr>
            <w:tcW w:w="1000" w:type="dxa"/>
            <w:vAlign w:val="bottom"/>
            <w:shd w:val="clear" w:color="auto" w:fill="EFF2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left w:val="single" w:sz="8" w:color="EFF2EF"/>
              <w:right w:val="single" w:sz="8" w:color="EFF2EF"/>
            </w:tcBorders>
            <w:gridSpan w:val="2"/>
            <w:shd w:val="clear" w:color="auto" w:fill="EFF2EF"/>
          </w:tcPr>
          <w:p>
            <w:pPr>
              <w:ind w:left="420"/>
              <w:spacing w:after="0"/>
              <w:rPr>
                <w:sz w:val="20"/>
                <w:szCs w:val="20"/>
                <w:color w:val="auto"/>
              </w:rPr>
            </w:pPr>
            <w:r>
              <w:rPr>
                <w:rFonts w:ascii="Calibri" w:cs="Calibri" w:eastAsia="Calibri" w:hAnsi="Calibri"/>
                <w:sz w:val="14"/>
                <w:szCs w:val="14"/>
                <w:color w:val="333333"/>
              </w:rPr>
              <w:t>Actual</w:t>
            </w:r>
          </w:p>
        </w:tc>
        <w:tc>
          <w:tcPr>
            <w:tcW w:w="340" w:type="dxa"/>
            <w:vAlign w:val="bottom"/>
            <w:shd w:val="clear" w:color="auto" w:fill="EFF2EF"/>
          </w:tcPr>
          <w:p>
            <w:pPr>
              <w:spacing w:after="0"/>
              <w:rPr>
                <w:sz w:val="15"/>
                <w:szCs w:val="15"/>
                <w:color w:val="auto"/>
              </w:rPr>
            </w:pPr>
          </w:p>
        </w:tc>
        <w:tc>
          <w:tcPr>
            <w:tcW w:w="9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5"/>
                <w:szCs w:val="15"/>
                <w:color w:val="auto"/>
              </w:rPr>
            </w:pPr>
          </w:p>
        </w:tc>
        <w:tc>
          <w:tcPr>
            <w:tcW w:w="14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5"/>
                <w:szCs w:val="15"/>
                <w:color w:val="auto"/>
              </w:rPr>
            </w:pPr>
          </w:p>
        </w:tc>
        <w:tc>
          <w:tcPr>
            <w:tcW w:w="1820" w:type="dxa"/>
            <w:vAlign w:val="bottom"/>
            <w:gridSpan w:val="2"/>
            <w:shd w:val="clear" w:color="auto" w:fill="EFF2EF"/>
          </w:tcPr>
          <w:p>
            <w:pPr>
              <w:jc w:val="center"/>
              <w:ind w:right="360"/>
              <w:spacing w:after="0"/>
              <w:rPr>
                <w:sz w:val="20"/>
                <w:szCs w:val="20"/>
                <w:color w:val="auto"/>
              </w:rPr>
            </w:pPr>
            <w:r>
              <w:rPr>
                <w:rFonts w:ascii="Calibri" w:cs="Calibri" w:eastAsia="Calibri" w:hAnsi="Calibri"/>
                <w:sz w:val="14"/>
                <w:szCs w:val="14"/>
                <w:color w:val="333333"/>
              </w:rPr>
              <w:t>—</w:t>
            </w:r>
          </w:p>
        </w:tc>
        <w:tc>
          <w:tcPr>
            <w:tcW w:w="100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tcBorders>
              <w:left w:val="single" w:sz="8" w:color="EFF2EF"/>
              <w:right w:val="single" w:sz="8" w:color="EFF2EF"/>
            </w:tcBorders>
            <w:gridSpan w:val="2"/>
            <w:shd w:val="clear" w:color="auto" w:fill="EFF2EF"/>
          </w:tcPr>
          <w:p>
            <w:pPr>
              <w:ind w:left="280"/>
              <w:spacing w:after="0" w:line="194" w:lineRule="exact"/>
              <w:rPr>
                <w:sz w:val="20"/>
                <w:szCs w:val="20"/>
                <w:color w:val="auto"/>
              </w:rPr>
            </w:pPr>
            <w:r>
              <w:rPr>
                <w:rFonts w:ascii="Calibri" w:cs="Calibri" w:eastAsia="Calibri" w:hAnsi="Calibri"/>
                <w:sz w:val="14"/>
                <w:szCs w:val="14"/>
                <w:color w:val="333333"/>
              </w:rPr>
              <w:t xml:space="preserve">Equity Awards </w:t>
            </w:r>
            <w:r>
              <w:rPr>
                <w:rFonts w:ascii="Calibri" w:cs="Calibri" w:eastAsia="Calibri" w:hAnsi="Calibri"/>
                <w:sz w:val="21"/>
                <w:szCs w:val="21"/>
                <w:color w:val="333333"/>
                <w:vertAlign w:val="superscript"/>
              </w:rPr>
              <w:t>(3) (5) (7)</w:t>
            </w:r>
          </w:p>
        </w:tc>
        <w:tc>
          <w:tcPr>
            <w:tcW w:w="340" w:type="dxa"/>
            <w:vAlign w:val="bottom"/>
            <w:shd w:val="clear" w:color="auto" w:fill="EFF2EF"/>
          </w:tcPr>
          <w:p>
            <w:pPr>
              <w:spacing w:after="0"/>
              <w:rPr>
                <w:sz w:val="16"/>
                <w:szCs w:val="16"/>
                <w:color w:val="auto"/>
              </w:rPr>
            </w:pPr>
          </w:p>
        </w:tc>
        <w:tc>
          <w:tcPr>
            <w:tcW w:w="9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6"/>
                <w:szCs w:val="16"/>
                <w:color w:val="auto"/>
              </w:rPr>
            </w:pPr>
          </w:p>
        </w:tc>
        <w:tc>
          <w:tcPr>
            <w:tcW w:w="14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6"/>
                <w:szCs w:val="16"/>
                <w:color w:val="auto"/>
              </w:rPr>
            </w:pPr>
          </w:p>
        </w:tc>
        <w:tc>
          <w:tcPr>
            <w:tcW w:w="144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4"/>
                <w:szCs w:val="14"/>
                <w:color w:val="333333"/>
                <w:w w:val="97"/>
              </w:rPr>
              <w:t>89,857</w:t>
            </w:r>
          </w:p>
        </w:tc>
        <w:tc>
          <w:tcPr>
            <w:tcW w:w="1820" w:type="dxa"/>
            <w:vAlign w:val="bottom"/>
            <w:tcBorders>
              <w:right w:val="single" w:sz="8" w:color="EFF2EF"/>
            </w:tcBorders>
            <w:gridSpan w:val="2"/>
            <w:shd w:val="clear" w:color="auto" w:fill="EFF2EF"/>
          </w:tcPr>
          <w:p>
            <w:pPr>
              <w:jc w:val="center"/>
              <w:ind w:left="229"/>
              <w:spacing w:after="0"/>
              <w:rPr>
                <w:sz w:val="20"/>
                <w:szCs w:val="20"/>
                <w:color w:val="auto"/>
              </w:rPr>
            </w:pPr>
            <w:r>
              <w:rPr>
                <w:rFonts w:ascii="Calibri" w:cs="Calibri" w:eastAsia="Calibri" w:hAnsi="Calibri"/>
                <w:sz w:val="14"/>
                <w:szCs w:val="14"/>
                <w:color w:val="333333"/>
              </w:rPr>
              <w:t>89,857</w:t>
            </w:r>
          </w:p>
        </w:tc>
        <w:tc>
          <w:tcPr>
            <w:tcW w:w="340" w:type="dxa"/>
            <w:vAlign w:val="bottom"/>
            <w:shd w:val="clear" w:color="auto" w:fill="EFF2EF"/>
          </w:tcPr>
          <w:p>
            <w:pPr>
              <w:spacing w:after="0"/>
              <w:rPr>
                <w:sz w:val="16"/>
                <w:szCs w:val="16"/>
                <w:color w:val="auto"/>
              </w:rPr>
            </w:pPr>
          </w:p>
        </w:tc>
        <w:tc>
          <w:tcPr>
            <w:tcW w:w="1000" w:type="dxa"/>
            <w:vAlign w:val="bottom"/>
            <w:shd w:val="clear" w:color="auto" w:fill="EFF2EF"/>
          </w:tcPr>
          <w:p>
            <w:pPr>
              <w:jc w:val="center"/>
              <w:spacing w:after="0"/>
              <w:rPr>
                <w:sz w:val="20"/>
                <w:szCs w:val="20"/>
                <w:color w:val="auto"/>
              </w:rPr>
            </w:pPr>
            <w:r>
              <w:rPr>
                <w:rFonts w:ascii="Calibri" w:cs="Calibri" w:eastAsia="Calibri" w:hAnsi="Calibri"/>
                <w:sz w:val="14"/>
                <w:szCs w:val="14"/>
                <w:color w:val="333333"/>
              </w:rPr>
              <w:t>432,371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left w:val="single" w:sz="8" w:color="EFF2EF"/>
              <w:right w:val="single" w:sz="8" w:color="EFF2EF"/>
            </w:tcBorders>
            <w:gridSpan w:val="2"/>
            <w:shd w:val="clear" w:color="auto" w:fill="EFF2EF"/>
          </w:tcPr>
          <w:p>
            <w:pPr>
              <w:ind w:left="280"/>
              <w:spacing w:after="0" w:line="174" w:lineRule="exact"/>
              <w:rPr>
                <w:sz w:val="20"/>
                <w:szCs w:val="20"/>
                <w:color w:val="auto"/>
              </w:rPr>
            </w:pPr>
            <w:r>
              <w:rPr>
                <w:rFonts w:ascii="Calibri" w:cs="Calibri" w:eastAsia="Calibri" w:hAnsi="Calibri"/>
                <w:sz w:val="12"/>
                <w:szCs w:val="12"/>
                <w:color w:val="333333"/>
              </w:rPr>
              <w:t xml:space="preserve">LTIP Performance Units </w:t>
            </w:r>
            <w:r>
              <w:rPr>
                <w:rFonts w:ascii="Calibri" w:cs="Calibri" w:eastAsia="Calibri" w:hAnsi="Calibri"/>
                <w:sz w:val="18"/>
                <w:szCs w:val="18"/>
                <w:color w:val="333333"/>
                <w:vertAlign w:val="superscript"/>
              </w:rPr>
              <w:t>(9)</w:t>
            </w:r>
          </w:p>
        </w:tc>
        <w:tc>
          <w:tcPr>
            <w:tcW w:w="340" w:type="dxa"/>
            <w:vAlign w:val="bottom"/>
            <w:shd w:val="clear" w:color="auto" w:fill="EFF2EF"/>
          </w:tcPr>
          <w:p>
            <w:pPr>
              <w:spacing w:after="0"/>
              <w:rPr>
                <w:sz w:val="15"/>
                <w:szCs w:val="15"/>
                <w:color w:val="auto"/>
              </w:rPr>
            </w:pPr>
          </w:p>
        </w:tc>
        <w:tc>
          <w:tcPr>
            <w:tcW w:w="9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5"/>
                <w:szCs w:val="15"/>
                <w:color w:val="auto"/>
              </w:rPr>
            </w:pPr>
          </w:p>
        </w:tc>
        <w:tc>
          <w:tcPr>
            <w:tcW w:w="144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5"/>
                <w:szCs w:val="15"/>
                <w:color w:val="auto"/>
              </w:rPr>
            </w:pPr>
          </w:p>
        </w:tc>
        <w:tc>
          <w:tcPr>
            <w:tcW w:w="1820" w:type="dxa"/>
            <w:vAlign w:val="bottom"/>
            <w:gridSpan w:val="2"/>
            <w:shd w:val="clear" w:color="auto" w:fill="EFF2EF"/>
          </w:tcPr>
          <w:p>
            <w:pPr>
              <w:jc w:val="center"/>
              <w:ind w:right="360"/>
              <w:spacing w:after="0" w:line="169" w:lineRule="exact"/>
              <w:rPr>
                <w:sz w:val="20"/>
                <w:szCs w:val="20"/>
                <w:color w:val="auto"/>
              </w:rPr>
            </w:pPr>
            <w:r>
              <w:rPr>
                <w:rFonts w:ascii="Calibri" w:cs="Calibri" w:eastAsia="Calibri" w:hAnsi="Calibri"/>
                <w:sz w:val="14"/>
                <w:szCs w:val="14"/>
                <w:color w:val="333333"/>
              </w:rPr>
              <w:t>—</w:t>
            </w:r>
          </w:p>
        </w:tc>
        <w:tc>
          <w:tcPr>
            <w:tcW w:w="100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left w:val="single" w:sz="8" w:color="EFF2EF"/>
              <w:right w:val="single" w:sz="8" w:color="EFF2EF"/>
            </w:tcBorders>
            <w:gridSpan w:val="2"/>
            <w:shd w:val="clear" w:color="auto" w:fill="EFF2EF"/>
          </w:tcPr>
          <w:p>
            <w:pPr>
              <w:ind w:left="280"/>
              <w:spacing w:after="0" w:line="174" w:lineRule="exact"/>
              <w:rPr>
                <w:sz w:val="20"/>
                <w:szCs w:val="20"/>
                <w:color w:val="auto"/>
              </w:rPr>
            </w:pPr>
            <w:r>
              <w:rPr>
                <w:rFonts w:ascii="Calibri" w:cs="Calibri" w:eastAsia="Calibri" w:hAnsi="Calibri"/>
                <w:sz w:val="12"/>
                <w:szCs w:val="12"/>
                <w:color w:val="333333"/>
              </w:rPr>
              <w:t xml:space="preserve">Severance Payment </w:t>
            </w:r>
            <w:r>
              <w:rPr>
                <w:rFonts w:ascii="Calibri" w:cs="Calibri" w:eastAsia="Calibri" w:hAnsi="Calibri"/>
                <w:sz w:val="18"/>
                <w:szCs w:val="18"/>
                <w:color w:val="333333"/>
                <w:vertAlign w:val="superscript"/>
              </w:rPr>
              <w:t>(11)</w:t>
            </w:r>
          </w:p>
        </w:tc>
        <w:tc>
          <w:tcPr>
            <w:tcW w:w="340" w:type="dxa"/>
            <w:vAlign w:val="bottom"/>
            <w:shd w:val="clear" w:color="auto" w:fill="EFF2EF"/>
          </w:tcPr>
          <w:p>
            <w:pPr>
              <w:spacing w:after="0"/>
              <w:rPr>
                <w:sz w:val="15"/>
                <w:szCs w:val="15"/>
                <w:color w:val="auto"/>
              </w:rPr>
            </w:pPr>
          </w:p>
        </w:tc>
        <w:tc>
          <w:tcPr>
            <w:tcW w:w="9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shd w:val="clear" w:color="auto" w:fill="EFF2EF"/>
          </w:tcPr>
          <w:p>
            <w:pPr>
              <w:spacing w:after="0"/>
              <w:rPr>
                <w:sz w:val="15"/>
                <w:szCs w:val="15"/>
                <w:color w:val="auto"/>
              </w:rPr>
            </w:pPr>
          </w:p>
        </w:tc>
        <w:tc>
          <w:tcPr>
            <w:tcW w:w="144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9"/>
              </w:rPr>
              <w:t>515,000</w:t>
            </w:r>
          </w:p>
        </w:tc>
        <w:tc>
          <w:tcPr>
            <w:tcW w:w="340" w:type="dxa"/>
            <w:vAlign w:val="bottom"/>
            <w:shd w:val="clear" w:color="auto" w:fill="EFF2EF"/>
          </w:tcPr>
          <w:p>
            <w:pPr>
              <w:spacing w:after="0"/>
              <w:rPr>
                <w:sz w:val="15"/>
                <w:szCs w:val="15"/>
                <w:color w:val="auto"/>
              </w:rPr>
            </w:pPr>
          </w:p>
        </w:tc>
        <w:tc>
          <w:tcPr>
            <w:tcW w:w="1480" w:type="dxa"/>
            <w:vAlign w:val="bottom"/>
            <w:tcBorders>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9"/>
              </w:rPr>
              <w:t>515,000</w:t>
            </w:r>
          </w:p>
        </w:tc>
        <w:tc>
          <w:tcPr>
            <w:tcW w:w="340" w:type="dxa"/>
            <w:vAlign w:val="bottom"/>
            <w:shd w:val="clear" w:color="auto" w:fill="EFF2EF"/>
          </w:tcPr>
          <w:p>
            <w:pPr>
              <w:spacing w:after="0"/>
              <w:rPr>
                <w:sz w:val="15"/>
                <w:szCs w:val="15"/>
                <w:color w:val="auto"/>
              </w:rPr>
            </w:pPr>
          </w:p>
        </w:tc>
        <w:tc>
          <w:tcPr>
            <w:tcW w:w="1000" w:type="dxa"/>
            <w:vAlign w:val="bottom"/>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Borders>
              <w:left w:val="single" w:sz="8" w:color="EFF2EF"/>
              <w:bottom w:val="single" w:sz="8" w:color="EFF2EF"/>
              <w:right w:val="single" w:sz="8" w:color="EFF2EF"/>
            </w:tcBorders>
            <w:gridSpan w:val="2"/>
            <w:shd w:val="clear" w:color="auto" w:fill="EFF2EF"/>
          </w:tcPr>
          <w:p>
            <w:pPr>
              <w:ind w:left="280"/>
              <w:spacing w:after="0" w:line="174" w:lineRule="exact"/>
              <w:rPr>
                <w:sz w:val="20"/>
                <w:szCs w:val="20"/>
                <w:color w:val="auto"/>
              </w:rPr>
            </w:pPr>
            <w:r>
              <w:rPr>
                <w:rFonts w:ascii="Calibri" w:cs="Calibri" w:eastAsia="Calibri" w:hAnsi="Calibri"/>
                <w:sz w:val="12"/>
                <w:szCs w:val="12"/>
                <w:color w:val="333333"/>
              </w:rPr>
              <w:t xml:space="preserve">Health and Welfare Benefts </w:t>
            </w:r>
            <w:r>
              <w:rPr>
                <w:rFonts w:ascii="Calibri" w:cs="Calibri" w:eastAsia="Calibri" w:hAnsi="Calibri"/>
                <w:sz w:val="18"/>
                <w:szCs w:val="18"/>
                <w:color w:val="333333"/>
                <w:vertAlign w:val="superscript"/>
              </w:rPr>
              <w:t>(12)</w:t>
            </w:r>
          </w:p>
        </w:tc>
        <w:tc>
          <w:tcPr>
            <w:tcW w:w="340" w:type="dxa"/>
            <w:vAlign w:val="bottom"/>
            <w:tcBorders>
              <w:bottom w:val="single" w:sz="8" w:color="EFF2EF"/>
            </w:tcBorders>
            <w:shd w:val="clear" w:color="auto" w:fill="EFF2EF"/>
          </w:tcPr>
          <w:p>
            <w:pPr>
              <w:spacing w:after="0"/>
              <w:rPr>
                <w:sz w:val="15"/>
                <w:szCs w:val="15"/>
                <w:color w:val="auto"/>
              </w:rPr>
            </w:pPr>
          </w:p>
        </w:tc>
        <w:tc>
          <w:tcPr>
            <w:tcW w:w="98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4"/>
              </w:rPr>
              <w:t>—</w:t>
            </w:r>
          </w:p>
        </w:tc>
        <w:tc>
          <w:tcPr>
            <w:tcW w:w="340" w:type="dxa"/>
            <w:vAlign w:val="bottom"/>
            <w:tcBorders>
              <w:bottom w:val="single" w:sz="8" w:color="EFF2EF"/>
            </w:tcBorders>
            <w:shd w:val="clear" w:color="auto" w:fill="EFF2EF"/>
          </w:tcPr>
          <w:p>
            <w:pPr>
              <w:spacing w:after="0"/>
              <w:rPr>
                <w:sz w:val="15"/>
                <w:szCs w:val="15"/>
                <w:color w:val="auto"/>
              </w:rPr>
            </w:pPr>
          </w:p>
        </w:tc>
        <w:tc>
          <w:tcPr>
            <w:tcW w:w="148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w:t>
            </w:r>
          </w:p>
        </w:tc>
        <w:tc>
          <w:tcPr>
            <w:tcW w:w="340" w:type="dxa"/>
            <w:vAlign w:val="bottom"/>
            <w:tcBorders>
              <w:bottom w:val="single" w:sz="8" w:color="EFF2EF"/>
            </w:tcBorders>
            <w:shd w:val="clear" w:color="auto" w:fill="EFF2EF"/>
          </w:tcPr>
          <w:p>
            <w:pPr>
              <w:spacing w:after="0"/>
              <w:rPr>
                <w:sz w:val="15"/>
                <w:szCs w:val="15"/>
                <w:color w:val="auto"/>
              </w:rPr>
            </w:pPr>
          </w:p>
        </w:tc>
        <w:tc>
          <w:tcPr>
            <w:tcW w:w="144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w w:val="97"/>
              </w:rPr>
              <w:t>11,606</w:t>
            </w:r>
          </w:p>
        </w:tc>
        <w:tc>
          <w:tcPr>
            <w:tcW w:w="340" w:type="dxa"/>
            <w:vAlign w:val="bottom"/>
            <w:tcBorders>
              <w:bottom w:val="single" w:sz="8" w:color="EFF2EF"/>
            </w:tcBorders>
            <w:shd w:val="clear" w:color="auto" w:fill="EFF2EF"/>
          </w:tcPr>
          <w:p>
            <w:pPr>
              <w:spacing w:after="0"/>
              <w:rPr>
                <w:sz w:val="15"/>
                <w:szCs w:val="15"/>
                <w:color w:val="auto"/>
              </w:rPr>
            </w:pPr>
          </w:p>
        </w:tc>
        <w:tc>
          <w:tcPr>
            <w:tcW w:w="148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11,606</w:t>
            </w:r>
          </w:p>
        </w:tc>
        <w:tc>
          <w:tcPr>
            <w:tcW w:w="340" w:type="dxa"/>
            <w:vAlign w:val="bottom"/>
            <w:tcBorders>
              <w:bottom w:val="single" w:sz="8" w:color="EFF2EF"/>
            </w:tcBorders>
            <w:shd w:val="clear" w:color="auto" w:fill="EFF2EF"/>
          </w:tcPr>
          <w:p>
            <w:pPr>
              <w:spacing w:after="0"/>
              <w:rPr>
                <w:sz w:val="15"/>
                <w:szCs w:val="15"/>
                <w:color w:val="auto"/>
              </w:rPr>
            </w:pPr>
          </w:p>
        </w:tc>
        <w:tc>
          <w:tcPr>
            <w:tcW w:w="1000" w:type="dxa"/>
            <w:vAlign w:val="bottom"/>
            <w:tcBorders>
              <w:bottom w:val="single" w:sz="8" w:color="333333"/>
            </w:tcBorders>
            <w:shd w:val="clear" w:color="auto" w:fill="EFF2EF"/>
          </w:tcPr>
          <w:p>
            <w:pPr>
              <w:jc w:val="center"/>
              <w:spacing w:after="0" w:line="169" w:lineRule="exact"/>
              <w:rPr>
                <w:sz w:val="20"/>
                <w:szCs w:val="20"/>
                <w:color w:val="auto"/>
              </w:rPr>
            </w:pPr>
            <w:r>
              <w:rPr>
                <w:rFonts w:ascii="Calibri" w:cs="Calibri" w:eastAsia="Calibri" w:hAnsi="Calibri"/>
                <w:sz w:val="14"/>
                <w:szCs w:val="14"/>
                <w:color w:val="333333"/>
              </w:rPr>
              <w:t>11,606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Borders>
              <w:left w:val="single" w:sz="8" w:color="EFF2EF"/>
              <w:bottom w:val="single" w:sz="8" w:color="EFF2EF"/>
              <w:right w:val="single" w:sz="8" w:color="EFF2EF"/>
            </w:tcBorders>
            <w:gridSpan w:val="2"/>
            <w:shd w:val="clear" w:color="auto" w:fill="EFF2EF"/>
          </w:tcPr>
          <w:p>
            <w:pPr>
              <w:ind w:left="280"/>
              <w:spacing w:after="0" w:line="161" w:lineRule="exact"/>
              <w:rPr>
                <w:sz w:val="20"/>
                <w:szCs w:val="20"/>
                <w:color w:val="auto"/>
              </w:rPr>
            </w:pPr>
            <w:r>
              <w:rPr>
                <w:rFonts w:ascii="Calibri" w:cs="Calibri" w:eastAsia="Calibri" w:hAnsi="Calibri"/>
                <w:sz w:val="14"/>
                <w:szCs w:val="14"/>
                <w:b w:val="1"/>
                <w:bCs w:val="1"/>
                <w:color w:val="333333"/>
              </w:rPr>
              <w:t>Total</w:t>
            </w:r>
          </w:p>
        </w:tc>
        <w:tc>
          <w:tcPr>
            <w:tcW w:w="340" w:type="dxa"/>
            <w:vAlign w:val="bottom"/>
            <w:tcBorders>
              <w:bottom w:val="single" w:sz="8" w:color="EFF2EF"/>
            </w:tcBorders>
            <w:shd w:val="clear" w:color="auto" w:fill="EFF2EF"/>
          </w:tcPr>
          <w:p>
            <w:pPr>
              <w:spacing w:after="0"/>
              <w:rPr>
                <w:sz w:val="18"/>
                <w:szCs w:val="18"/>
                <w:color w:val="auto"/>
              </w:rPr>
            </w:pPr>
          </w:p>
        </w:tc>
        <w:tc>
          <w:tcPr>
            <w:tcW w:w="98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w w:val="94"/>
              </w:rPr>
              <w:t>—</w:t>
            </w:r>
          </w:p>
        </w:tc>
        <w:tc>
          <w:tcPr>
            <w:tcW w:w="340" w:type="dxa"/>
            <w:vAlign w:val="bottom"/>
            <w:tcBorders>
              <w:bottom w:val="single" w:sz="8" w:color="EFF2EF"/>
            </w:tcBorders>
            <w:shd w:val="clear" w:color="auto" w:fill="EFF2EF"/>
          </w:tcPr>
          <w:p>
            <w:pPr>
              <w:spacing w:after="0"/>
              <w:rPr>
                <w:sz w:val="18"/>
                <w:szCs w:val="18"/>
                <w:color w:val="auto"/>
              </w:rPr>
            </w:pPr>
          </w:p>
        </w:tc>
        <w:tc>
          <w:tcPr>
            <w:tcW w:w="148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rPr>
              <w:t>—</w:t>
            </w:r>
          </w:p>
        </w:tc>
        <w:tc>
          <w:tcPr>
            <w:tcW w:w="340" w:type="dxa"/>
            <w:vAlign w:val="bottom"/>
            <w:tcBorders>
              <w:bottom w:val="single" w:sz="8" w:color="EFF2EF"/>
            </w:tcBorders>
            <w:shd w:val="clear" w:color="auto" w:fill="EFF2EF"/>
          </w:tcPr>
          <w:p>
            <w:pPr>
              <w:spacing w:after="0"/>
              <w:rPr>
                <w:sz w:val="18"/>
                <w:szCs w:val="18"/>
                <w:color w:val="auto"/>
              </w:rPr>
            </w:pPr>
          </w:p>
        </w:tc>
        <w:tc>
          <w:tcPr>
            <w:tcW w:w="144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w w:val="99"/>
              </w:rPr>
              <w:t>616,463</w:t>
            </w:r>
          </w:p>
        </w:tc>
        <w:tc>
          <w:tcPr>
            <w:tcW w:w="340" w:type="dxa"/>
            <w:vAlign w:val="bottom"/>
            <w:tcBorders>
              <w:bottom w:val="single" w:sz="8" w:color="EFF2EF"/>
            </w:tcBorders>
            <w:shd w:val="clear" w:color="auto" w:fill="EFF2EF"/>
          </w:tcPr>
          <w:p>
            <w:pPr>
              <w:spacing w:after="0"/>
              <w:rPr>
                <w:sz w:val="18"/>
                <w:szCs w:val="18"/>
                <w:color w:val="auto"/>
              </w:rPr>
            </w:pPr>
          </w:p>
        </w:tc>
        <w:tc>
          <w:tcPr>
            <w:tcW w:w="1480" w:type="dxa"/>
            <w:vAlign w:val="bottom"/>
            <w:tcBorders>
              <w:bottom w:val="single" w:sz="8" w:color="333333"/>
              <w:right w:val="single" w:sz="8" w:color="EFF2EF"/>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w w:val="99"/>
              </w:rPr>
              <w:t>616,463</w:t>
            </w:r>
          </w:p>
        </w:tc>
        <w:tc>
          <w:tcPr>
            <w:tcW w:w="340" w:type="dxa"/>
            <w:vAlign w:val="bottom"/>
            <w:tcBorders>
              <w:bottom w:val="single" w:sz="8" w:color="EFF2EF"/>
            </w:tcBorders>
            <w:shd w:val="clear" w:color="auto" w:fill="EFF2EF"/>
          </w:tcPr>
          <w:p>
            <w:pPr>
              <w:spacing w:after="0"/>
              <w:rPr>
                <w:sz w:val="18"/>
                <w:szCs w:val="18"/>
                <w:color w:val="auto"/>
              </w:rPr>
            </w:pPr>
          </w:p>
        </w:tc>
        <w:tc>
          <w:tcPr>
            <w:tcW w:w="1000" w:type="dxa"/>
            <w:vAlign w:val="bottom"/>
            <w:tcBorders>
              <w:bottom w:val="single" w:sz="8" w:color="333333"/>
            </w:tcBorders>
            <w:shd w:val="clear" w:color="auto" w:fill="EFF2EF"/>
          </w:tcPr>
          <w:p>
            <w:pPr>
              <w:jc w:val="center"/>
              <w:spacing w:after="0" w:line="169" w:lineRule="exact"/>
              <w:rPr>
                <w:sz w:val="20"/>
                <w:szCs w:val="20"/>
                <w:color w:val="auto"/>
              </w:rPr>
            </w:pPr>
            <w:r>
              <w:rPr>
                <w:rFonts w:ascii="Calibri" w:cs="Calibri" w:eastAsia="Calibri" w:hAnsi="Calibri"/>
                <w:sz w:val="14"/>
                <w:szCs w:val="14"/>
                <w:b w:val="1"/>
                <w:bCs w:val="1"/>
                <w:color w:val="333333"/>
              </w:rPr>
              <w:t>443,977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Borders>
              <w:bottom w:val="single" w:sz="8" w:color="333333"/>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00" w:hanging="433"/>
        <w:spacing w:after="0" w:line="182" w:lineRule="auto"/>
        <w:tabs>
          <w:tab w:leader="none" w:pos="600" w:val="left"/>
        </w:tabs>
        <w:numPr>
          <w:ilvl w:val="0"/>
          <w:numId w:val="118"/>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informaton presented assumes delivery of a Release and contnued compliance with all applicable restrictve covenants, if required.</w:t>
      </w:r>
    </w:p>
    <w:p>
      <w:pPr>
        <w:spacing w:after="0" w:line="125" w:lineRule="exact"/>
        <w:rPr>
          <w:rFonts w:ascii="Calibri" w:cs="Calibri" w:eastAsia="Calibri" w:hAnsi="Calibri"/>
          <w:sz w:val="21"/>
          <w:szCs w:val="21"/>
          <w:color w:val="333333"/>
          <w:vertAlign w:val="superscript"/>
        </w:rPr>
      </w:pPr>
    </w:p>
    <w:p>
      <w:pPr>
        <w:ind w:left="600" w:right="80" w:hanging="433"/>
        <w:spacing w:after="0" w:line="224" w:lineRule="auto"/>
        <w:tabs>
          <w:tab w:leader="none" w:pos="600" w:val="left"/>
        </w:tabs>
        <w:numPr>
          <w:ilvl w:val="0"/>
          <w:numId w:val="118"/>
        </w:numPr>
        <w:rPr>
          <w:rFonts w:ascii="Calibri" w:cs="Calibri" w:eastAsia="Calibri" w:hAnsi="Calibri"/>
          <w:sz w:val="21"/>
          <w:szCs w:val="21"/>
          <w:color w:val="333333"/>
          <w:vertAlign w:val="superscript"/>
        </w:rPr>
      </w:pPr>
      <w:r>
        <w:rPr>
          <w:rFonts w:ascii="Calibri" w:cs="Calibri" w:eastAsia="Calibri" w:hAnsi="Calibri"/>
          <w:sz w:val="14"/>
          <w:szCs w:val="14"/>
          <w:color w:val="333333"/>
        </w:rPr>
        <w:t>On terminaton for any reason, our CEO and other NEOs are eligible to receive the earned and unpaid porton of any AIP for the year prior to terminaton. No amount is shown in the table above in respect of 2024 AIP for the bonus year prior to terminaton since such amount was previously paid during the frst quarter of 2025. In additon, in the event of terminaton by the Company without Cause, by an NEO for Good Reason, or due to Disability or death, our CEO and other NEOs are eligible to receive a prorated AIP bonus for the year of terminaton based on (i) actual fnancial performance for the year of terminaton, plus (ii) an amount on account of the individual performance component of AIP (if an applicable performance measure) determined based on individual performance AIP awarded and paid to such NEO in the year prior to the year of terminaton. The amounts shown include 2025 AIP for the full year on account of fnancial and individual performance. The foregoing does not apply to Mr. Keatng, who does not partcipate in the AIP.</w:t>
      </w:r>
    </w:p>
    <w:p>
      <w:pPr>
        <w:spacing w:after="0" w:line="13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102</w:t>
      </w:r>
    </w:p>
    <w:p>
      <w:pPr>
        <w:sectPr>
          <w:pgSz w:w="11900" w:h="16838" w:orient="portrait"/>
          <w:cols w:equalWidth="0" w:num="1">
            <w:col w:w="11100"/>
          </w:cols>
          <w:pgMar w:left="320" w:top="478"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2" w:lineRule="exact"/>
        <w:rPr>
          <w:sz w:val="20"/>
          <w:szCs w:val="20"/>
          <w:color w:val="auto"/>
        </w:rPr>
      </w:pPr>
    </w:p>
    <w:p>
      <w:pPr>
        <w:ind w:left="600" w:right="60" w:hanging="433"/>
        <w:spacing w:after="0" w:line="207"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Vested and unexercised stock optons, unvested tme-based RSUs and tme-based RSAs awarded as LTIP or AIP have been valued based on the diference between the applicable exercise price and $170.83 (the closing price per share of Common Stock as reported on the NYSE for December 31, 2025). Unvested tme-based RSUs and tme-based RSAs awarded as LTIP or AIP have been valued based on $170.83 (the closing price per share of Common Stock as reported on the NYSE for December 31, 2025).</w:t>
      </w:r>
    </w:p>
    <w:p>
      <w:pPr>
        <w:spacing w:after="0" w:line="38" w:lineRule="exact"/>
        <w:rPr>
          <w:rFonts w:ascii="Calibri" w:cs="Calibri" w:eastAsia="Calibri" w:hAnsi="Calibri"/>
          <w:sz w:val="21"/>
          <w:szCs w:val="21"/>
          <w:color w:val="333333"/>
          <w:vertAlign w:val="superscript"/>
        </w:rPr>
      </w:pPr>
    </w:p>
    <w:p>
      <w:pPr>
        <w:ind w:left="600" w:hanging="433"/>
        <w:spacing w:after="0"/>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On terminaton for any reason, the unvested RSAs awarded in payment of a porton of 2025 AIP to the CEO will fully vest and be non-forfeitable.</w:t>
      </w:r>
    </w:p>
    <w:p>
      <w:pPr>
        <w:spacing w:after="0" w:line="85" w:lineRule="exact"/>
        <w:rPr>
          <w:rFonts w:ascii="Calibri" w:cs="Calibri" w:eastAsia="Calibri" w:hAnsi="Calibri"/>
          <w:sz w:val="21"/>
          <w:szCs w:val="21"/>
          <w:color w:val="333333"/>
          <w:vertAlign w:val="superscript"/>
        </w:rPr>
      </w:pPr>
    </w:p>
    <w:p>
      <w:pPr>
        <w:ind w:left="600" w:hanging="433"/>
        <w:spacing w:after="0" w:line="195"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informaton presented assumes that on terminaton due to Disability or death, unvested RSUs and RSAs awarded as tme-based LTIP will fully vest and be non-forfeitable.</w:t>
      </w:r>
    </w:p>
    <w:p>
      <w:pPr>
        <w:spacing w:after="0" w:line="125" w:lineRule="exact"/>
        <w:rPr>
          <w:rFonts w:ascii="Calibri" w:cs="Calibri" w:eastAsia="Calibri" w:hAnsi="Calibri"/>
          <w:sz w:val="21"/>
          <w:szCs w:val="21"/>
          <w:color w:val="333333"/>
          <w:vertAlign w:val="superscript"/>
        </w:rPr>
      </w:pPr>
    </w:p>
    <w:p>
      <w:pPr>
        <w:ind w:left="600" w:right="40" w:hanging="433"/>
        <w:spacing w:after="0" w:line="224"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With respect to tme-based RSUs granted to the CEO as LTIP in 2025 and later years, unvested tme-based RSUs at the tme of terminaton of the CEO by the Company without Cause, terminaton by the CEO for Good Reason or terminaton by the CEO due to retrement prior to a Change in Control will contnue to vest (and setle) in accordance with the original vestng schedule of such award. “Retrement” has been defned in the tme-based RSU LTIP award agreement to mean the CEO’s voluntary resignaton of service with the Company for any reason on or afer June 3, 2026 where circumstances consttutng grounds for the Company to terminate the CEO’s Service for Cause (as defned in the CEO Employment Agreement) do not exist. Since the conditons for retrement have not been met as of December 31, 2025, the CEO terminaton payment table does not include compensaton arising from terminaton due to retrement.</w:t>
      </w:r>
    </w:p>
    <w:p>
      <w:pPr>
        <w:spacing w:after="0" w:line="126" w:lineRule="exact"/>
        <w:rPr>
          <w:rFonts w:ascii="Calibri" w:cs="Calibri" w:eastAsia="Calibri" w:hAnsi="Calibri"/>
          <w:sz w:val="21"/>
          <w:szCs w:val="21"/>
          <w:color w:val="333333"/>
          <w:vertAlign w:val="superscript"/>
        </w:rPr>
      </w:pPr>
    </w:p>
    <w:p>
      <w:pPr>
        <w:ind w:left="600" w:hanging="433"/>
        <w:spacing w:after="0" w:line="207"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On terminaton by the Company without Cause and terminaton by any other NEO with Good Reason, unvested RSAs awarded as tme-based LTIP to other NEOs that are scheduled to vest on the vestng date immediately following the efectve date of such terminaton shall remain outstanding and shall become fully vested and non-forfeitable on the originally scheduled vestng date (without regard to any employment requirement).</w:t>
      </w:r>
    </w:p>
    <w:p>
      <w:pPr>
        <w:spacing w:after="0" w:line="126" w:lineRule="exact"/>
        <w:rPr>
          <w:rFonts w:ascii="Calibri" w:cs="Calibri" w:eastAsia="Calibri" w:hAnsi="Calibri"/>
          <w:sz w:val="21"/>
          <w:szCs w:val="21"/>
          <w:color w:val="333333"/>
          <w:vertAlign w:val="superscript"/>
        </w:rPr>
      </w:pPr>
    </w:p>
    <w:p>
      <w:pPr>
        <w:ind w:left="600" w:right="20" w:hanging="433"/>
        <w:spacing w:after="0"/>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With respect to Performance RSUs granted to the CEO as LTIP in 2025 and later years, unearned and unvested Performance RSUs at the tme of terminaton of the CEO due to retrement prior to a Change in Control will remain outstanding and become vested (and setled) or forfeited based on the achievement of the applicable performance conditons upon the earlier to occur of the date of the original fnal determinaton for the achievement of the applicable performance conditons and the occurrence of a Change in Control. If terminaton of the CEO due to retrement occurs on or following a Change in Control, the unearned and unvested Performance RSUs shall convert to a right to receive cash on the original fnal performance determinaton date, the date for determining achievement of the applicable performance conditons will accelerate, and the cash value payable to the CEO will be determined by multplying the (x) number of such cash units by (y) the closing price per share of Common Stock reported on the NYSE for the date of the consummaton of such Change in Control. “Retrement” has been defned in the Performance RSU LTIP award agreement to mean the CEO’s voluntary resignaton of service with the Company for any reason on or afer June 3, 2026 where circumstances consttutng grounds for the Company to terminate the CEO’s Service for Cause (as defned in the CEO Employment Agreement) do not exist. Since the conditons for retrement have not been met as of December 31, 2025, the CEO terminaton payment table does not include compensaton arising from terminaton due to retrement.</w:t>
      </w:r>
    </w:p>
    <w:p>
      <w:pPr>
        <w:spacing w:after="0" w:line="235" w:lineRule="exact"/>
        <w:rPr>
          <w:rFonts w:ascii="Calibri" w:cs="Calibri" w:eastAsia="Calibri" w:hAnsi="Calibri"/>
          <w:sz w:val="21"/>
          <w:szCs w:val="21"/>
          <w:color w:val="333333"/>
          <w:vertAlign w:val="superscript"/>
        </w:rPr>
      </w:pPr>
    </w:p>
    <w:p>
      <w:pPr>
        <w:ind w:left="600" w:right="60" w:hanging="433"/>
        <w:spacing w:after="0" w:line="220"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The informaton presented assumes that at December 31, 2025, the applicable performance conditons under outstanding Performance RSUs awarded as LTIP to our NEOs on March 8, 2023 have been valued as (i) the earned number of shares based on actual performance, multplied by (ii) $170.83 (the closing price per share of Common Stock as reported on the NYSE for December 31, 2025), and the applicable performance conditons under outstanding Performance RSUs awarded as LTIP to our NEOs on March 6, 2024 and March 5, 2025 have been valued as (i) the total number of target shares granted, multplied by (ii) $170.83 (the closing price per share of Common Stock as reported on the NYSE for December 31, 2025).</w:t>
      </w:r>
    </w:p>
    <w:p>
      <w:pPr>
        <w:spacing w:after="0" w:line="128" w:lineRule="exact"/>
        <w:rPr>
          <w:rFonts w:ascii="Calibri" w:cs="Calibri" w:eastAsia="Calibri" w:hAnsi="Calibri"/>
          <w:sz w:val="21"/>
          <w:szCs w:val="21"/>
          <w:color w:val="333333"/>
          <w:vertAlign w:val="superscript"/>
        </w:rPr>
      </w:pPr>
    </w:p>
    <w:p>
      <w:pPr>
        <w:ind w:left="600" w:right="80" w:hanging="433"/>
        <w:spacing w:after="0" w:line="207"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As of December 31, 2025, upon terminaton by the Company without Cause or terminaton by the CEO with Good Reason, our CEO was eligible to receive a cash severance payment equal to two tmes (2.0x) the sum of (i) his base salary, plus (ii) target bonus for the year of terminaton. See the secton ttled “Informaton About Our Executve Ofcers And Compensaton — Compensaton Discussion And Analysis — Other Compensaton — Terminaton Payments” beginning on </w:t>
      </w:r>
      <w:r>
        <w:rPr>
          <w:rFonts w:ascii="Calibri" w:cs="Calibri" w:eastAsia="Calibri" w:hAnsi="Calibri"/>
          <w:sz w:val="14"/>
          <w:szCs w:val="14"/>
          <w:color w:val="0591DB"/>
        </w:rPr>
        <w:t>page 82</w:t>
      </w:r>
      <w:r>
        <w:rPr>
          <w:rFonts w:ascii="Calibri" w:cs="Calibri" w:eastAsia="Calibri" w:hAnsi="Calibri"/>
          <w:sz w:val="14"/>
          <w:szCs w:val="14"/>
          <w:color w:val="333333"/>
        </w:rPr>
        <w:t xml:space="preserve"> of the Proxy Statement for additonal informaton.</w:t>
      </w:r>
    </w:p>
    <w:p>
      <w:pPr>
        <w:spacing w:after="0" w:line="126" w:lineRule="exact"/>
        <w:rPr>
          <w:rFonts w:ascii="Calibri" w:cs="Calibri" w:eastAsia="Calibri" w:hAnsi="Calibri"/>
          <w:sz w:val="21"/>
          <w:szCs w:val="21"/>
          <w:color w:val="333333"/>
          <w:vertAlign w:val="superscript"/>
        </w:rPr>
      </w:pPr>
    </w:p>
    <w:p>
      <w:pPr>
        <w:ind w:left="600" w:right="20" w:hanging="433"/>
        <w:spacing w:after="0" w:line="224"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 xml:space="preserve">As of December 31, 2025, upon terminaton by the Company without Cause or terminaton by an NEO (other than the CEO) with Good Reason, each of our Interim CFO and our CSTO, GC and CHRO will be enttled to one tmes (1.0x) base salary contnuaton for a period of 12 months, provided that such amount will be increased to one tmes (1.0x) the sum of (i) 12 months of base salary, plus (ii) target bonus for the year of terminaton if the applicable NEO’s employment is terminated by the Company (or its successor) without Cause or by the applicable NEO for Good Reason during the 18-month period following a Change in Control. The amount shown includes 2025 AIP for the full year at target. Our CAO is eligible to receive a cash severance payment equal to 12 months of his annual cash base salary. See the secton ttled “Informaton About Our Executve Ofcers And Compensaton — Compensaton Discussion And Analysis — Other Compensaton — Terminaton Payments” beginning on </w:t>
      </w:r>
      <w:r>
        <w:rPr>
          <w:rFonts w:ascii="Calibri" w:cs="Calibri" w:eastAsia="Calibri" w:hAnsi="Calibri"/>
          <w:sz w:val="14"/>
          <w:szCs w:val="14"/>
          <w:color w:val="0591DB"/>
        </w:rPr>
        <w:t>page 82</w:t>
      </w:r>
      <w:r>
        <w:rPr>
          <w:rFonts w:ascii="Calibri" w:cs="Calibri" w:eastAsia="Calibri" w:hAnsi="Calibri"/>
          <w:sz w:val="14"/>
          <w:szCs w:val="14"/>
          <w:color w:val="333333"/>
        </w:rPr>
        <w:t xml:space="preserve"> of the Proxy Statement for additonal informaton.</w:t>
      </w:r>
    </w:p>
    <w:p>
      <w:pPr>
        <w:spacing w:after="0" w:line="126" w:lineRule="exact"/>
        <w:rPr>
          <w:rFonts w:ascii="Calibri" w:cs="Calibri" w:eastAsia="Calibri" w:hAnsi="Calibri"/>
          <w:sz w:val="21"/>
          <w:szCs w:val="21"/>
          <w:color w:val="333333"/>
          <w:vertAlign w:val="superscript"/>
        </w:rPr>
      </w:pPr>
    </w:p>
    <w:p>
      <w:pPr>
        <w:ind w:left="600" w:right="280" w:hanging="433"/>
        <w:spacing w:after="0" w:line="192" w:lineRule="auto"/>
        <w:tabs>
          <w:tab w:leader="none" w:pos="600" w:val="left"/>
        </w:tabs>
        <w:numPr>
          <w:ilvl w:val="0"/>
          <w:numId w:val="119"/>
        </w:numPr>
        <w:rPr>
          <w:rFonts w:ascii="Calibri" w:cs="Calibri" w:eastAsia="Calibri" w:hAnsi="Calibri"/>
          <w:sz w:val="21"/>
          <w:szCs w:val="21"/>
          <w:color w:val="333333"/>
          <w:vertAlign w:val="superscript"/>
        </w:rPr>
      </w:pPr>
      <w:r>
        <w:rPr>
          <w:rFonts w:ascii="Calibri" w:cs="Calibri" w:eastAsia="Calibri" w:hAnsi="Calibri"/>
          <w:sz w:val="14"/>
          <w:szCs w:val="14"/>
          <w:color w:val="333333"/>
        </w:rPr>
        <w:t>Health and welfare benefts represent the current costs of contnuing group health and group life insurance coverage for the CEO and his eligible dependents for 18 months afer terminaton, for the other NEOs and their eligible dependents for 12 months afer terminaton, and for our CAO and his eligible dependents for six months afer terminaton.</w:t>
      </w:r>
    </w:p>
    <w:p>
      <w:pPr>
        <w:spacing w:after="0" w:line="136"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103</w:t>
      </w:r>
    </w:p>
    <w:p>
      <w:pPr>
        <w:sectPr>
          <w:pgSz w:w="11900" w:h="16838" w:orient="portrait"/>
          <w:cols w:equalWidth="0" w:num="1">
            <w:col w:w="11080"/>
          </w:cols>
          <w:pgMar w:left="320" w:top="478"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CEO PAY RATIO</w:t>
      </w:r>
    </w:p>
    <w:p>
      <w:pPr>
        <w:spacing w:after="0" w:line="212" w:lineRule="exact"/>
        <w:rPr>
          <w:sz w:val="20"/>
          <w:szCs w:val="20"/>
          <w:color w:val="auto"/>
        </w:rPr>
      </w:pPr>
    </w:p>
    <w:p>
      <w:pPr>
        <w:ind w:left="160" w:right="100"/>
        <w:spacing w:after="0" w:line="232" w:lineRule="auto"/>
        <w:rPr>
          <w:sz w:val="20"/>
          <w:szCs w:val="20"/>
          <w:color w:val="auto"/>
        </w:rPr>
      </w:pPr>
      <w:r>
        <w:rPr>
          <w:rFonts w:ascii="Calibri" w:cs="Calibri" w:eastAsia="Calibri" w:hAnsi="Calibri"/>
          <w:sz w:val="17"/>
          <w:szCs w:val="17"/>
          <w:color w:val="333333"/>
        </w:rPr>
        <w:t>As required by Secton 953(b) of the Dodd-Frank Wall Street Reform and Consumer Protecton Act, and Item 402(u) of Regulaton S-K promulgated by the SEC, we are providing the pay rato of the annual total compensaton of our CEO compared with the annual total compensaton of our median compensated employee (the “CEO Pay Rato”) for the year ended December 31, 2025.</w:t>
      </w:r>
    </w:p>
    <w:p>
      <w:pPr>
        <w:spacing w:after="0" w:line="214" w:lineRule="exact"/>
        <w:rPr>
          <w:sz w:val="20"/>
          <w:szCs w:val="20"/>
          <w:color w:val="auto"/>
        </w:rPr>
      </w:pPr>
    </w:p>
    <w:p>
      <w:pPr>
        <w:ind w:left="160" w:right="80"/>
        <w:spacing w:after="0" w:line="232" w:lineRule="auto"/>
        <w:rPr>
          <w:sz w:val="20"/>
          <w:szCs w:val="20"/>
          <w:color w:val="auto"/>
        </w:rPr>
      </w:pPr>
      <w:r>
        <w:rPr>
          <w:rFonts w:ascii="Calibri" w:cs="Calibri" w:eastAsia="Calibri" w:hAnsi="Calibri"/>
          <w:sz w:val="17"/>
          <w:szCs w:val="17"/>
          <w:color w:val="333333"/>
        </w:rPr>
        <w:t>In order to identfy our 2025 median employee, we (i) analyzed annual base salary, bonus and overtme compensaton of individuals employed as of October 1, 2025, (ii) annualized the compensaton of permanent employees hired during 2025 through October 1, 2025, (iii) applied October 2025 monthly average exchange rates to convert compensaton paid to non-U.S. employees to U.S. dollars and (iv) used the exempton permited under Item 402(u) of Regulaton S-K to exclude employees from 13 countries — Argentna (16), Brazil (63), China (68), Colombia (64), India (91), Japan (14), South Korea (13), Mexico (30), Portugal (4), Qatar (3), Saudi Arabia (33), South Africa (57) and Sweden (9), and two Britsh Overseas Territories, the Britsh Virgin Islands (3) and the Cayman Islands (11) — totaling 479 employees, comprising 5% or less of our total employee populaton as of October 1, 2025 and resultng in a net employee populaton of 9,107 out of our original employee populaton of 9,586 prior to such exclusions.</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calculated the 2025 median employee’s annual total compensaton for the year ended December 31, 2025 in accordance with the requirements of Item 402(c)(2)(x) of Regulaton S-K. The total compensaton for the 2025 median employee, a U.S.-based senior consultant, includes annual base salary, bonus and Company matching contributons under our 401(k) Plan. The 2025 median employee’s total compensaton for purposes of determining the CEO Pay Rato was $146,053; and the 2025 total compensaton of our CEO for purposes of determining the CEO Pay Rato was $10,273,735.</w:t>
      </w:r>
    </w:p>
    <w:p>
      <w:pPr>
        <w:spacing w:after="0" w:line="214" w:lineRule="exact"/>
        <w:rPr>
          <w:sz w:val="20"/>
          <w:szCs w:val="20"/>
          <w:color w:val="auto"/>
        </w:rPr>
      </w:pPr>
    </w:p>
    <w:p>
      <w:pPr>
        <w:ind w:left="160" w:right="600"/>
        <w:spacing w:after="0" w:line="233" w:lineRule="auto"/>
        <w:rPr>
          <w:sz w:val="20"/>
          <w:szCs w:val="20"/>
          <w:color w:val="auto"/>
        </w:rPr>
      </w:pPr>
      <w:r>
        <w:rPr>
          <w:rFonts w:ascii="Calibri" w:cs="Calibri" w:eastAsia="Calibri" w:hAnsi="Calibri"/>
          <w:sz w:val="17"/>
          <w:szCs w:val="17"/>
          <w:color w:val="333333"/>
        </w:rPr>
        <w:t>Based on this informaton, our 2025 CEO Pay Rato was 70 to 1. We believe that this rato represents a reasonable estmate calculated in a manner consistent with Item 402(u) and is not intended as a measure of comparison with any other company.</w:t>
      </w:r>
    </w:p>
    <w:p>
      <w:pPr>
        <w:spacing w:after="0" w:line="141"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104</w:t>
      </w:r>
    </w:p>
    <w:p>
      <w:pPr>
        <w:sectPr>
          <w:pgSz w:w="11900" w:h="16838" w:orient="portrait"/>
          <w:cols w:equalWidth="0" w:num="1">
            <w:col w:w="11040"/>
          </w:cols>
          <w:pgMar w:left="320" w:top="478" w:right="5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CERTAIN RELATIONSHIPS AND RELATED-PARTY TRANSACTIONS</w:t>
      </w:r>
    </w:p>
    <w:p>
      <w:pPr>
        <w:spacing w:after="0" w:line="21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REVIEW AND APPROVAL OF RELATED-PARTY TRANSACTIONS</w:t>
      </w:r>
    </w:p>
    <w:p>
      <w:pPr>
        <w:spacing w:after="0" w:line="21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Company’s legal staf is primarily responsible for the development and implementaton of processes and controls to obtain informaton from the Company, directors and executve ofcers with respect to related-person transactons and for then determining, based on the facts and circumstances, whether a related person has a direct or indirect material interest in the transacton. As required under SEC rules, transactons that are determined to be, directly or indirectly, material to a related person are disclosed in this Proxy Statement. As set forth in the Audit Commitee Charter, the Audit Commitee reviews and approves transactons with related persons, including contracts or other transactons between or among the Company or a subsidiary or afliate, on the one hand, and an ofcer, director or nominee for director, an immediate family member of an ofcer, director or nominee for director, a company, frm or entty in which an ofcer, director or nominee for director serves as an ofcer, director or partner or has a direct or indirect material interest, or a benefcial holder of more than 5% of the Company’s votng securites, on the other hand. In the course of its review, approval and ratfcaton, the Audit Commitee considers factors such as:</w:t>
      </w:r>
    </w:p>
    <w:p>
      <w:pPr>
        <w:spacing w:after="0" w:line="266" w:lineRule="exact"/>
        <w:rPr>
          <w:sz w:val="20"/>
          <w:szCs w:val="20"/>
          <w:color w:val="auto"/>
        </w:rPr>
      </w:pPr>
    </w:p>
    <w:p>
      <w:pPr>
        <w:ind w:left="1020" w:right="200" w:hanging="318"/>
        <w:spacing w:after="0" w:line="233" w:lineRule="auto"/>
        <w:tabs>
          <w:tab w:leader="none" w:pos="1020" w:val="left"/>
        </w:tabs>
        <w:numPr>
          <w:ilvl w:val="0"/>
          <w:numId w:val="120"/>
        </w:numPr>
        <w:rPr>
          <w:rFonts w:ascii="MS PGothic" w:cs="MS PGothic" w:eastAsia="MS PGothic" w:hAnsi="MS PGothic"/>
          <w:sz w:val="17"/>
          <w:szCs w:val="17"/>
          <w:color w:val="0591DB"/>
        </w:rPr>
      </w:pPr>
      <w:r>
        <w:rPr>
          <w:rFonts w:ascii="Calibri" w:cs="Calibri" w:eastAsia="Calibri" w:hAnsi="Calibri"/>
          <w:sz w:val="17"/>
          <w:szCs w:val="17"/>
          <w:color w:val="333333"/>
        </w:rPr>
        <w:t>the fnancial and other terms of the transacton and whether such terms are substantally equivalent to terms that could be negotated with third partes;</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120"/>
        </w:numPr>
        <w:rPr>
          <w:rFonts w:ascii="MS PGothic" w:cs="MS PGothic" w:eastAsia="MS PGothic" w:hAnsi="MS PGothic"/>
          <w:sz w:val="17"/>
          <w:szCs w:val="17"/>
          <w:color w:val="0591DB"/>
        </w:rPr>
      </w:pPr>
      <w:r>
        <w:rPr>
          <w:rFonts w:ascii="Calibri" w:cs="Calibri" w:eastAsia="Calibri" w:hAnsi="Calibri"/>
          <w:sz w:val="17"/>
          <w:szCs w:val="17"/>
          <w:color w:val="333333"/>
        </w:rPr>
        <w:t>the nature of the related-person’s interest in the transacton;</w:t>
      </w:r>
    </w:p>
    <w:p>
      <w:pPr>
        <w:spacing w:after="0" w:line="126"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120"/>
        </w:numPr>
        <w:rPr>
          <w:rFonts w:ascii="MS PGothic" w:cs="MS PGothic" w:eastAsia="MS PGothic" w:hAnsi="MS PGothic"/>
          <w:sz w:val="17"/>
          <w:szCs w:val="17"/>
          <w:color w:val="0591DB"/>
        </w:rPr>
      </w:pPr>
      <w:r>
        <w:rPr>
          <w:rFonts w:ascii="Calibri" w:cs="Calibri" w:eastAsia="Calibri" w:hAnsi="Calibri"/>
          <w:sz w:val="17"/>
          <w:szCs w:val="17"/>
          <w:color w:val="333333"/>
        </w:rPr>
        <w:t>the importance of the transacton to the related person and to the Company;</w:t>
      </w:r>
    </w:p>
    <w:p>
      <w:pPr>
        <w:spacing w:after="0" w:line="131" w:lineRule="exact"/>
        <w:rPr>
          <w:rFonts w:ascii="MS PGothic" w:cs="MS PGothic" w:eastAsia="MS PGothic" w:hAnsi="MS PGothic"/>
          <w:sz w:val="17"/>
          <w:szCs w:val="17"/>
          <w:color w:val="0591DB"/>
        </w:rPr>
      </w:pPr>
    </w:p>
    <w:p>
      <w:pPr>
        <w:ind w:left="1020" w:right="560" w:hanging="318"/>
        <w:spacing w:after="0" w:line="233" w:lineRule="auto"/>
        <w:tabs>
          <w:tab w:leader="none" w:pos="1020" w:val="left"/>
        </w:tabs>
        <w:numPr>
          <w:ilvl w:val="0"/>
          <w:numId w:val="120"/>
        </w:numPr>
        <w:rPr>
          <w:rFonts w:ascii="MS PGothic" w:cs="MS PGothic" w:eastAsia="MS PGothic" w:hAnsi="MS PGothic"/>
          <w:sz w:val="17"/>
          <w:szCs w:val="17"/>
          <w:color w:val="0591DB"/>
        </w:rPr>
      </w:pPr>
      <w:r>
        <w:rPr>
          <w:rFonts w:ascii="Calibri" w:cs="Calibri" w:eastAsia="Calibri" w:hAnsi="Calibri"/>
          <w:sz w:val="17"/>
          <w:szCs w:val="17"/>
          <w:color w:val="333333"/>
        </w:rPr>
        <w:t>the likelihood that the transacton would infuence the judgment of a director or executve ofcer to not act in the best interests of the Company; and</w:t>
      </w:r>
    </w:p>
    <w:p>
      <w:pPr>
        <w:spacing w:after="0" w:line="114" w:lineRule="exact"/>
        <w:rPr>
          <w:rFonts w:ascii="MS PGothic" w:cs="MS PGothic" w:eastAsia="MS PGothic" w:hAnsi="MS PGothic"/>
          <w:sz w:val="17"/>
          <w:szCs w:val="17"/>
          <w:color w:val="0591DB"/>
        </w:rPr>
      </w:pPr>
    </w:p>
    <w:p>
      <w:pPr>
        <w:ind w:left="1020" w:hanging="318"/>
        <w:spacing w:after="0"/>
        <w:tabs>
          <w:tab w:leader="none" w:pos="1020" w:val="left"/>
        </w:tabs>
        <w:numPr>
          <w:ilvl w:val="0"/>
          <w:numId w:val="120"/>
        </w:numPr>
        <w:rPr>
          <w:rFonts w:ascii="MS PGothic" w:cs="MS PGothic" w:eastAsia="MS PGothic" w:hAnsi="MS PGothic"/>
          <w:sz w:val="17"/>
          <w:szCs w:val="17"/>
          <w:color w:val="0591DB"/>
        </w:rPr>
      </w:pPr>
      <w:r>
        <w:rPr>
          <w:rFonts w:ascii="Calibri" w:cs="Calibri" w:eastAsia="Calibri" w:hAnsi="Calibri"/>
          <w:sz w:val="17"/>
          <w:szCs w:val="17"/>
          <w:color w:val="333333"/>
        </w:rPr>
        <w:t>any other maters that the Audit Commitee deems appropriate.</w:t>
      </w: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2025 RELATED-PARTY TRANSACTIONS</w:t>
      </w:r>
    </w:p>
    <w:p>
      <w:pPr>
        <w:spacing w:after="0" w:line="212" w:lineRule="exact"/>
        <w:rPr>
          <w:sz w:val="20"/>
          <w:szCs w:val="20"/>
          <w:color w:val="auto"/>
        </w:rPr>
      </w:pPr>
    </w:p>
    <w:p>
      <w:pPr>
        <w:ind w:left="160" w:right="20"/>
        <w:spacing w:after="0"/>
        <w:rPr>
          <w:sz w:val="20"/>
          <w:szCs w:val="20"/>
          <w:color w:val="auto"/>
        </w:rPr>
      </w:pPr>
      <w:r>
        <w:rPr>
          <w:rFonts w:ascii="Calibri" w:cs="Calibri" w:eastAsia="Calibri" w:hAnsi="Calibri"/>
          <w:sz w:val="17"/>
          <w:szCs w:val="17"/>
          <w:color w:val="333333"/>
        </w:rPr>
        <w:t>In the ordinary course of business, we enter into commercial transactons to provide consultng and advisory services, from tme to tme, to clients or their afliates for which our directors or executve ofcers, or their immediate family members, serve as directors and/or executve ofcers. We consider such transactons to be on an arm’s length negotated basis, and we do not believe that such related partes had or have any material direct or indirect pecuniary or other interests in such engagements. Additonally, from tme to tme, in the ordinary course of business, a benefcial owner of more than 5% of the Company’s votng securites, such as those discussed below, directly or indirectly, on behalf of itself and/or afliates, enters into engagements for consultng and advisory services with the Company and our afliates on an arm’s length negotated basis. Such engagements may or may not be with afliates identfed as having an interest in our shares of Common Stock. Such engagements were approved pursuant to the Audit Commitee’s policy for related-party transactons.</w:t>
      </w:r>
    </w:p>
    <w:p>
      <w:pPr>
        <w:spacing w:after="0" w:line="366" w:lineRule="exact"/>
        <w:rPr>
          <w:sz w:val="20"/>
          <w:szCs w:val="20"/>
          <w:color w:val="auto"/>
        </w:rPr>
      </w:pPr>
    </w:p>
    <w:p>
      <w:pPr>
        <w:ind w:left="160" w:right="40"/>
        <w:spacing w:after="0"/>
        <w:rPr>
          <w:sz w:val="20"/>
          <w:szCs w:val="20"/>
          <w:color w:val="auto"/>
        </w:rPr>
      </w:pPr>
      <w:r>
        <w:rPr>
          <w:rFonts w:ascii="Calibri" w:cs="Calibri" w:eastAsia="Calibri" w:hAnsi="Calibri"/>
          <w:sz w:val="17"/>
          <w:szCs w:val="17"/>
          <w:color w:val="333333"/>
        </w:rPr>
        <w:t>On June 4, 2025, BlackRock, Inc. (“BlackRock”) fled a Schedule 13G/A with the SEC reportng benefcial ownership of shares of our Common Stock representng 10.2% of our outstanding shares of Common Stock as of March 5, 2026. BlackRock’s Schedule 13G/A reports that various persons have the right to receive or the power to direct the receipt of dividends from, or the proceeds from the sale of, shares of our Common Stock, and no one other person’s interest in the Common Stock is more than 5% of the total outstanding shares of Common Stock. From tme to tme, in the ordinary course of our business, BlackRock, directly or indirectly, on behalf of itself and/or through afliates, has entered into engagements for consultng and advisory services with the Company and our afliates on an arm’s-length negotated basis. Such engagements may or may not be with afliates identfed as having an interest in</w:t>
      </w:r>
    </w:p>
    <w:p>
      <w:pPr>
        <w:spacing w:after="0" w:line="302"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105</w:t>
      </w:r>
    </w:p>
    <w:p>
      <w:pPr>
        <w:sectPr>
          <w:pgSz w:w="11900" w:h="16838" w:orient="portrait"/>
          <w:cols w:equalWidth="0" w:num="1">
            <w:col w:w="11060"/>
          </w:cols>
          <w:pgMar w:left="320" w:top="478" w:right="5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our shares. During 2025, revenues from engagements to provide consultng and advisory services to BlackRock and its afliates aggregated $9,629,833.</w:t>
      </w:r>
    </w:p>
    <w:p>
      <w:pPr>
        <w:spacing w:after="0" w:line="212"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On March 11, 2024, Vanguard fled a Schedule 13G/A with the SEC reportng benefcial ownership of shares of our Common Stock representng 11.8% of our outstanding shares of Common Stock as of March 5, 2026. On a Schedule 13G/A fled on March 26, 2026, Vanguard subsequently reported that due to an internal realignment it no longer has, or is deemed to have, benefcial ownership over Company securites benefcially owned by various subsidiaries and/or business divisions. Vanguard also reported that certain subsidiaries or business divisions that formerly had, or were deemed to have, benefcial ownership with Vanguard, will report benefcial ownership separately (on a disaggregated basis). From tme to tme, in the ordinary course of our business, Vanguard, directly or indirectly, on behalf of itself and/or through afliates, has entered into engagements for consultng and advisory services with the Company and our afliates on an arm’s-length negotated basis. Such engagements may or may not be with afliates identfed as having an interest in our shares. During 2025, revenues from engagements to provide consultng and advisory services to Vanguard and its afliates aggregated $2,066,993.</w:t>
      </w:r>
    </w:p>
    <w:p>
      <w:pPr>
        <w:spacing w:after="0" w:line="14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106</w:t>
      </w:r>
    </w:p>
    <w:p>
      <w:pPr>
        <w:sectPr>
          <w:pgSz w:w="11900" w:h="16838" w:orient="portrait"/>
          <w:cols w:equalWidth="0" w:num="1">
            <w:col w:w="11060"/>
          </w:cols>
          <w:pgMar w:left="320" w:top="478" w:right="5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DELINQUENT SECTION 16(A) REPORTS</w:t>
      </w:r>
    </w:p>
    <w:p>
      <w:pPr>
        <w:spacing w:after="0" w:line="215"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Secton 16(a) of the Exchange Act requires that our directors and executve ofcers and persons who benefcially own more than 10% of our Common Stock fle with the SEC reports of inital ownership and certain reports of changes in ownership of our Common Stock. To our knowledge, based solely on a review of such reports fled with the SEC and writen representatons that no other reports were required, we believe that during the year ended December 31, 2025, all of our directors and executve ofcers and persons who benefcially own more than 10% of our Common Stock fled the required reports under Secton 16(a) on a tmely basis.</w:t>
      </w:r>
    </w:p>
    <w:p>
      <w:pPr>
        <w:spacing w:after="0" w:line="143" w:lineRule="exact"/>
        <w:rPr>
          <w:sz w:val="20"/>
          <w:szCs w:val="20"/>
          <w:color w:val="auto"/>
        </w:rPr>
      </w:pPr>
    </w:p>
    <w:p>
      <w:pPr>
        <w:jc w:val="center"/>
        <w:ind w:right="-219"/>
        <w:spacing w:after="0"/>
        <w:rPr>
          <w:sz w:val="20"/>
          <w:szCs w:val="20"/>
          <w:color w:val="auto"/>
        </w:rPr>
      </w:pPr>
      <w:r>
        <w:rPr>
          <w:rFonts w:ascii="Calibri" w:cs="Calibri" w:eastAsia="Calibri" w:hAnsi="Calibri"/>
          <w:sz w:val="17"/>
          <w:szCs w:val="17"/>
          <w:color w:val="333333"/>
        </w:rPr>
        <w:t>107</w:t>
      </w:r>
    </w:p>
    <w:p>
      <w:pPr>
        <w:sectPr>
          <w:pgSz w:w="11900" w:h="16838" w:orient="portrait"/>
          <w:cols w:equalWidth="0" w:num="1">
            <w:col w:w="11020"/>
          </w:cols>
          <w:pgMar w:left="320" w:top="478" w:right="5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PRINCIPAL ACCOUNTANT FEES AND SERVICES</w:t>
      </w:r>
    </w:p>
    <w:p>
      <w:pPr>
        <w:spacing w:after="0" w:line="215" w:lineRule="exact"/>
        <w:rPr>
          <w:sz w:val="20"/>
          <w:szCs w:val="20"/>
          <w:color w:val="auto"/>
        </w:rPr>
      </w:pPr>
    </w:p>
    <w:p>
      <w:pPr>
        <w:jc w:val="both"/>
        <w:ind w:left="160" w:right="220"/>
        <w:spacing w:after="0" w:line="232" w:lineRule="auto"/>
        <w:rPr>
          <w:sz w:val="20"/>
          <w:szCs w:val="20"/>
          <w:color w:val="auto"/>
        </w:rPr>
      </w:pPr>
      <w:r>
        <w:rPr>
          <w:rFonts w:ascii="Calibri" w:cs="Calibri" w:eastAsia="Calibri" w:hAnsi="Calibri"/>
          <w:sz w:val="17"/>
          <w:szCs w:val="17"/>
          <w:color w:val="333333"/>
        </w:rPr>
        <w:t>The following table sets forth the aggregate fees for services rendered by KPMG as our independent registered public accountng frm for the fscal years ended December 31, 2024 and 2025. In connecton with the audit of the 2024 and 2025 fnancial statements, we entered into engagement agreements with KPMG that set forth the terms by which KPMG performs audit services for the Company.</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9180" w:type="dxa"/>
            <w:vAlign w:val="bottom"/>
            <w:tcBorders>
              <w:right w:val="single" w:sz="8" w:color="0591DB"/>
            </w:tcBorders>
          </w:tcPr>
          <w:p>
            <w:pPr>
              <w:spacing w:after="0"/>
              <w:rPr>
                <w:sz w:val="19"/>
                <w:szCs w:val="19"/>
                <w:color w:val="auto"/>
              </w:rPr>
            </w:pPr>
          </w:p>
        </w:tc>
        <w:tc>
          <w:tcPr>
            <w:tcW w:w="100" w:type="dxa"/>
            <w:vAlign w:val="bottom"/>
            <w:tcBorders>
              <w:top w:val="single" w:sz="8" w:color="0591DB"/>
            </w:tcBorders>
          </w:tcPr>
          <w:p>
            <w:pPr>
              <w:spacing w:after="0"/>
              <w:rPr>
                <w:sz w:val="19"/>
                <w:szCs w:val="19"/>
                <w:color w:val="auto"/>
              </w:rPr>
            </w:pPr>
          </w:p>
        </w:tc>
        <w:tc>
          <w:tcPr>
            <w:tcW w:w="680" w:type="dxa"/>
            <w:vAlign w:val="bottom"/>
            <w:tcBorders>
              <w:top w:val="single" w:sz="8" w:color="0591DB"/>
              <w:right w:val="single" w:sz="8" w:color="0591DB"/>
            </w:tcBorders>
          </w:tcPr>
          <w:p>
            <w:pPr>
              <w:jc w:val="center"/>
              <w:spacing w:after="0" w:line="229" w:lineRule="exact"/>
              <w:rPr>
                <w:sz w:val="20"/>
                <w:szCs w:val="20"/>
                <w:color w:val="auto"/>
              </w:rPr>
            </w:pPr>
            <w:r>
              <w:rPr>
                <w:rFonts w:ascii="Calibri" w:cs="Calibri" w:eastAsia="Calibri" w:hAnsi="Calibri"/>
                <w:sz w:val="20"/>
                <w:szCs w:val="20"/>
                <w:b w:val="1"/>
                <w:bCs w:val="1"/>
                <w:color w:val="0591DB"/>
              </w:rPr>
              <w:t>2024</w:t>
            </w:r>
          </w:p>
        </w:tc>
        <w:tc>
          <w:tcPr>
            <w:tcW w:w="960" w:type="dxa"/>
            <w:vAlign w:val="bottom"/>
            <w:tcBorders>
              <w:top w:val="single" w:sz="8" w:color="0591DB"/>
            </w:tcBorders>
            <w:gridSpan w:val="2"/>
          </w:tcPr>
          <w:p>
            <w:pPr>
              <w:jc w:val="right"/>
              <w:ind w:right="120"/>
              <w:spacing w:after="0" w:line="229" w:lineRule="exact"/>
              <w:rPr>
                <w:sz w:val="20"/>
                <w:szCs w:val="20"/>
                <w:color w:val="auto"/>
              </w:rPr>
            </w:pPr>
            <w:r>
              <w:rPr>
                <w:rFonts w:ascii="Calibri" w:cs="Calibri" w:eastAsia="Calibri" w:hAnsi="Calibri"/>
                <w:sz w:val="20"/>
                <w:szCs w:val="20"/>
                <w:b w:val="1"/>
                <w:bCs w:val="1"/>
                <w:color w:val="0591DB"/>
              </w:rPr>
              <w:t>2025</w:t>
            </w:r>
          </w:p>
        </w:tc>
        <w:tc>
          <w:tcPr>
            <w:tcW w:w="20" w:type="dxa"/>
            <w:vAlign w:val="bottom"/>
            <w:tcBorders>
              <w:top w:val="single" w:sz="8" w:color="0591DB"/>
            </w:tcBorders>
            <w:shd w:val="clear" w:color="auto" w:fill="0591DB"/>
          </w:tcPr>
          <w:p>
            <w:pPr>
              <w:spacing w:after="0"/>
              <w:rPr>
                <w:sz w:val="19"/>
                <w:szCs w:val="19"/>
                <w:color w:val="auto"/>
              </w:rPr>
            </w:pPr>
          </w:p>
        </w:tc>
      </w:tr>
      <w:tr>
        <w:trPr>
          <w:trHeight w:val="233"/>
        </w:trPr>
        <w:tc>
          <w:tcPr>
            <w:tcW w:w="9180" w:type="dxa"/>
            <w:vAlign w:val="bottom"/>
            <w:tcBorders>
              <w:right w:val="single" w:sz="8" w:color="0591DB"/>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right w:val="single" w:sz="8" w:color="0591DB"/>
            </w:tcBorders>
          </w:tcPr>
          <w:p>
            <w:pPr>
              <w:jc w:val="center"/>
              <w:spacing w:after="0" w:line="233" w:lineRule="exact"/>
              <w:rPr>
                <w:sz w:val="20"/>
                <w:szCs w:val="20"/>
                <w:color w:val="auto"/>
              </w:rPr>
            </w:pPr>
            <w:r>
              <w:rPr>
                <w:rFonts w:ascii="Calibri" w:cs="Calibri" w:eastAsia="Calibri" w:hAnsi="Calibri"/>
                <w:sz w:val="20"/>
                <w:szCs w:val="20"/>
                <w:b w:val="1"/>
                <w:bCs w:val="1"/>
                <w:color w:val="0591DB"/>
                <w:w w:val="97"/>
              </w:rPr>
              <w:t>($)</w:t>
            </w:r>
          </w:p>
        </w:tc>
        <w:tc>
          <w:tcPr>
            <w:tcW w:w="960" w:type="dxa"/>
            <w:vAlign w:val="bottom"/>
            <w:gridSpan w:val="2"/>
          </w:tcPr>
          <w:p>
            <w:pPr>
              <w:jc w:val="right"/>
              <w:ind w:right="200"/>
              <w:spacing w:after="0" w:line="233" w:lineRule="exact"/>
              <w:rPr>
                <w:sz w:val="20"/>
                <w:szCs w:val="20"/>
                <w:color w:val="auto"/>
              </w:rPr>
            </w:pPr>
            <w:r>
              <w:rPr>
                <w:rFonts w:ascii="Calibri" w:cs="Calibri" w:eastAsia="Calibri" w:hAnsi="Calibri"/>
                <w:sz w:val="20"/>
                <w:szCs w:val="20"/>
                <w:b w:val="1"/>
                <w:bCs w:val="1"/>
                <w:color w:val="0591DB"/>
              </w:rPr>
              <w:t>($)</w:t>
            </w:r>
          </w:p>
        </w:tc>
        <w:tc>
          <w:tcPr>
            <w:tcW w:w="20" w:type="dxa"/>
            <w:vAlign w:val="bottom"/>
            <w:shd w:val="clear" w:color="auto" w:fill="0591DB"/>
          </w:tcPr>
          <w:p>
            <w:pPr>
              <w:spacing w:after="0"/>
              <w:rPr>
                <w:sz w:val="20"/>
                <w:szCs w:val="20"/>
                <w:color w:val="auto"/>
              </w:rPr>
            </w:pPr>
          </w:p>
        </w:tc>
      </w:tr>
      <w:tr>
        <w:trPr>
          <w:trHeight w:val="46"/>
        </w:trPr>
        <w:tc>
          <w:tcPr>
            <w:tcW w:w="9180" w:type="dxa"/>
            <w:vAlign w:val="bottom"/>
            <w:tcBorders>
              <w:right w:val="single" w:sz="8" w:color="0591DB"/>
            </w:tcBorders>
          </w:tcPr>
          <w:p>
            <w:pPr>
              <w:spacing w:after="0"/>
              <w:rPr>
                <w:sz w:val="3"/>
                <w:szCs w:val="3"/>
                <w:color w:val="auto"/>
              </w:rPr>
            </w:pPr>
          </w:p>
        </w:tc>
        <w:tc>
          <w:tcPr>
            <w:tcW w:w="100" w:type="dxa"/>
            <w:vAlign w:val="bottom"/>
            <w:tcBorders>
              <w:bottom w:val="single" w:sz="8" w:color="0591DB"/>
            </w:tcBorders>
          </w:tcPr>
          <w:p>
            <w:pPr>
              <w:spacing w:after="0"/>
              <w:rPr>
                <w:sz w:val="3"/>
                <w:szCs w:val="3"/>
                <w:color w:val="auto"/>
              </w:rPr>
            </w:pPr>
          </w:p>
        </w:tc>
        <w:tc>
          <w:tcPr>
            <w:tcW w:w="680" w:type="dxa"/>
            <w:vAlign w:val="bottom"/>
            <w:tcBorders>
              <w:bottom w:val="single" w:sz="8" w:color="0591DB"/>
              <w:right w:val="single" w:sz="8" w:color="0591DB"/>
            </w:tcBorders>
          </w:tcPr>
          <w:p>
            <w:pPr>
              <w:spacing w:after="0"/>
              <w:rPr>
                <w:sz w:val="3"/>
                <w:szCs w:val="3"/>
                <w:color w:val="auto"/>
              </w:rPr>
            </w:pPr>
          </w:p>
        </w:tc>
        <w:tc>
          <w:tcPr>
            <w:tcW w:w="960" w:type="dxa"/>
            <w:vAlign w:val="bottom"/>
            <w:tcBorders>
              <w:bottom w:val="single" w:sz="8" w:color="0591DB"/>
            </w:tcBorders>
            <w:gridSpan w:val="2"/>
          </w:tcPr>
          <w:p>
            <w:pPr>
              <w:spacing w:after="0"/>
              <w:rPr>
                <w:sz w:val="3"/>
                <w:szCs w:val="3"/>
                <w:color w:val="auto"/>
              </w:rPr>
            </w:pPr>
          </w:p>
        </w:tc>
        <w:tc>
          <w:tcPr>
            <w:tcW w:w="20" w:type="dxa"/>
            <w:vAlign w:val="bottom"/>
            <w:tcBorders>
              <w:bottom w:val="single" w:sz="8" w:color="0591DB"/>
            </w:tcBorders>
            <w:shd w:val="clear" w:color="auto" w:fill="0591DB"/>
          </w:tcPr>
          <w:p>
            <w:pPr>
              <w:spacing w:after="0"/>
              <w:rPr>
                <w:sz w:val="3"/>
                <w:szCs w:val="3"/>
                <w:color w:val="auto"/>
              </w:rPr>
            </w:pPr>
          </w:p>
        </w:tc>
      </w:tr>
      <w:tr>
        <w:trPr>
          <w:trHeight w:val="227"/>
        </w:trPr>
        <w:tc>
          <w:tcPr>
            <w:tcW w:w="9180" w:type="dxa"/>
            <w:vAlign w:val="bottom"/>
            <w:tcBorders>
              <w:right w:val="single" w:sz="8" w:color="0591DB"/>
            </w:tcBorders>
          </w:tcPr>
          <w:p>
            <w:pPr>
              <w:spacing w:after="0"/>
              <w:rPr>
                <w:sz w:val="19"/>
                <w:szCs w:val="19"/>
                <w:color w:val="auto"/>
              </w:rPr>
            </w:pPr>
          </w:p>
        </w:tc>
        <w:tc>
          <w:tcPr>
            <w:tcW w:w="100" w:type="dxa"/>
            <w:vAlign w:val="bottom"/>
            <w:tcBorders>
              <w:bottom w:val="single" w:sz="8" w:color="0591DB"/>
            </w:tcBorders>
          </w:tcPr>
          <w:p>
            <w:pPr>
              <w:spacing w:after="0"/>
              <w:rPr>
                <w:sz w:val="19"/>
                <w:szCs w:val="19"/>
                <w:color w:val="auto"/>
              </w:rPr>
            </w:pPr>
          </w:p>
        </w:tc>
        <w:tc>
          <w:tcPr>
            <w:tcW w:w="1640" w:type="dxa"/>
            <w:vAlign w:val="bottom"/>
            <w:tcBorders>
              <w:bottom w:val="single" w:sz="8" w:color="0591DB"/>
            </w:tcBorders>
            <w:gridSpan w:val="3"/>
          </w:tcPr>
          <w:p>
            <w:pPr>
              <w:ind w:left="200"/>
              <w:spacing w:after="0" w:line="226" w:lineRule="exact"/>
              <w:rPr>
                <w:sz w:val="20"/>
                <w:szCs w:val="20"/>
                <w:color w:val="auto"/>
              </w:rPr>
            </w:pPr>
            <w:r>
              <w:rPr>
                <w:rFonts w:ascii="Calibri" w:cs="Calibri" w:eastAsia="Calibri" w:hAnsi="Calibri"/>
                <w:sz w:val="20"/>
                <w:szCs w:val="20"/>
                <w:b w:val="1"/>
                <w:bCs w:val="1"/>
                <w:color w:val="0591DB"/>
              </w:rPr>
              <w:t>(in thousands)</w:t>
            </w:r>
          </w:p>
        </w:tc>
        <w:tc>
          <w:tcPr>
            <w:tcW w:w="20" w:type="dxa"/>
            <w:vAlign w:val="bottom"/>
            <w:tcBorders>
              <w:bottom w:val="single" w:sz="8" w:color="0591DB"/>
            </w:tcBorders>
            <w:shd w:val="clear" w:color="auto" w:fill="0591DB"/>
          </w:tcPr>
          <w:p>
            <w:pPr>
              <w:spacing w:after="0"/>
              <w:rPr>
                <w:sz w:val="19"/>
                <w:szCs w:val="19"/>
                <w:color w:val="auto"/>
              </w:rPr>
            </w:pPr>
          </w:p>
        </w:tc>
      </w:tr>
      <w:tr>
        <w:trPr>
          <w:trHeight w:val="192"/>
        </w:trPr>
        <w:tc>
          <w:tcPr>
            <w:tcW w:w="9180" w:type="dxa"/>
            <w:vAlign w:val="bottom"/>
          </w:tcPr>
          <w:p>
            <w:pPr>
              <w:spacing w:after="0" w:line="171" w:lineRule="exact"/>
              <w:rPr>
                <w:sz w:val="20"/>
                <w:szCs w:val="20"/>
                <w:color w:val="auto"/>
              </w:rPr>
            </w:pPr>
            <w:r>
              <w:rPr>
                <w:rFonts w:ascii="Calibri" w:cs="Calibri" w:eastAsia="Calibri" w:hAnsi="Calibri"/>
                <w:sz w:val="16"/>
                <w:szCs w:val="16"/>
                <w:color w:val="333333"/>
              </w:rPr>
              <w:t>Audit Fees</w:t>
            </w:r>
          </w:p>
        </w:tc>
        <w:tc>
          <w:tcPr>
            <w:tcW w:w="100" w:type="dxa"/>
            <w:vAlign w:val="bottom"/>
          </w:tcPr>
          <w:p>
            <w:pPr>
              <w:spacing w:after="0"/>
              <w:rPr>
                <w:sz w:val="16"/>
                <w:szCs w:val="16"/>
                <w:color w:val="auto"/>
              </w:rPr>
            </w:pPr>
          </w:p>
        </w:tc>
        <w:tc>
          <w:tcPr>
            <w:tcW w:w="680" w:type="dxa"/>
            <w:vAlign w:val="bottom"/>
          </w:tcPr>
          <w:p>
            <w:pPr>
              <w:jc w:val="center"/>
              <w:spacing w:after="0" w:line="193" w:lineRule="exact"/>
              <w:rPr>
                <w:sz w:val="20"/>
                <w:szCs w:val="20"/>
                <w:color w:val="auto"/>
              </w:rPr>
            </w:pPr>
            <w:r>
              <w:rPr>
                <w:rFonts w:ascii="Calibri" w:cs="Calibri" w:eastAsia="Calibri" w:hAnsi="Calibri"/>
                <w:sz w:val="16"/>
                <w:szCs w:val="16"/>
                <w:color w:val="333333"/>
              </w:rPr>
              <w:t>4,650</w:t>
            </w:r>
          </w:p>
        </w:tc>
        <w:tc>
          <w:tcPr>
            <w:tcW w:w="960" w:type="dxa"/>
            <w:vAlign w:val="bottom"/>
            <w:gridSpan w:val="2"/>
          </w:tcPr>
          <w:p>
            <w:pPr>
              <w:jc w:val="center"/>
              <w:ind w:left="113"/>
              <w:spacing w:after="0" w:line="193" w:lineRule="exact"/>
              <w:rPr>
                <w:sz w:val="20"/>
                <w:szCs w:val="20"/>
                <w:color w:val="auto"/>
              </w:rPr>
            </w:pPr>
            <w:r>
              <w:rPr>
                <w:rFonts w:ascii="Calibri" w:cs="Calibri" w:eastAsia="Calibri" w:hAnsi="Calibri"/>
                <w:sz w:val="16"/>
                <w:szCs w:val="16"/>
                <w:color w:val="333333"/>
                <w:w w:val="98"/>
              </w:rPr>
              <w:t>4,599</w:t>
            </w:r>
          </w:p>
        </w:tc>
        <w:tc>
          <w:tcPr>
            <w:tcW w:w="20" w:type="dxa"/>
            <w:vAlign w:val="bottom"/>
          </w:tcPr>
          <w:p>
            <w:pPr>
              <w:spacing w:after="0"/>
              <w:rPr>
                <w:sz w:val="16"/>
                <w:szCs w:val="16"/>
                <w:color w:val="auto"/>
              </w:rPr>
            </w:pPr>
          </w:p>
        </w:tc>
      </w:tr>
      <w:tr>
        <w:trPr>
          <w:trHeight w:val="209"/>
        </w:trPr>
        <w:tc>
          <w:tcPr>
            <w:tcW w:w="9280" w:type="dxa"/>
            <w:vAlign w:val="bottom"/>
            <w:gridSpan w:val="2"/>
            <w:shd w:val="clear" w:color="auto" w:fill="EFF2EF"/>
          </w:tcPr>
          <w:p>
            <w:pPr>
              <w:spacing w:after="0"/>
              <w:rPr>
                <w:sz w:val="20"/>
                <w:szCs w:val="20"/>
                <w:color w:val="auto"/>
              </w:rPr>
            </w:pPr>
            <w:r>
              <w:rPr>
                <w:rFonts w:ascii="Calibri" w:cs="Calibri" w:eastAsia="Calibri" w:hAnsi="Calibri"/>
                <w:sz w:val="16"/>
                <w:szCs w:val="16"/>
                <w:color w:val="333333"/>
              </w:rPr>
              <w:t>Audit-Related Fees</w:t>
            </w:r>
          </w:p>
        </w:tc>
        <w:tc>
          <w:tcPr>
            <w:tcW w:w="6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47</w:t>
            </w:r>
          </w:p>
        </w:tc>
        <w:tc>
          <w:tcPr>
            <w:tcW w:w="960" w:type="dxa"/>
            <w:vAlign w:val="bottom"/>
            <w:gridSpan w:val="2"/>
            <w:shd w:val="clear" w:color="auto" w:fill="EFF2EF"/>
          </w:tcPr>
          <w:p>
            <w:pPr>
              <w:jc w:val="center"/>
              <w:ind w:left="113"/>
              <w:spacing w:after="0"/>
              <w:rPr>
                <w:sz w:val="20"/>
                <w:szCs w:val="20"/>
                <w:color w:val="auto"/>
              </w:rPr>
            </w:pPr>
            <w:r>
              <w:rPr>
                <w:rFonts w:ascii="Calibri" w:cs="Calibri" w:eastAsia="Calibri" w:hAnsi="Calibri"/>
                <w:sz w:val="16"/>
                <w:szCs w:val="16"/>
                <w:color w:val="333333"/>
                <w:w w:val="98"/>
              </w:rPr>
              <w:t>85</w:t>
            </w:r>
          </w:p>
        </w:tc>
        <w:tc>
          <w:tcPr>
            <w:tcW w:w="20" w:type="dxa"/>
            <w:vAlign w:val="bottom"/>
          </w:tcPr>
          <w:p>
            <w:pPr>
              <w:spacing w:after="0"/>
              <w:rPr>
                <w:sz w:val="18"/>
                <w:szCs w:val="18"/>
                <w:color w:val="auto"/>
              </w:rPr>
            </w:pPr>
          </w:p>
        </w:tc>
      </w:tr>
      <w:tr>
        <w:trPr>
          <w:trHeight w:val="192"/>
        </w:trPr>
        <w:tc>
          <w:tcPr>
            <w:tcW w:w="9280" w:type="dxa"/>
            <w:vAlign w:val="bottom"/>
            <w:gridSpan w:val="2"/>
          </w:tcPr>
          <w:p>
            <w:pPr>
              <w:spacing w:after="0" w:line="193" w:lineRule="exact"/>
              <w:rPr>
                <w:sz w:val="20"/>
                <w:szCs w:val="20"/>
                <w:color w:val="auto"/>
              </w:rPr>
            </w:pPr>
            <w:r>
              <w:rPr>
                <w:rFonts w:ascii="Calibri" w:cs="Calibri" w:eastAsia="Calibri" w:hAnsi="Calibri"/>
                <w:sz w:val="16"/>
                <w:szCs w:val="16"/>
                <w:color w:val="333333"/>
              </w:rPr>
              <w:t>Tax Fees</w:t>
            </w:r>
          </w:p>
        </w:tc>
        <w:tc>
          <w:tcPr>
            <w:tcW w:w="680" w:type="dxa"/>
            <w:vAlign w:val="bottom"/>
          </w:tcPr>
          <w:p>
            <w:pPr>
              <w:jc w:val="center"/>
              <w:spacing w:after="0" w:line="193" w:lineRule="exact"/>
              <w:rPr>
                <w:sz w:val="20"/>
                <w:szCs w:val="20"/>
                <w:color w:val="auto"/>
              </w:rPr>
            </w:pPr>
            <w:r>
              <w:rPr>
                <w:rFonts w:ascii="Calibri" w:cs="Calibri" w:eastAsia="Calibri" w:hAnsi="Calibri"/>
                <w:sz w:val="16"/>
                <w:szCs w:val="16"/>
                <w:color w:val="333333"/>
                <w:w w:val="96"/>
              </w:rPr>
              <w:t>—</w:t>
            </w:r>
          </w:p>
        </w:tc>
        <w:tc>
          <w:tcPr>
            <w:tcW w:w="200" w:type="dxa"/>
            <w:vAlign w:val="bottom"/>
          </w:tcPr>
          <w:p>
            <w:pPr>
              <w:spacing w:after="0"/>
              <w:rPr>
                <w:sz w:val="16"/>
                <w:szCs w:val="16"/>
                <w:color w:val="auto"/>
              </w:rPr>
            </w:pPr>
          </w:p>
        </w:tc>
        <w:tc>
          <w:tcPr>
            <w:tcW w:w="760" w:type="dxa"/>
            <w:vAlign w:val="bottom"/>
          </w:tcPr>
          <w:p>
            <w:pPr>
              <w:jc w:val="center"/>
              <w:spacing w:after="0" w:line="193" w:lineRule="exact"/>
              <w:rPr>
                <w:sz w:val="20"/>
                <w:szCs w:val="20"/>
                <w:color w:val="auto"/>
              </w:rPr>
            </w:pPr>
            <w:r>
              <w:rPr>
                <w:rFonts w:ascii="Calibri" w:cs="Calibri" w:eastAsia="Calibri" w:hAnsi="Calibri"/>
                <w:sz w:val="16"/>
                <w:szCs w:val="16"/>
                <w:color w:val="333333"/>
              </w:rPr>
              <w:t>—</w:t>
            </w:r>
          </w:p>
        </w:tc>
        <w:tc>
          <w:tcPr>
            <w:tcW w:w="20" w:type="dxa"/>
            <w:vAlign w:val="bottom"/>
          </w:tcPr>
          <w:p>
            <w:pPr>
              <w:spacing w:after="0"/>
              <w:rPr>
                <w:sz w:val="16"/>
                <w:szCs w:val="16"/>
                <w:color w:val="auto"/>
              </w:rPr>
            </w:pPr>
          </w:p>
        </w:tc>
      </w:tr>
      <w:tr>
        <w:trPr>
          <w:trHeight w:val="209"/>
        </w:trPr>
        <w:tc>
          <w:tcPr>
            <w:tcW w:w="9280" w:type="dxa"/>
            <w:vAlign w:val="bottom"/>
            <w:gridSpan w:val="2"/>
            <w:shd w:val="clear" w:color="auto" w:fill="EFF2EF"/>
          </w:tcPr>
          <w:p>
            <w:pPr>
              <w:spacing w:after="0"/>
              <w:rPr>
                <w:sz w:val="20"/>
                <w:szCs w:val="20"/>
                <w:color w:val="auto"/>
              </w:rPr>
            </w:pPr>
            <w:r>
              <w:rPr>
                <w:rFonts w:ascii="Calibri" w:cs="Calibri" w:eastAsia="Calibri" w:hAnsi="Calibri"/>
                <w:sz w:val="16"/>
                <w:szCs w:val="16"/>
                <w:color w:val="333333"/>
              </w:rPr>
              <w:t>All Other Fees</w:t>
            </w:r>
          </w:p>
        </w:tc>
        <w:tc>
          <w:tcPr>
            <w:tcW w:w="680" w:type="dxa"/>
            <w:vAlign w:val="bottom"/>
            <w:tcBorders>
              <w:right w:val="single" w:sz="8" w:color="EFF2EF"/>
            </w:tcBorders>
            <w:shd w:val="clear" w:color="auto" w:fill="EFF2EF"/>
          </w:tcPr>
          <w:p>
            <w:pPr>
              <w:jc w:val="center"/>
              <w:spacing w:after="0"/>
              <w:rPr>
                <w:sz w:val="20"/>
                <w:szCs w:val="20"/>
                <w:color w:val="auto"/>
              </w:rPr>
            </w:pPr>
            <w:r>
              <w:rPr>
                <w:rFonts w:ascii="Calibri" w:cs="Calibri" w:eastAsia="Calibri" w:hAnsi="Calibri"/>
                <w:sz w:val="16"/>
                <w:szCs w:val="16"/>
                <w:color w:val="333333"/>
              </w:rPr>
              <w:t>5</w:t>
            </w:r>
          </w:p>
        </w:tc>
        <w:tc>
          <w:tcPr>
            <w:tcW w:w="960" w:type="dxa"/>
            <w:vAlign w:val="bottom"/>
            <w:gridSpan w:val="2"/>
            <w:shd w:val="clear" w:color="auto" w:fill="EFF2EF"/>
          </w:tcPr>
          <w:p>
            <w:pPr>
              <w:jc w:val="center"/>
              <w:ind w:left="113"/>
              <w:spacing w:after="0"/>
              <w:rPr>
                <w:sz w:val="20"/>
                <w:szCs w:val="20"/>
                <w:color w:val="auto"/>
              </w:rPr>
            </w:pPr>
            <w:r>
              <w:rPr>
                <w:rFonts w:ascii="Calibri" w:cs="Calibri" w:eastAsia="Calibri" w:hAnsi="Calibri"/>
                <w:sz w:val="16"/>
                <w:szCs w:val="16"/>
                <w:color w:val="333333"/>
                <w:w w:val="97"/>
              </w:rPr>
              <w:t>5</w:t>
            </w:r>
          </w:p>
        </w:tc>
        <w:tc>
          <w:tcPr>
            <w:tcW w:w="20" w:type="dxa"/>
            <w:vAlign w:val="bottom"/>
          </w:tcPr>
          <w:p>
            <w:pPr>
              <w:spacing w:after="0"/>
              <w:rPr>
                <w:sz w:val="18"/>
                <w:szCs w:val="18"/>
                <w:color w:val="auto"/>
              </w:rPr>
            </w:pPr>
          </w:p>
        </w:tc>
      </w:tr>
      <w:tr>
        <w:trPr>
          <w:trHeight w:val="186"/>
        </w:trPr>
        <w:tc>
          <w:tcPr>
            <w:tcW w:w="9280" w:type="dxa"/>
            <w:vAlign w:val="bottom"/>
            <w:gridSpan w:val="2"/>
          </w:tcPr>
          <w:p>
            <w:pPr>
              <w:spacing w:after="0" w:line="180" w:lineRule="exact"/>
              <w:rPr>
                <w:sz w:val="20"/>
                <w:szCs w:val="20"/>
                <w:color w:val="auto"/>
              </w:rPr>
            </w:pPr>
            <w:r>
              <w:rPr>
                <w:rFonts w:ascii="Calibri" w:cs="Calibri" w:eastAsia="Calibri" w:hAnsi="Calibri"/>
                <w:sz w:val="16"/>
                <w:szCs w:val="16"/>
                <w:b w:val="1"/>
                <w:bCs w:val="1"/>
                <w:color w:val="333333"/>
              </w:rPr>
              <w:t>Total</w:t>
            </w:r>
          </w:p>
        </w:tc>
        <w:tc>
          <w:tcPr>
            <w:tcW w:w="680" w:type="dxa"/>
            <w:vAlign w:val="bottom"/>
            <w:tcBorders>
              <w:top w:val="single" w:sz="8" w:color="333333"/>
            </w:tcBorders>
          </w:tcPr>
          <w:p>
            <w:pPr>
              <w:jc w:val="center"/>
              <w:spacing w:after="0" w:line="186" w:lineRule="exact"/>
              <w:rPr>
                <w:sz w:val="20"/>
                <w:szCs w:val="20"/>
                <w:color w:val="auto"/>
              </w:rPr>
            </w:pPr>
            <w:r>
              <w:rPr>
                <w:rFonts w:ascii="Calibri" w:cs="Calibri" w:eastAsia="Calibri" w:hAnsi="Calibri"/>
                <w:sz w:val="16"/>
                <w:szCs w:val="16"/>
                <w:b w:val="1"/>
                <w:bCs w:val="1"/>
                <w:color w:val="333333"/>
              </w:rPr>
              <w:t>4,702</w:t>
            </w:r>
          </w:p>
        </w:tc>
        <w:tc>
          <w:tcPr>
            <w:tcW w:w="200" w:type="dxa"/>
            <w:vAlign w:val="bottom"/>
          </w:tcPr>
          <w:p>
            <w:pPr>
              <w:spacing w:after="0"/>
              <w:rPr>
                <w:sz w:val="16"/>
                <w:szCs w:val="16"/>
                <w:color w:val="auto"/>
              </w:rPr>
            </w:pPr>
          </w:p>
        </w:tc>
        <w:tc>
          <w:tcPr>
            <w:tcW w:w="760" w:type="dxa"/>
            <w:vAlign w:val="bottom"/>
            <w:tcBorders>
              <w:top w:val="single" w:sz="8" w:color="333333"/>
            </w:tcBorders>
          </w:tcPr>
          <w:p>
            <w:pPr>
              <w:jc w:val="center"/>
              <w:spacing w:after="0" w:line="186" w:lineRule="exact"/>
              <w:rPr>
                <w:sz w:val="20"/>
                <w:szCs w:val="20"/>
                <w:color w:val="auto"/>
              </w:rPr>
            </w:pPr>
            <w:r>
              <w:rPr>
                <w:rFonts w:ascii="Calibri" w:cs="Calibri" w:eastAsia="Calibri" w:hAnsi="Calibri"/>
                <w:sz w:val="16"/>
                <w:szCs w:val="16"/>
                <w:b w:val="1"/>
                <w:bCs w:val="1"/>
                <w:color w:val="333333"/>
                <w:w w:val="98"/>
              </w:rPr>
              <w:t>4,689</w:t>
            </w:r>
          </w:p>
        </w:tc>
        <w:tc>
          <w:tcPr>
            <w:tcW w:w="20" w:type="dxa"/>
            <w:vAlign w:val="bottom"/>
          </w:tcPr>
          <w:p>
            <w:pPr>
              <w:spacing w:after="0"/>
              <w:rPr>
                <w:sz w:val="16"/>
                <w:szCs w:val="16"/>
                <w:color w:val="auto"/>
              </w:rPr>
            </w:pPr>
          </w:p>
        </w:tc>
      </w:tr>
      <w:tr>
        <w:trPr>
          <w:trHeight w:val="22"/>
        </w:trPr>
        <w:tc>
          <w:tcPr>
            <w:tcW w:w="9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33333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33333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33333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33333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00"/>
        <w:spacing w:after="0"/>
        <w:rPr>
          <w:sz w:val="20"/>
          <w:szCs w:val="20"/>
          <w:color w:val="auto"/>
        </w:rPr>
      </w:pPr>
      <w:r>
        <w:rPr>
          <w:rFonts w:ascii="Calibri" w:cs="Calibri" w:eastAsia="Calibri" w:hAnsi="Calibri"/>
          <w:sz w:val="17"/>
          <w:szCs w:val="17"/>
          <w:color w:val="333333"/>
        </w:rPr>
        <w:t>Audit fees are fees we paid KPMG for the audit and quarterly reviews of our consolidated fnancial statements, assistance with and review of documents fled with the SEC, comfort leters, consent procedures, accountng consultatons related to transactons, and the adopton of new accountng pronouncements and audits of our subsidiaries that are required by statute or regulaton. In 2025, approximately $4,599,000 in fees were incurred for the audit (including the audit of internal controls over fnancial reportng) and quarterly review services provided in connecton with periodic reports fled under the Exchange Act, statutory audits, consultatons and consent procedures. Audit fees for 2025 includes approximately $137,000 and $96,114 in fees incurred related to the audit of FTI Capital Advisors, LLC, a FINRA member frm, and FTI Capital Advisors Canada, ULC, respectvely. Audit-related fees include fees related to other agreed-upon procedures and atestaton services. All Other Fees include fees related to the Company’s use of KPMG’s research tool.</w:t>
      </w:r>
    </w:p>
    <w:p>
      <w:pPr>
        <w:spacing w:after="0" w:line="362"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KPMG has confrmed to us its independence with respect to the Company under all relevant professional and regulatory standards.</w:t>
      </w:r>
    </w:p>
    <w:p>
      <w:pPr>
        <w:spacing w:after="0" w:line="212" w:lineRule="exact"/>
        <w:rPr>
          <w:sz w:val="20"/>
          <w:szCs w:val="20"/>
          <w:color w:val="auto"/>
        </w:rPr>
      </w:pPr>
    </w:p>
    <w:p>
      <w:pPr>
        <w:ind w:left="160" w:right="100"/>
        <w:spacing w:after="0"/>
        <w:rPr>
          <w:sz w:val="20"/>
          <w:szCs w:val="20"/>
          <w:color w:val="auto"/>
        </w:rPr>
      </w:pPr>
      <w:r>
        <w:rPr>
          <w:rFonts w:ascii="Calibri" w:cs="Calibri" w:eastAsia="Calibri" w:hAnsi="Calibri"/>
          <w:sz w:val="17"/>
          <w:szCs w:val="17"/>
          <w:color w:val="333333"/>
        </w:rPr>
        <w:t>For 2024 and 2025, the Audit Commitee or a subcommitee of the Audit Commitee pre-approved all audit services and permited non-audit services (including the fees and terms thereof) to be performed for us by our independent registered public accountng frm, subject to the de minimis exceptons for non-audit services described in Secton 10A(i)(1)(B) of the Exchange Act. Pursuant to the Audit Commitee Charter, the Audit Commitee may delegate to subcommitees composed of one or more members the authority to grant pre-approvals of audit and permited non-audit services, provided, however, that such subcommitee will be required to present its decisions to the Audit Commitee at its next scheduled meetng. The Audit Commitee has delegated authority to its Chair, Mr. Fanandakis, to pre-approve audit and permited non-audit services when such approval is tmely needed between regular meetngs of the Audit Commitee, and any such services pre-approved by Mr. Fanandakis are presented to the Audit Commitee at its next regular meetng.</w:t>
      </w:r>
    </w:p>
    <w:p>
      <w:pPr>
        <w:spacing w:after="0" w:line="295"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108</w:t>
      </w:r>
    </w:p>
    <w:p>
      <w:pPr>
        <w:sectPr>
          <w:pgSz w:w="11900" w:h="16838" w:orient="portrait"/>
          <w:cols w:equalWidth="0" w:num="1">
            <w:col w:w="11100"/>
          </w:cols>
          <w:pgMar w:left="320" w:top="478"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REPORT OF THE AUDIT COMMITTEE OF THE BOARD OF DIRECTORS</w:t>
      </w:r>
    </w:p>
    <w:p>
      <w:pPr>
        <w:spacing w:after="0" w:line="215" w:lineRule="exact"/>
        <w:rPr>
          <w:sz w:val="20"/>
          <w:szCs w:val="20"/>
          <w:color w:val="auto"/>
        </w:rPr>
      </w:pPr>
    </w:p>
    <w:p>
      <w:pPr>
        <w:ind w:left="160" w:right="100"/>
        <w:spacing w:after="0" w:line="232" w:lineRule="auto"/>
        <w:rPr>
          <w:sz w:val="20"/>
          <w:szCs w:val="20"/>
          <w:color w:val="auto"/>
        </w:rPr>
      </w:pPr>
      <w:r>
        <w:rPr>
          <w:rFonts w:ascii="Calibri" w:cs="Calibri" w:eastAsia="Calibri" w:hAnsi="Calibri"/>
          <w:sz w:val="17"/>
          <w:szCs w:val="17"/>
          <w:color w:val="333333"/>
        </w:rPr>
        <w:t>The following report of the Audit Commitee shall not be deemed to be “solicitng material” or to otherwise be considered “fled” with the U.S. Securites and Exchange Commission (the “SEC”), nor shall such informaton be incorporated by reference into any future fling under the Securites Act of 1933, as amended, or the Securites Exchange Act of 1934, as amended, except to the extent that FTI Consultng, Inc., a Maryland corporaton (the “Company”), specifcally incorporates it by reference into such fling.</w:t>
      </w:r>
    </w:p>
    <w:p>
      <w:pPr>
        <w:spacing w:after="0" w:line="214" w:lineRule="exact"/>
        <w:rPr>
          <w:sz w:val="20"/>
          <w:szCs w:val="20"/>
          <w:color w:val="auto"/>
        </w:rPr>
      </w:pPr>
    </w:p>
    <w:p>
      <w:pPr>
        <w:ind w:left="160" w:right="60"/>
        <w:spacing w:after="0" w:line="232" w:lineRule="auto"/>
        <w:rPr>
          <w:sz w:val="20"/>
          <w:szCs w:val="20"/>
          <w:color w:val="auto"/>
        </w:rPr>
      </w:pPr>
      <w:r>
        <w:rPr>
          <w:rFonts w:ascii="Calibri" w:cs="Calibri" w:eastAsia="Calibri" w:hAnsi="Calibri"/>
          <w:sz w:val="17"/>
          <w:szCs w:val="17"/>
          <w:color w:val="333333"/>
        </w:rPr>
        <w:t>The Audit Commitee assists the Board of Directors (the “Board”) of the Company in overseeing and monitoring the integrity of the Company’s fnancial reportng process, the Company’s compliance with legal and regulatory requirements, its internal control and disclosure control systems, the integrity and audit of its consolidated fnancial statements, the qualifcatons and independence of its independent registered public accountng frm, and the performance of its internal auditors and independent registered public accountng frm.</w:t>
      </w:r>
    </w:p>
    <w:p>
      <w:pPr>
        <w:spacing w:after="0" w:line="214"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 xml:space="preserve">The Audit Commitee’s role and responsibilites are set forth in a writen Charter of the Audit Commitee, last amended and restated as of March 24, 2026 (the “Audit Commitee Charter”). The Audit Commitee reviews and reassesses its charter annually, and more frequently as necessary, to address any new, or changes to, rules relatng to audit commitees and recommends any changes to the NCGSR Commitee and the Board for approval. A copy of the Audit Commitee Charter is available in the Governance secton of the Company’s website at </w:t>
      </w:r>
      <w:r>
        <w:rPr>
          <w:rFonts w:ascii="Calibri" w:cs="Calibri" w:eastAsia="Calibri" w:hAnsi="Calibri"/>
          <w:sz w:val="17"/>
          <w:szCs w:val="17"/>
          <w:color w:val="0591DB"/>
        </w:rPr>
        <w:t>htps://www.ficonsultng.com/about/governance</w:t>
      </w:r>
      <w:r>
        <w:rPr>
          <w:rFonts w:ascii="Calibri" w:cs="Calibri" w:eastAsia="Calibri" w:hAnsi="Calibri"/>
          <w:sz w:val="17"/>
          <w:szCs w:val="17"/>
          <w:color w:val="333333"/>
        </w:rPr>
        <w:t>.</w:t>
      </w:r>
    </w:p>
    <w:p>
      <w:pPr>
        <w:spacing w:after="0" w:line="214" w:lineRule="exact"/>
        <w:rPr>
          <w:sz w:val="20"/>
          <w:szCs w:val="20"/>
          <w:color w:val="auto"/>
        </w:rPr>
      </w:pPr>
    </w:p>
    <w:p>
      <w:pPr>
        <w:ind w:left="160" w:right="20"/>
        <w:spacing w:after="0" w:line="232" w:lineRule="auto"/>
        <w:rPr>
          <w:sz w:val="20"/>
          <w:szCs w:val="20"/>
          <w:color w:val="auto"/>
        </w:rPr>
      </w:pPr>
      <w:r>
        <w:rPr>
          <w:rFonts w:ascii="Calibri" w:cs="Calibri" w:eastAsia="Calibri" w:hAnsi="Calibri"/>
          <w:sz w:val="17"/>
          <w:szCs w:val="17"/>
          <w:color w:val="333333"/>
        </w:rPr>
        <w:t>The Audit Commitee currently consists of fve independent non-employee directors, recommended by the NCGSR Commitee and elected by the Board at the 2025 Annual Meetng: Nicholas C. Fanandakis (Chair), Mark S. Bartlet, Stephen C. Robinson, Eric T. Steigerwalt and Janet H. Zelenka. All of the members of the Audit Commitee qualify as fnancially literate and are able to read and understand fundamental fnancial statements, including our balance sheet, income statement and cash fow statement, and related notes. The Board determined that each of Mr. Fanandakis, Mr. Steigerwalt and Ms. Zelenka qualify as an “audit commitee fnancial expert.”</w:t>
      </w:r>
    </w:p>
    <w:p>
      <w:pPr>
        <w:spacing w:after="0" w:line="214" w:lineRule="exact"/>
        <w:rPr>
          <w:sz w:val="20"/>
          <w:szCs w:val="20"/>
          <w:color w:val="auto"/>
        </w:rPr>
      </w:pPr>
    </w:p>
    <w:p>
      <w:pPr>
        <w:ind w:left="160" w:right="120"/>
        <w:spacing w:after="0" w:line="232" w:lineRule="auto"/>
        <w:rPr>
          <w:sz w:val="20"/>
          <w:szCs w:val="20"/>
          <w:color w:val="auto"/>
        </w:rPr>
      </w:pPr>
      <w:r>
        <w:rPr>
          <w:rFonts w:ascii="Calibri" w:cs="Calibri" w:eastAsia="Calibri" w:hAnsi="Calibri"/>
          <w:sz w:val="17"/>
          <w:szCs w:val="17"/>
          <w:color w:val="333333"/>
        </w:rPr>
        <w:t>The Company’s independent registered public accountng frm is responsible for performing an independent audit of the Company’s fnancial statements and internal control over fnancial reportng in accordance with the standards of the PCAOB and for issuing its reports thereon. The Company’s independent registered public accountng frm also reviews the Company’s quarterly fnancial statements. Management is responsible for the Company’s fnancial statements and the fnancial reportng process, including internal controls. We, the Audit Commitee, are responsible for monitoring and overseeing the annual audit process and discussing with the Company’s internal auditor and independent registered public accountng frm the overall scope and plans for their respectve audits.</w:t>
      </w:r>
    </w:p>
    <w:p>
      <w:pPr>
        <w:spacing w:after="0" w:line="214"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We meet periodically with the Company’s management and internal auditor, and independent registered public accountng frm, both together and separately. We review and discuss any defciencies in the Company’s internal controls over fnancial reportng with the Company’s independent registered public accountng frm and management’s response. The Audit Commitee engaged KPMG LLP (“KPMG”) as the Company’s independent registered public accountng frm for the quarters and year ended December 31, 2025. KPMG atended four meetngs of the Audit Commitee and separately met two tmes with the Audit Commitee in closed sessions without management being present with respect to audit, fnancial reportng and internal control maters during calendar year 2025. One or more members of management atended all regular and special meetngs of the Audit Commitee, and management separately met two tmes with the Audit Commitee in closed sessions with respect to audit, fnancial reportng and internal control maters during calendar year 2025. The Audit Commitee separately met with</w:t>
      </w:r>
    </w:p>
    <w:p>
      <w:pPr>
        <w:spacing w:after="0" w:line="143"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109</w:t>
      </w:r>
    </w:p>
    <w:p>
      <w:pPr>
        <w:sectPr>
          <w:pgSz w:w="11900" w:h="16838" w:orient="portrait"/>
          <w:cols w:equalWidth="0" w:num="1">
            <w:col w:w="11040"/>
          </w:cols>
          <w:pgMar w:left="320" w:top="478" w:right="5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spacing w:after="0" w:line="232" w:lineRule="auto"/>
        <w:rPr>
          <w:sz w:val="20"/>
          <w:szCs w:val="20"/>
          <w:color w:val="auto"/>
        </w:rPr>
      </w:pPr>
      <w:r>
        <w:rPr>
          <w:rFonts w:ascii="Calibri" w:cs="Calibri" w:eastAsia="Calibri" w:hAnsi="Calibri"/>
          <w:sz w:val="17"/>
          <w:szCs w:val="17"/>
          <w:color w:val="333333"/>
        </w:rPr>
        <w:t>the Vice President, Internal Audit of the Company, two tmes in closed session during calendar year 2025. The Chair of the Audit Commitee was delegated the authority by the Audit Commitee to meet more frequently with the Vice President, Internal Audit, without management and other commitee members being present, and management, without other commitee members being present, and he reported back to the other members of the Audit Commitee with respect to those meetngs. In this context, the Audit Commitee hereby reports as follows:</w:t>
      </w:r>
    </w:p>
    <w:p>
      <w:pPr>
        <w:spacing w:after="0" w:line="120" w:lineRule="exact"/>
        <w:rPr>
          <w:sz w:val="20"/>
          <w:szCs w:val="20"/>
          <w:color w:val="auto"/>
        </w:rPr>
      </w:pPr>
    </w:p>
    <w:p>
      <w:pPr>
        <w:ind w:left="1020" w:right="180" w:hanging="425"/>
        <w:spacing w:after="0" w:line="232" w:lineRule="auto"/>
        <w:tabs>
          <w:tab w:leader="none" w:pos="1020" w:val="left"/>
        </w:tabs>
        <w:numPr>
          <w:ilvl w:val="0"/>
          <w:numId w:val="121"/>
        </w:numPr>
        <w:rPr>
          <w:rFonts w:ascii="Calibri" w:cs="Calibri" w:eastAsia="Calibri" w:hAnsi="Calibri"/>
          <w:sz w:val="17"/>
          <w:szCs w:val="17"/>
          <w:color w:val="333333"/>
        </w:rPr>
      </w:pPr>
      <w:r>
        <w:rPr>
          <w:rFonts w:ascii="Calibri" w:cs="Calibri" w:eastAsia="Calibri" w:hAnsi="Calibri"/>
          <w:sz w:val="17"/>
          <w:szCs w:val="17"/>
          <w:color w:val="333333"/>
        </w:rPr>
        <w:t>We have reviewed and discussed the Company’s audited consolidated fnancial statements as of and for the year ended December 31, 2025 with management and the independent registered public accountng frm. Management represented to the Audit Commitee that the consolidated fnancial statements of the Company were prepared in accordance with U.S. generally accepted accountng principles.</w:t>
      </w:r>
    </w:p>
    <w:p>
      <w:pPr>
        <w:spacing w:after="0" w:line="120" w:lineRule="exact"/>
        <w:rPr>
          <w:rFonts w:ascii="Calibri" w:cs="Calibri" w:eastAsia="Calibri" w:hAnsi="Calibri"/>
          <w:sz w:val="17"/>
          <w:szCs w:val="17"/>
          <w:color w:val="333333"/>
        </w:rPr>
      </w:pPr>
    </w:p>
    <w:p>
      <w:pPr>
        <w:ind w:left="1020" w:right="200" w:hanging="425"/>
        <w:spacing w:after="0" w:line="232" w:lineRule="auto"/>
        <w:tabs>
          <w:tab w:leader="none" w:pos="1020" w:val="left"/>
        </w:tabs>
        <w:numPr>
          <w:ilvl w:val="0"/>
          <w:numId w:val="121"/>
        </w:numPr>
        <w:rPr>
          <w:rFonts w:ascii="Calibri" w:cs="Calibri" w:eastAsia="Calibri" w:hAnsi="Calibri"/>
          <w:sz w:val="17"/>
          <w:szCs w:val="17"/>
          <w:color w:val="333333"/>
        </w:rPr>
      </w:pPr>
      <w:r>
        <w:rPr>
          <w:rFonts w:ascii="Calibri" w:cs="Calibri" w:eastAsia="Calibri" w:hAnsi="Calibri"/>
          <w:sz w:val="17"/>
          <w:szCs w:val="17"/>
          <w:color w:val="333333"/>
        </w:rPr>
        <w:t>The Audit Commitee discussed with KPMG the maters required to be discussed by the applicable requirements of the PCAOB and the SEC. These maters included a discussion of KPMG’s judgments about the quality (not just the acceptability) of the accountng practces of the Company and accountng principles as applied to the fnancial reportng of the Company.</w:t>
      </w:r>
    </w:p>
    <w:p>
      <w:pPr>
        <w:spacing w:after="0" w:line="120" w:lineRule="exact"/>
        <w:rPr>
          <w:rFonts w:ascii="Calibri" w:cs="Calibri" w:eastAsia="Calibri" w:hAnsi="Calibri"/>
          <w:sz w:val="17"/>
          <w:szCs w:val="17"/>
          <w:color w:val="333333"/>
        </w:rPr>
      </w:pPr>
    </w:p>
    <w:p>
      <w:pPr>
        <w:ind w:left="1020" w:hanging="425"/>
        <w:spacing w:after="0" w:line="232" w:lineRule="auto"/>
        <w:tabs>
          <w:tab w:leader="none" w:pos="1020" w:val="left"/>
        </w:tabs>
        <w:numPr>
          <w:ilvl w:val="0"/>
          <w:numId w:val="121"/>
        </w:numPr>
        <w:rPr>
          <w:rFonts w:ascii="Calibri" w:cs="Calibri" w:eastAsia="Calibri" w:hAnsi="Calibri"/>
          <w:sz w:val="17"/>
          <w:szCs w:val="17"/>
          <w:color w:val="333333"/>
        </w:rPr>
      </w:pPr>
      <w:r>
        <w:rPr>
          <w:rFonts w:ascii="Calibri" w:cs="Calibri" w:eastAsia="Calibri" w:hAnsi="Calibri"/>
          <w:sz w:val="17"/>
          <w:szCs w:val="17"/>
          <w:color w:val="333333"/>
        </w:rPr>
        <w:t>The Audit Commitee received from KPMG the writen disclosures and the leter required by the applicable requirements of the PCAOB regarding KPMG’s communicatons with the Audit Commitee concerning independence, and the Audit Commitee discussed with KPMG its independence. The Audit Commitee further considered whether the provision by KPMG of any non-audit services described elsewhere in this proxy statement is compatble with maintaining auditor independence and determined that the provision of those services does not impair KPMG’s independence. We pre-approve the non-audit services performed by KPMG.</w:t>
      </w:r>
    </w:p>
    <w:p>
      <w:pPr>
        <w:spacing w:after="0" w:line="120" w:lineRule="exact"/>
        <w:rPr>
          <w:rFonts w:ascii="Calibri" w:cs="Calibri" w:eastAsia="Calibri" w:hAnsi="Calibri"/>
          <w:sz w:val="17"/>
          <w:szCs w:val="17"/>
          <w:color w:val="333333"/>
        </w:rPr>
      </w:pPr>
    </w:p>
    <w:p>
      <w:pPr>
        <w:ind w:left="1020" w:right="340" w:hanging="425"/>
        <w:spacing w:after="0" w:line="233" w:lineRule="auto"/>
        <w:tabs>
          <w:tab w:leader="none" w:pos="1020" w:val="left"/>
        </w:tabs>
        <w:numPr>
          <w:ilvl w:val="0"/>
          <w:numId w:val="121"/>
        </w:numPr>
        <w:rPr>
          <w:rFonts w:ascii="Calibri" w:cs="Calibri" w:eastAsia="Calibri" w:hAnsi="Calibri"/>
          <w:sz w:val="17"/>
          <w:szCs w:val="17"/>
          <w:color w:val="333333"/>
        </w:rPr>
      </w:pPr>
      <w:r>
        <w:rPr>
          <w:rFonts w:ascii="Calibri" w:cs="Calibri" w:eastAsia="Calibri" w:hAnsi="Calibri"/>
          <w:sz w:val="17"/>
          <w:szCs w:val="17"/>
          <w:color w:val="333333"/>
        </w:rPr>
        <w:t>The Audit Commitee reviewed and discussed with management and KPMG, management’s report and KPMG’s atestaton of our internal control over fnancial reportng in accordance with Secton 404 of the Sarbanes-Oxley Act.</w:t>
      </w:r>
    </w:p>
    <w:p>
      <w:pPr>
        <w:spacing w:after="0" w:line="118" w:lineRule="exact"/>
        <w:rPr>
          <w:rFonts w:ascii="Calibri" w:cs="Calibri" w:eastAsia="Calibri" w:hAnsi="Calibri"/>
          <w:sz w:val="17"/>
          <w:szCs w:val="17"/>
          <w:color w:val="333333"/>
        </w:rPr>
      </w:pPr>
    </w:p>
    <w:p>
      <w:pPr>
        <w:ind w:left="1020" w:right="20" w:hanging="425"/>
        <w:spacing w:after="0" w:line="232" w:lineRule="auto"/>
        <w:tabs>
          <w:tab w:leader="none" w:pos="1020" w:val="left"/>
        </w:tabs>
        <w:numPr>
          <w:ilvl w:val="0"/>
          <w:numId w:val="121"/>
        </w:numPr>
        <w:rPr>
          <w:rFonts w:ascii="Calibri" w:cs="Calibri" w:eastAsia="Calibri" w:hAnsi="Calibri"/>
          <w:sz w:val="17"/>
          <w:szCs w:val="17"/>
          <w:color w:val="333333"/>
        </w:rPr>
      </w:pPr>
      <w:r>
        <w:rPr>
          <w:rFonts w:ascii="Calibri" w:cs="Calibri" w:eastAsia="Calibri" w:hAnsi="Calibri"/>
          <w:sz w:val="17"/>
          <w:szCs w:val="17"/>
          <w:color w:val="333333"/>
        </w:rPr>
        <w:t>Based upon the review and discussion referred to in paragraphs (1) through (3) above, and the Audit Commitee’s review of the representatons of management and the disclosures by the independent registered public accountng frm to the Audit Commitee, we recommended to the Board that the audited consolidated fnancial statements be included in the annual report on Form 10-K of the Company for the fscal year ended December 31, 2025 for fling with the SEC. We have concluded that KPMG, the Company’s independent registered public accountng frm for fscal year 2025, is independent from the Company and its management.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We have appointed KPMG as the Company’s independent registered public accountng frm for the year ending December 31, 2026.</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This Report is submited by the members of the Audit Commitee of the Board of Directors of FTI Consultng, Inc., a Maryland corporaton.</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333333"/>
        </w:rPr>
        <w:t>AUDIT COMMITTEE</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Nicholas C. Fanandakis, Chair</w:t>
      </w:r>
    </w:p>
    <w:p>
      <w:pPr>
        <w:ind w:left="160"/>
        <w:spacing w:after="0" w:line="232" w:lineRule="auto"/>
        <w:rPr>
          <w:sz w:val="20"/>
          <w:szCs w:val="20"/>
          <w:color w:val="auto"/>
        </w:rPr>
      </w:pPr>
      <w:r>
        <w:rPr>
          <w:rFonts w:ascii="Calibri" w:cs="Calibri" w:eastAsia="Calibri" w:hAnsi="Calibri"/>
          <w:sz w:val="17"/>
          <w:szCs w:val="17"/>
          <w:color w:val="333333"/>
        </w:rPr>
        <w:t>Mark S. Bartlet</w:t>
      </w:r>
    </w:p>
    <w:p>
      <w:pPr>
        <w:ind w:left="160"/>
        <w:spacing w:after="0" w:line="232" w:lineRule="auto"/>
        <w:rPr>
          <w:sz w:val="20"/>
          <w:szCs w:val="20"/>
          <w:color w:val="auto"/>
        </w:rPr>
      </w:pPr>
      <w:r>
        <w:rPr>
          <w:rFonts w:ascii="Calibri" w:cs="Calibri" w:eastAsia="Calibri" w:hAnsi="Calibri"/>
          <w:sz w:val="17"/>
          <w:szCs w:val="17"/>
          <w:color w:val="333333"/>
        </w:rPr>
        <w:t>Stephen C. Robinson</w:t>
      </w:r>
    </w:p>
    <w:p>
      <w:pPr>
        <w:ind w:left="160"/>
        <w:spacing w:after="0" w:line="232" w:lineRule="auto"/>
        <w:rPr>
          <w:sz w:val="20"/>
          <w:szCs w:val="20"/>
          <w:color w:val="auto"/>
        </w:rPr>
      </w:pPr>
      <w:r>
        <w:rPr>
          <w:rFonts w:ascii="Calibri" w:cs="Calibri" w:eastAsia="Calibri" w:hAnsi="Calibri"/>
          <w:sz w:val="17"/>
          <w:szCs w:val="17"/>
          <w:color w:val="333333"/>
        </w:rPr>
        <w:t>Eric T. Steigerwalt</w:t>
      </w:r>
    </w:p>
    <w:p>
      <w:pPr>
        <w:ind w:left="160"/>
        <w:spacing w:after="0" w:line="232" w:lineRule="auto"/>
        <w:rPr>
          <w:sz w:val="20"/>
          <w:szCs w:val="20"/>
          <w:color w:val="auto"/>
        </w:rPr>
      </w:pPr>
      <w:r>
        <w:rPr>
          <w:rFonts w:ascii="Calibri" w:cs="Calibri" w:eastAsia="Calibri" w:hAnsi="Calibri"/>
          <w:sz w:val="17"/>
          <w:szCs w:val="17"/>
          <w:color w:val="333333"/>
        </w:rPr>
        <w:t>Janet H. Zelenka</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i w:val="1"/>
          <w:iCs w:val="1"/>
          <w:color w:val="333333"/>
        </w:rPr>
        <w:t>April 21, 2026</w:t>
      </w:r>
    </w:p>
    <w:p>
      <w:pPr>
        <w:spacing w:after="0" w:line="140"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333333"/>
        </w:rPr>
        <w:t>110</w:t>
      </w:r>
    </w:p>
    <w:p>
      <w:pPr>
        <w:sectPr>
          <w:pgSz w:w="11900" w:h="16838" w:orient="portrait"/>
          <w:cols w:equalWidth="0" w:num="1">
            <w:col w:w="11040"/>
          </w:cols>
          <w:pgMar w:left="320" w:top="478"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spacing w:after="0"/>
        <w:rPr>
          <w:sz w:val="20"/>
          <w:szCs w:val="20"/>
          <w:color w:val="auto"/>
        </w:rPr>
      </w:pPr>
      <w:r>
        <w:rPr>
          <w:rFonts w:ascii="Calibri" w:cs="Calibri" w:eastAsia="Calibri" w:hAnsi="Calibri"/>
          <w:sz w:val="21"/>
          <w:szCs w:val="21"/>
          <w:b w:val="1"/>
          <w:bCs w:val="1"/>
          <w:color w:val="0591DB"/>
        </w:rPr>
        <w:t>PROPOSALS FOR THE 2027 ANNUAL MEETING OF SHAREHOLDERS</w:t>
      </w:r>
    </w:p>
    <w:p>
      <w:pPr>
        <w:spacing w:after="0" w:line="21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We did not receive any shareholder proposals prior to the deadline for submitng 2026 proposals required by our Bylaws and described in our proxy statement for the 2025 Annual Meetng. If you want to present a proposal (other than pursuant to Rule 14a-8 of the Exchange Act) at the 2027 annual meetng of shareholders, send the proposal to FTI Consultng, Inc., Atn: Corporate Secretary, at our principal executve ofce located at 555 12th Street NW, Suite 700, Washington, D.C. 20004. Shareholders intending to present a proposal at our annual meetng must comply with the requirements and provide the informaton set forth in our Bylaws. Under our Bylaws, a shareholder must deliver notce of a proposal and any required informaton to our Corporate Secretary not earlier than the 150</w:t>
      </w:r>
      <w:r>
        <w:rPr>
          <w:rFonts w:ascii="Calibri" w:cs="Calibri" w:eastAsia="Calibri" w:hAnsi="Calibri"/>
          <w:sz w:val="12"/>
          <w:szCs w:val="12"/>
          <w:color w:val="333333"/>
        </w:rPr>
        <w:t>th</w:t>
      </w:r>
      <w:r>
        <w:rPr>
          <w:rFonts w:ascii="Calibri" w:cs="Calibri" w:eastAsia="Calibri" w:hAnsi="Calibri"/>
          <w:sz w:val="17"/>
          <w:szCs w:val="17"/>
          <w:color w:val="333333"/>
        </w:rPr>
        <w:t xml:space="preserve"> day nor later than 5:00 p.m., Eastern Time, on the 120</w:t>
      </w:r>
      <w:r>
        <w:rPr>
          <w:rFonts w:ascii="Calibri" w:cs="Calibri" w:eastAsia="Calibri" w:hAnsi="Calibri"/>
          <w:sz w:val="12"/>
          <w:szCs w:val="12"/>
          <w:color w:val="333333"/>
        </w:rPr>
        <w:t>th</w:t>
      </w:r>
      <w:r>
        <w:rPr>
          <w:rFonts w:ascii="Calibri" w:cs="Calibri" w:eastAsia="Calibri" w:hAnsi="Calibri"/>
          <w:sz w:val="17"/>
          <w:szCs w:val="17"/>
          <w:color w:val="333333"/>
        </w:rPr>
        <w:t xml:space="preserve"> day prior to the frst anniversary of the date of the proxy statement for the preceding year’s annual meetng of shareholders, provided, however, that in the event that the date of the annual meetng is advanced or delayed by more than 30 days from the frst anniversary of the date of the preceding year’s annual meetng, or if no annual meetng of shareholders was held in the preceding year, notce by the shareholder to be tmely must be delivered not earlier than the 150</w:t>
      </w:r>
      <w:r>
        <w:rPr>
          <w:rFonts w:ascii="Calibri" w:cs="Calibri" w:eastAsia="Calibri" w:hAnsi="Calibri"/>
          <w:sz w:val="12"/>
          <w:szCs w:val="12"/>
          <w:color w:val="333333"/>
        </w:rPr>
        <w:t>th</w:t>
      </w:r>
      <w:r>
        <w:rPr>
          <w:rFonts w:ascii="Calibri" w:cs="Calibri" w:eastAsia="Calibri" w:hAnsi="Calibri"/>
          <w:sz w:val="17"/>
          <w:szCs w:val="17"/>
          <w:color w:val="333333"/>
        </w:rPr>
        <w:t xml:space="preserve"> day prior to the date of such annual meetng and not later than 5:00 p.m., Eastern Time, on the later of the 120</w:t>
      </w:r>
      <w:r>
        <w:rPr>
          <w:rFonts w:ascii="Calibri" w:cs="Calibri" w:eastAsia="Calibri" w:hAnsi="Calibri"/>
          <w:sz w:val="12"/>
          <w:szCs w:val="12"/>
          <w:color w:val="333333"/>
        </w:rPr>
        <w:t>th</w:t>
      </w:r>
      <w:r>
        <w:rPr>
          <w:rFonts w:ascii="Calibri" w:cs="Calibri" w:eastAsia="Calibri" w:hAnsi="Calibri"/>
          <w:sz w:val="17"/>
          <w:szCs w:val="17"/>
          <w:color w:val="333333"/>
        </w:rPr>
        <w:t xml:space="preserve"> day prior to the date of such annual meetng, as originally convened, or the 10</w:t>
      </w:r>
      <w:r>
        <w:rPr>
          <w:rFonts w:ascii="Calibri" w:cs="Calibri" w:eastAsia="Calibri" w:hAnsi="Calibri"/>
          <w:sz w:val="12"/>
          <w:szCs w:val="12"/>
          <w:color w:val="333333"/>
        </w:rPr>
        <w:t>th</w:t>
      </w:r>
      <w:r>
        <w:rPr>
          <w:rFonts w:ascii="Calibri" w:cs="Calibri" w:eastAsia="Calibri" w:hAnsi="Calibri"/>
          <w:sz w:val="17"/>
          <w:szCs w:val="17"/>
          <w:color w:val="333333"/>
        </w:rPr>
        <w:t xml:space="preserve"> day following the day on which public announcement of the date of such annual meetng is frst made. A shareholder’s notce to the Corporate Secretary must be in writng and set forth as to each mater such shareholder proposes to bring before the annual meetng of shareholders the informaton and materials required by our Bylaws. Unless the 2027 annual meetng is more than 30 days before or afer the anniversary of this Annual Meetng, for the annual meetng of shareholders in 2027, we must receive this notce no earlier than November 22, 2026 and no later than 5:00 p.m., Eastern Time, on December 22, 2026. If a shareholder wishes to submit a proposal at the 2027 annual meetng and to have that proposal included in management’s proxy statement in accordance with Rule 14a-8, the proposal must be submited in accordance with and comply with Rule 14a-8 and be received by the Corporate Secretary not less than 120 days before the date our proxy statement was released to shareholders in connecton with our previous year’s annual meetng of shareholders, which is December 22, 2026.</w:t>
      </w:r>
    </w:p>
    <w:p>
      <w:pPr>
        <w:spacing w:after="0" w:line="226" w:lineRule="exact"/>
        <w:rPr>
          <w:sz w:val="20"/>
          <w:szCs w:val="20"/>
          <w:color w:val="auto"/>
        </w:rPr>
      </w:pPr>
    </w:p>
    <w:p>
      <w:pPr>
        <w:jc w:val="center"/>
        <w:ind w:right="-239"/>
        <w:spacing w:after="0"/>
        <w:rPr>
          <w:sz w:val="20"/>
          <w:szCs w:val="20"/>
          <w:color w:val="auto"/>
        </w:rPr>
      </w:pPr>
      <w:r>
        <w:rPr>
          <w:rFonts w:ascii="Calibri" w:cs="Calibri" w:eastAsia="Calibri" w:hAnsi="Calibri"/>
          <w:sz w:val="17"/>
          <w:szCs w:val="17"/>
          <w:color w:val="333333"/>
        </w:rPr>
        <w:t>111</w:t>
      </w:r>
    </w:p>
    <w:p>
      <w:pPr>
        <w:sectPr>
          <w:pgSz w:w="11900" w:h="16838" w:orient="portrait"/>
          <w:cols w:equalWidth="0" w:num="1">
            <w:col w:w="11020"/>
          </w:cols>
          <w:pgMar w:left="320" w:top="478" w:right="5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0591DB"/>
        </w:rPr>
        <w:t>Appendix A</w:t>
      </w:r>
    </w:p>
    <w:p>
      <w:pPr>
        <w:spacing w:after="0" w:line="222" w:lineRule="exact"/>
        <w:rPr>
          <w:sz w:val="20"/>
          <w:szCs w:val="20"/>
          <w:color w:val="auto"/>
        </w:rPr>
      </w:pPr>
    </w:p>
    <w:p>
      <w:pPr>
        <w:ind w:left="2980"/>
        <w:spacing w:after="0"/>
        <w:rPr>
          <w:sz w:val="20"/>
          <w:szCs w:val="20"/>
          <w:color w:val="auto"/>
        </w:rPr>
      </w:pPr>
      <w:r>
        <w:rPr>
          <w:rFonts w:ascii="Calibri" w:cs="Calibri" w:eastAsia="Calibri" w:hAnsi="Calibri"/>
          <w:sz w:val="21"/>
          <w:szCs w:val="21"/>
          <w:b w:val="1"/>
          <w:bCs w:val="1"/>
          <w:color w:val="0591DB"/>
        </w:rPr>
        <w:t>DEFINITIONS AND RECONCILIATIONS OF NON-GAAP TO THE</w:t>
      </w:r>
    </w:p>
    <w:p>
      <w:pPr>
        <w:spacing w:after="0" w:line="11" w:lineRule="exact"/>
        <w:rPr>
          <w:sz w:val="20"/>
          <w:szCs w:val="20"/>
          <w:color w:val="auto"/>
        </w:rPr>
      </w:pPr>
    </w:p>
    <w:p>
      <w:pPr>
        <w:ind w:left="2980"/>
        <w:spacing w:after="0"/>
        <w:rPr>
          <w:sz w:val="20"/>
          <w:szCs w:val="20"/>
          <w:color w:val="auto"/>
        </w:rPr>
      </w:pPr>
      <w:r>
        <w:rPr>
          <w:rFonts w:ascii="Calibri" w:cs="Calibri" w:eastAsia="Calibri" w:hAnsi="Calibri"/>
          <w:sz w:val="21"/>
          <w:szCs w:val="21"/>
          <w:b w:val="1"/>
          <w:bCs w:val="1"/>
          <w:color w:val="0591DB"/>
        </w:rPr>
        <w:t>MOST DIRECTLY COMPARABLE GAAP FINANCIAL MEASURES</w:t>
      </w:r>
    </w:p>
    <w:p>
      <w:pPr>
        <w:spacing w:after="0" w:line="215"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Certain fnancial measures presented in our Proxy Statement have not been presented or prepared in accordance with generally accepted accountng principles in the United States (“GAAP”). Certain of these fnancial measures are considered not in conformity with GAAP (“non-GAAP fnancial measures”) under the rules promulgated by the Securites and Exchange Commission.</w:t>
      </w:r>
    </w:p>
    <w:p>
      <w:pPr>
        <w:spacing w:after="0" w:line="214"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We defne Adjusted EBITDA, which is a non-GAAP fnancial measure, as consolidated net income before income tax provision, other non-operatng income (expense), depreciaton, amortzaton of intangible assets, remeasurement of acquisiton-related contngent consideraton, special charges, goodwill impairment charges, gain or loss on sale of a business and losses on early extnguishment of debt. We defne Adjusted EBITDA Margin, which is a non-GAAP fnancial measure, as Adjusted EBITDA as a percentage of total revenues. We believe that these non-GAAP fnancial measures, when considered together with our GAAP fnancial results and GAAP fnancial measures, provide management and investors with a more complete understanding of our operatng results, including underlying trends. In additon, EBITDA is a common alternatve measure of operatng performance used by many of our compettors. It is used by investors, fnancial analysts, ratng agencies and others to value and compare the fnancial performance of companies in our industry. Therefore, we also believe that these non-GAAP fnancial measures, considered along with corresponding GAAP fnancial measures, provide management and investors with useful supplemental informaton.</w:t>
      </w:r>
    </w:p>
    <w:p>
      <w:pPr>
        <w:spacing w:after="0" w:line="214" w:lineRule="exact"/>
        <w:rPr>
          <w:sz w:val="20"/>
          <w:szCs w:val="20"/>
          <w:color w:val="auto"/>
        </w:rPr>
      </w:pPr>
    </w:p>
    <w:p>
      <w:pPr>
        <w:ind w:left="160" w:right="180"/>
        <w:spacing w:after="0" w:line="232" w:lineRule="auto"/>
        <w:rPr>
          <w:sz w:val="20"/>
          <w:szCs w:val="20"/>
          <w:color w:val="auto"/>
        </w:rPr>
      </w:pPr>
      <w:r>
        <w:rPr>
          <w:rFonts w:ascii="Calibri" w:cs="Calibri" w:eastAsia="Calibri" w:hAnsi="Calibri"/>
          <w:sz w:val="17"/>
          <w:szCs w:val="17"/>
          <w:color w:val="333333"/>
        </w:rPr>
        <w:t>We defne Adjusted Net Income and Adjusted Earnings per Diluted Share (“Adjusted EPS”), which are non-GAAP fnancial measures, as net income and earnings per diluted share (“EPS”), respectvely, excluding the impact of remeasurement of acquisiton-related contngent consideraton, special charges, goodwill impairment charges, the gain or loss on sale of a business and losses on early extnguishment of debt. We use Adjusted Net Income for the purpose of calculatng Adjusted EPS. Management uses Adjusted EPS to assess total Company operatng performance on a consistent basis. We believe that these non-GAAP fnancial measures, when considered together with our GAAP fnancial results and GAAP fnancial measures, provide management and investors with useful supplemental informaton on our business operatng results, including underlying trends.</w:t>
      </w:r>
    </w:p>
    <w:p>
      <w:pPr>
        <w:spacing w:after="0" w:line="214" w:lineRule="exact"/>
        <w:rPr>
          <w:sz w:val="20"/>
          <w:szCs w:val="20"/>
          <w:color w:val="auto"/>
        </w:rPr>
      </w:pPr>
    </w:p>
    <w:p>
      <w:pPr>
        <w:ind w:left="160" w:right="140"/>
        <w:spacing w:after="0" w:line="232" w:lineRule="auto"/>
        <w:rPr>
          <w:sz w:val="20"/>
          <w:szCs w:val="20"/>
          <w:color w:val="auto"/>
        </w:rPr>
      </w:pPr>
      <w:r>
        <w:rPr>
          <w:rFonts w:ascii="Calibri" w:cs="Calibri" w:eastAsia="Calibri" w:hAnsi="Calibri"/>
          <w:sz w:val="17"/>
          <w:szCs w:val="17"/>
          <w:color w:val="333333"/>
        </w:rPr>
        <w:t>We defne Free Cash Flow, which is a non-GAAP fnancial measure, as net cash provided by operatng actvites less cash payments for purchases of property and equipment. We believe this non-GAAP fnancial measure, when considered together with our GAAP fnancial results, provides management and investors with useful supplemental informaton on the Company’s ability to generate cash for ongoing business operatons and capital deployment.</w:t>
      </w:r>
    </w:p>
    <w:p>
      <w:pPr>
        <w:spacing w:after="0" w:line="214"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We defne ‘‘organic revenue growth,’’ which is a non-GAAP fnancial measure, as the change in revenues, excluding the estmated impact of foreign currency (‘‘FX’’) and acquisiton-related revenues. The Company estmates the impact of FX driven by our businesses with functonal currencies other than the U.S. dollar (‘‘USD’’) on period-to-period performance results. The estmated impact of FX is calculated as the diference between the prior period results multplied by the average FX exchange rates to USD in the current period and applicable prior period results, multplied by the average FX exchange rates to USD in the prior period. We defne acquisiton-related revenues as revenues of acquired companies in the frst 12 months following the efectve date of the acquisiton. We believe this non-GAAP fnancial measure, when considered together with our GAAP fnancial results, provides management and investors with a more consistent comparison of our revenues across periods, including underlying trends.</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A-1</w:t>
      </w:r>
    </w:p>
    <w:p>
      <w:pPr>
        <w:sectPr>
          <w:pgSz w:w="11900" w:h="16838" w:orient="portrait"/>
          <w:cols w:equalWidth="0" w:num="1">
            <w:col w:w="11080"/>
          </w:cols>
          <w:pgMar w:left="320" w:top="478"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0" w:lineRule="exact"/>
        <w:rPr>
          <w:sz w:val="20"/>
          <w:szCs w:val="20"/>
          <w:color w:val="auto"/>
        </w:rPr>
      </w:pPr>
    </w:p>
    <w:p>
      <w:pPr>
        <w:ind w:left="160" w:right="200"/>
        <w:spacing w:after="0" w:line="232" w:lineRule="auto"/>
        <w:rPr>
          <w:sz w:val="20"/>
          <w:szCs w:val="20"/>
          <w:color w:val="auto"/>
        </w:rPr>
      </w:pPr>
      <w:r>
        <w:rPr>
          <w:rFonts w:ascii="Calibri" w:cs="Calibri" w:eastAsia="Calibri" w:hAnsi="Calibri"/>
          <w:sz w:val="17"/>
          <w:szCs w:val="17"/>
          <w:color w:val="333333"/>
        </w:rPr>
        <w:t>Non-GAAP fnancial measures are not defned in the same manner by all companies and may not be comparable with other similarly ttled measures of other companies. In additon, non-GAAP fnancial measures used for computng executve ofcer annual incentve pay may be defned diferently from similarly ttled measures used for fnancial reportng purposes. Non-GAAP fnancial measures should be considered in additon to, but not as a substtute for or superior to, the informaton contained in our Consolidated Statements of Comprehensive Income and Consolidated Statements of Cash Flows.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RECONCILIATIONS OF NET INCOME TO ADJUSTED EBITDA FOR THE YEARS PRESENTED IN THE PROXY STATEMENT:</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900" w:type="dxa"/>
            <w:vAlign w:val="bottom"/>
            <w:tcBorders>
              <w:top w:val="single" w:sz="8" w:color="0591DB"/>
              <w:left w:val="single" w:sz="8" w:color="0591DB"/>
              <w:bottom w:val="single" w:sz="8" w:color="0591DB"/>
            </w:tcBorders>
          </w:tcPr>
          <w:p>
            <w:pPr>
              <w:ind w:left="140"/>
              <w:spacing w:after="0" w:line="254" w:lineRule="exact"/>
              <w:rPr>
                <w:sz w:val="20"/>
                <w:szCs w:val="20"/>
                <w:color w:val="auto"/>
              </w:rPr>
            </w:pPr>
            <w:r>
              <w:rPr>
                <w:rFonts w:ascii="Calibri" w:cs="Calibri" w:eastAsia="Calibri" w:hAnsi="Calibri"/>
                <w:sz w:val="21"/>
                <w:szCs w:val="21"/>
                <w:b w:val="1"/>
                <w:bCs w:val="1"/>
                <w:color w:val="0591DB"/>
              </w:rPr>
              <w:t>(AMOUNTS IN THOUSANDS)</w:t>
            </w:r>
          </w:p>
        </w:tc>
        <w:tc>
          <w:tcPr>
            <w:tcW w:w="1100" w:type="dxa"/>
            <w:vAlign w:val="bottom"/>
            <w:tcBorders>
              <w:top w:val="single" w:sz="8" w:color="0591DB"/>
              <w:bottom w:val="single" w:sz="8" w:color="0591DB"/>
              <w:right w:val="single" w:sz="8" w:color="0591DB"/>
            </w:tcBorders>
          </w:tcPr>
          <w:p>
            <w:pPr>
              <w:spacing w:after="0"/>
              <w:rPr>
                <w:sz w:val="22"/>
                <w:szCs w:val="22"/>
                <w:color w:val="auto"/>
              </w:rPr>
            </w:pPr>
          </w:p>
        </w:tc>
        <w:tc>
          <w:tcPr>
            <w:tcW w:w="880" w:type="dxa"/>
            <w:vAlign w:val="bottom"/>
            <w:tcBorders>
              <w:top w:val="single" w:sz="8" w:color="0591DB"/>
              <w:bottom w:val="single" w:sz="8" w:color="0591DB"/>
            </w:tcBorders>
            <w:gridSpan w:val="2"/>
          </w:tcPr>
          <w:p>
            <w:pPr>
              <w:jc w:val="right"/>
              <w:ind w:right="55"/>
              <w:spacing w:after="0" w:line="254" w:lineRule="exact"/>
              <w:rPr>
                <w:sz w:val="20"/>
                <w:szCs w:val="20"/>
                <w:color w:val="auto"/>
              </w:rPr>
            </w:pPr>
            <w:r>
              <w:rPr>
                <w:rFonts w:ascii="Calibri" w:cs="Calibri" w:eastAsia="Calibri" w:hAnsi="Calibri"/>
                <w:sz w:val="21"/>
                <w:szCs w:val="21"/>
                <w:b w:val="1"/>
                <w:bCs w:val="1"/>
                <w:color w:val="0591DB"/>
              </w:rPr>
              <w:t>2025</w:t>
            </w:r>
          </w:p>
        </w:tc>
        <w:tc>
          <w:tcPr>
            <w:tcW w:w="120" w:type="dxa"/>
            <w:vAlign w:val="bottom"/>
            <w:tcBorders>
              <w:top w:val="single" w:sz="8" w:color="0591DB"/>
              <w:bottom w:val="single" w:sz="8" w:color="0591DB"/>
              <w:right w:val="single" w:sz="8" w:color="0591DB"/>
            </w:tcBorders>
          </w:tcPr>
          <w:p>
            <w:pPr>
              <w:spacing w:after="0"/>
              <w:rPr>
                <w:sz w:val="22"/>
                <w:szCs w:val="22"/>
                <w:color w:val="auto"/>
              </w:rPr>
            </w:pPr>
          </w:p>
        </w:tc>
        <w:tc>
          <w:tcPr>
            <w:tcW w:w="200" w:type="dxa"/>
            <w:vAlign w:val="bottom"/>
            <w:tcBorders>
              <w:top w:val="single" w:sz="8" w:color="0591DB"/>
              <w:bottom w:val="single" w:sz="8" w:color="0591DB"/>
            </w:tcBorders>
          </w:tcPr>
          <w:p>
            <w:pPr>
              <w:spacing w:after="0"/>
              <w:rPr>
                <w:sz w:val="22"/>
                <w:szCs w:val="22"/>
                <w:color w:val="auto"/>
              </w:rPr>
            </w:pPr>
          </w:p>
        </w:tc>
        <w:tc>
          <w:tcPr>
            <w:tcW w:w="700" w:type="dxa"/>
            <w:vAlign w:val="bottom"/>
            <w:tcBorders>
              <w:top w:val="single" w:sz="8" w:color="0591DB"/>
              <w:bottom w:val="single" w:sz="8" w:color="0591DB"/>
            </w:tcBorders>
          </w:tcPr>
          <w:p>
            <w:pPr>
              <w:jc w:val="right"/>
              <w:ind w:right="73"/>
              <w:spacing w:after="0" w:line="254" w:lineRule="exact"/>
              <w:rPr>
                <w:sz w:val="20"/>
                <w:szCs w:val="20"/>
                <w:color w:val="auto"/>
              </w:rPr>
            </w:pPr>
            <w:r>
              <w:rPr>
                <w:rFonts w:ascii="Calibri" w:cs="Calibri" w:eastAsia="Calibri" w:hAnsi="Calibri"/>
                <w:sz w:val="21"/>
                <w:szCs w:val="21"/>
                <w:b w:val="1"/>
                <w:bCs w:val="1"/>
                <w:color w:val="0591DB"/>
              </w:rPr>
              <w:t>2024</w:t>
            </w:r>
          </w:p>
        </w:tc>
        <w:tc>
          <w:tcPr>
            <w:tcW w:w="100" w:type="dxa"/>
            <w:vAlign w:val="bottom"/>
            <w:tcBorders>
              <w:top w:val="single" w:sz="8" w:color="0591DB"/>
              <w:bottom w:val="single" w:sz="8" w:color="0591DB"/>
              <w:right w:val="single" w:sz="8" w:color="0591DB"/>
            </w:tcBorders>
          </w:tcPr>
          <w:p>
            <w:pPr>
              <w:spacing w:after="0"/>
              <w:rPr>
                <w:sz w:val="22"/>
                <w:szCs w:val="22"/>
                <w:color w:val="auto"/>
              </w:rPr>
            </w:pPr>
          </w:p>
        </w:tc>
        <w:tc>
          <w:tcPr>
            <w:tcW w:w="900" w:type="dxa"/>
            <w:vAlign w:val="bottom"/>
            <w:tcBorders>
              <w:top w:val="single" w:sz="8" w:color="0591DB"/>
              <w:bottom w:val="single" w:sz="8" w:color="0591DB"/>
            </w:tcBorders>
            <w:gridSpan w:val="2"/>
          </w:tcPr>
          <w:p>
            <w:pPr>
              <w:jc w:val="right"/>
              <w:ind w:right="55"/>
              <w:spacing w:after="0" w:line="254" w:lineRule="exact"/>
              <w:rPr>
                <w:sz w:val="20"/>
                <w:szCs w:val="20"/>
                <w:color w:val="auto"/>
              </w:rPr>
            </w:pPr>
            <w:r>
              <w:rPr>
                <w:rFonts w:ascii="Calibri" w:cs="Calibri" w:eastAsia="Calibri" w:hAnsi="Calibri"/>
                <w:sz w:val="21"/>
                <w:szCs w:val="21"/>
                <w:b w:val="1"/>
                <w:bCs w:val="1"/>
                <w:color w:val="0591DB"/>
              </w:rPr>
              <w:t>2023</w:t>
            </w:r>
          </w:p>
        </w:tc>
        <w:tc>
          <w:tcPr>
            <w:tcW w:w="60" w:type="dxa"/>
            <w:vAlign w:val="bottom"/>
            <w:tcBorders>
              <w:top w:val="single" w:sz="8" w:color="0591DB"/>
              <w:bottom w:val="single" w:sz="8" w:color="0591DB"/>
              <w:right w:val="single" w:sz="8" w:color="0591DB"/>
            </w:tcBorders>
          </w:tcPr>
          <w:p>
            <w:pPr>
              <w:spacing w:after="0"/>
              <w:rPr>
                <w:sz w:val="22"/>
                <w:szCs w:val="22"/>
                <w:color w:val="auto"/>
              </w:rPr>
            </w:pPr>
          </w:p>
        </w:tc>
        <w:tc>
          <w:tcPr>
            <w:tcW w:w="920" w:type="dxa"/>
            <w:vAlign w:val="bottom"/>
            <w:tcBorders>
              <w:top w:val="single" w:sz="8" w:color="0591DB"/>
              <w:bottom w:val="single" w:sz="8" w:color="0591DB"/>
            </w:tcBorders>
            <w:gridSpan w:val="2"/>
          </w:tcPr>
          <w:p>
            <w:pPr>
              <w:jc w:val="right"/>
              <w:ind w:right="75"/>
              <w:spacing w:after="0" w:line="254" w:lineRule="exact"/>
              <w:rPr>
                <w:sz w:val="20"/>
                <w:szCs w:val="20"/>
                <w:color w:val="auto"/>
              </w:rPr>
            </w:pPr>
            <w:r>
              <w:rPr>
                <w:rFonts w:ascii="Calibri" w:cs="Calibri" w:eastAsia="Calibri" w:hAnsi="Calibri"/>
                <w:sz w:val="21"/>
                <w:szCs w:val="21"/>
                <w:b w:val="1"/>
                <w:bCs w:val="1"/>
                <w:color w:val="0591DB"/>
              </w:rPr>
              <w:t>2022</w:t>
            </w:r>
          </w:p>
        </w:tc>
        <w:tc>
          <w:tcPr>
            <w:tcW w:w="100" w:type="dxa"/>
            <w:vAlign w:val="bottom"/>
            <w:tcBorders>
              <w:top w:val="single" w:sz="8" w:color="0591DB"/>
              <w:bottom w:val="single" w:sz="8" w:color="0591DB"/>
              <w:right w:val="single" w:sz="8" w:color="0591DB"/>
            </w:tcBorders>
          </w:tcPr>
          <w:p>
            <w:pPr>
              <w:spacing w:after="0"/>
              <w:rPr>
                <w:sz w:val="22"/>
                <w:szCs w:val="22"/>
                <w:color w:val="auto"/>
              </w:rPr>
            </w:pPr>
          </w:p>
        </w:tc>
        <w:tc>
          <w:tcPr>
            <w:tcW w:w="100" w:type="dxa"/>
            <w:vAlign w:val="bottom"/>
            <w:tcBorders>
              <w:top w:val="single" w:sz="8" w:color="0591DB"/>
              <w:bottom w:val="single" w:sz="8" w:color="0591DB"/>
            </w:tcBorders>
          </w:tcPr>
          <w:p>
            <w:pPr>
              <w:spacing w:after="0"/>
              <w:rPr>
                <w:sz w:val="22"/>
                <w:szCs w:val="22"/>
                <w:color w:val="auto"/>
              </w:rPr>
            </w:pPr>
          </w:p>
        </w:tc>
        <w:tc>
          <w:tcPr>
            <w:tcW w:w="720" w:type="dxa"/>
            <w:vAlign w:val="bottom"/>
            <w:tcBorders>
              <w:top w:val="single" w:sz="8" w:color="0591DB"/>
              <w:bottom w:val="single" w:sz="8" w:color="0591DB"/>
            </w:tcBorders>
          </w:tcPr>
          <w:p>
            <w:pPr>
              <w:jc w:val="right"/>
              <w:ind w:right="73"/>
              <w:spacing w:after="0" w:line="254" w:lineRule="exact"/>
              <w:rPr>
                <w:sz w:val="20"/>
                <w:szCs w:val="20"/>
                <w:color w:val="auto"/>
              </w:rPr>
            </w:pPr>
            <w:r>
              <w:rPr>
                <w:rFonts w:ascii="Calibri" w:cs="Calibri" w:eastAsia="Calibri" w:hAnsi="Calibri"/>
                <w:sz w:val="21"/>
                <w:szCs w:val="21"/>
                <w:b w:val="1"/>
                <w:bCs w:val="1"/>
                <w:color w:val="0591DB"/>
              </w:rPr>
              <w:t>2021</w:t>
            </w:r>
          </w:p>
        </w:tc>
        <w:tc>
          <w:tcPr>
            <w:tcW w:w="100" w:type="dxa"/>
            <w:vAlign w:val="bottom"/>
            <w:tcBorders>
              <w:top w:val="single" w:sz="8" w:color="0591DB"/>
              <w:bottom w:val="single" w:sz="8" w:color="0591DB"/>
            </w:tcBorders>
          </w:tcPr>
          <w:p>
            <w:pPr>
              <w:spacing w:after="0"/>
              <w:rPr>
                <w:sz w:val="22"/>
                <w:szCs w:val="22"/>
                <w:color w:val="auto"/>
              </w:rPr>
            </w:pPr>
          </w:p>
        </w:tc>
        <w:tc>
          <w:tcPr>
            <w:tcW w:w="20" w:type="dxa"/>
            <w:vAlign w:val="bottom"/>
            <w:tcBorders>
              <w:top w:val="single" w:sz="8" w:color="0591DB"/>
              <w:bottom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line="197" w:lineRule="exact"/>
              <w:rPr>
                <w:sz w:val="20"/>
                <w:szCs w:val="20"/>
                <w:color w:val="auto"/>
              </w:rPr>
            </w:pPr>
            <w:r>
              <w:rPr>
                <w:rFonts w:ascii="Calibri" w:cs="Calibri" w:eastAsia="Calibri" w:hAnsi="Calibri"/>
                <w:sz w:val="17"/>
                <w:szCs w:val="17"/>
                <w:b w:val="1"/>
                <w:bCs w:val="1"/>
                <w:color w:val="333333"/>
              </w:rPr>
              <w:t>Net income</w:t>
            </w:r>
          </w:p>
        </w:tc>
        <w:tc>
          <w:tcPr>
            <w:tcW w:w="198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$ 270,871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w w:val="96"/>
              </w:rPr>
              <w:t>$ 280,088</w:t>
            </w:r>
          </w:p>
        </w:tc>
        <w:tc>
          <w:tcPr>
            <w:tcW w:w="100" w:type="dxa"/>
            <w:vAlign w:val="bottom"/>
          </w:tcPr>
          <w:p>
            <w:pPr>
              <w:spacing w:after="0"/>
              <w:rPr>
                <w:sz w:val="17"/>
                <w:szCs w:val="17"/>
                <w:color w:val="auto"/>
              </w:rPr>
            </w:pPr>
          </w:p>
        </w:tc>
        <w:tc>
          <w:tcPr>
            <w:tcW w:w="90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$ 274,892</w:t>
            </w:r>
          </w:p>
        </w:tc>
        <w:tc>
          <w:tcPr>
            <w:tcW w:w="98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$ 235,514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rPr>
              <w:t>$ 234,966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Add back:</w:t>
            </w:r>
          </w:p>
        </w:tc>
        <w:tc>
          <w:tcPr>
            <w:tcW w:w="1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6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spacing w:after="0"/>
              <w:rPr>
                <w:sz w:val="20"/>
                <w:szCs w:val="20"/>
                <w:color w:val="auto"/>
              </w:rPr>
            </w:pPr>
          </w:p>
        </w:tc>
        <w:tc>
          <w:tcPr>
            <w:tcW w:w="6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2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72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Income tax provision</w:t>
            </w:r>
          </w:p>
        </w:tc>
        <w:tc>
          <w:tcPr>
            <w:tcW w:w="1980" w:type="dxa"/>
            <w:vAlign w:val="bottom"/>
            <w:gridSpan w:val="3"/>
          </w:tcPr>
          <w:p>
            <w:pPr>
              <w:jc w:val="right"/>
              <w:spacing w:after="0" w:line="203" w:lineRule="exact"/>
              <w:rPr>
                <w:sz w:val="20"/>
                <w:szCs w:val="20"/>
                <w:color w:val="auto"/>
              </w:rPr>
            </w:pPr>
            <w:r>
              <w:rPr>
                <w:rFonts w:ascii="Calibri" w:cs="Calibri" w:eastAsia="Calibri" w:hAnsi="Calibri"/>
                <w:sz w:val="17"/>
                <w:szCs w:val="17"/>
                <w:color w:val="333333"/>
              </w:rPr>
              <w:t>100,140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70,683</w:t>
            </w:r>
          </w:p>
        </w:tc>
        <w:tc>
          <w:tcPr>
            <w:tcW w:w="10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alibri" w:cs="Calibri" w:eastAsia="Calibri" w:hAnsi="Calibri"/>
                <w:sz w:val="17"/>
                <w:szCs w:val="17"/>
                <w:color w:val="333333"/>
              </w:rPr>
              <w:t>83,471</w:t>
            </w:r>
          </w:p>
        </w:tc>
        <w:tc>
          <w:tcPr>
            <w:tcW w:w="980" w:type="dxa"/>
            <w:vAlign w:val="bottom"/>
            <w:gridSpan w:val="3"/>
          </w:tcPr>
          <w:p>
            <w:pPr>
              <w:jc w:val="right"/>
              <w:spacing w:after="0" w:line="203" w:lineRule="exact"/>
              <w:rPr>
                <w:sz w:val="20"/>
                <w:szCs w:val="20"/>
                <w:color w:val="auto"/>
              </w:rPr>
            </w:pPr>
            <w:r>
              <w:rPr>
                <w:rFonts w:ascii="Calibri" w:cs="Calibri" w:eastAsia="Calibri" w:hAnsi="Calibri"/>
                <w:sz w:val="17"/>
                <w:szCs w:val="17"/>
                <w:color w:val="333333"/>
              </w:rPr>
              <w:t>62,235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alibri" w:cs="Calibri" w:eastAsia="Calibri" w:hAnsi="Calibri"/>
                <w:sz w:val="17"/>
                <w:szCs w:val="17"/>
                <w:color w:val="333333"/>
              </w:rPr>
              <w:t>62,981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Interest income and other</w:t>
            </w:r>
          </w:p>
        </w:tc>
        <w:tc>
          <w:tcPr>
            <w:tcW w:w="2100" w:type="dxa"/>
            <w:vAlign w:val="bottom"/>
            <w:tcBorders>
              <w:bottom w:val="single" w:sz="8" w:color="EFF2EF"/>
              <w:right w:val="single" w:sz="8" w:color="EFF2EF"/>
            </w:tcBorders>
            <w:gridSpan w:val="4"/>
            <w:shd w:val="clear" w:color="auto" w:fill="EFF2EF"/>
          </w:tcPr>
          <w:p>
            <w:pPr>
              <w:jc w:val="right"/>
              <w:ind w:right="60"/>
              <w:spacing w:after="0" w:line="203" w:lineRule="exact"/>
              <w:rPr>
                <w:sz w:val="20"/>
                <w:szCs w:val="20"/>
                <w:color w:val="auto"/>
              </w:rPr>
            </w:pPr>
            <w:r>
              <w:rPr>
                <w:rFonts w:ascii="Calibri" w:cs="Calibri" w:eastAsia="Calibri" w:hAnsi="Calibri"/>
                <w:sz w:val="17"/>
                <w:szCs w:val="17"/>
                <w:color w:val="333333"/>
              </w:rPr>
              <w:t>(3,330)</w:t>
            </w:r>
          </w:p>
        </w:tc>
        <w:tc>
          <w:tcPr>
            <w:tcW w:w="200" w:type="dxa"/>
            <w:vAlign w:val="bottom"/>
            <w:tcBorders>
              <w:bottom w:val="single" w:sz="8" w:color="EFF2EF"/>
            </w:tcBorders>
            <w:shd w:val="clear" w:color="auto" w:fill="EFF2EF"/>
          </w:tcPr>
          <w:p>
            <w:pPr>
              <w:spacing w:after="0"/>
              <w:rPr>
                <w:sz w:val="20"/>
                <w:szCs w:val="20"/>
                <w:color w:val="auto"/>
              </w:rPr>
            </w:pPr>
          </w:p>
        </w:tc>
        <w:tc>
          <w:tcPr>
            <w:tcW w:w="800" w:type="dxa"/>
            <w:vAlign w:val="bottom"/>
            <w:tcBorders>
              <w:bottom w:val="single" w:sz="8" w:color="EFF2EF"/>
              <w:right w:val="single" w:sz="8" w:color="EFF2EF"/>
            </w:tcBorders>
            <w:gridSpan w:val="2"/>
            <w:shd w:val="clear" w:color="auto" w:fill="EFF2EF"/>
          </w:tcPr>
          <w:p>
            <w:pPr>
              <w:jc w:val="right"/>
              <w:ind w:right="60"/>
              <w:spacing w:after="0" w:line="203" w:lineRule="exact"/>
              <w:rPr>
                <w:sz w:val="20"/>
                <w:szCs w:val="20"/>
                <w:color w:val="auto"/>
              </w:rPr>
            </w:pPr>
            <w:r>
              <w:rPr>
                <w:rFonts w:ascii="Calibri" w:cs="Calibri" w:eastAsia="Calibri" w:hAnsi="Calibri"/>
                <w:sz w:val="17"/>
                <w:szCs w:val="17"/>
                <w:color w:val="333333"/>
              </w:rPr>
              <w:t>(10,360)</w:t>
            </w:r>
          </w:p>
        </w:tc>
        <w:tc>
          <w:tcPr>
            <w:tcW w:w="9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4,867</w:t>
            </w:r>
          </w:p>
        </w:tc>
        <w:tc>
          <w:tcPr>
            <w:tcW w:w="1080" w:type="dxa"/>
            <w:vAlign w:val="bottom"/>
            <w:tcBorders>
              <w:bottom w:val="single" w:sz="8" w:color="EFF2EF"/>
              <w:right w:val="single" w:sz="8" w:color="EFF2EF"/>
            </w:tcBorders>
            <w:gridSpan w:val="4"/>
            <w:shd w:val="clear" w:color="auto" w:fill="EFF2EF"/>
          </w:tcPr>
          <w:p>
            <w:pPr>
              <w:jc w:val="right"/>
              <w:ind w:right="60"/>
              <w:spacing w:after="0" w:line="203" w:lineRule="exact"/>
              <w:rPr>
                <w:sz w:val="20"/>
                <w:szCs w:val="20"/>
                <w:color w:val="auto"/>
              </w:rPr>
            </w:pPr>
            <w:r>
              <w:rPr>
                <w:rFonts w:ascii="Calibri" w:cs="Calibri" w:eastAsia="Calibri" w:hAnsi="Calibri"/>
                <w:sz w:val="17"/>
                <w:szCs w:val="17"/>
                <w:color w:val="333333"/>
              </w:rPr>
              <w:t>(3,918)</w:t>
            </w:r>
          </w:p>
        </w:tc>
        <w:tc>
          <w:tcPr>
            <w:tcW w:w="100" w:type="dxa"/>
            <w:vAlign w:val="bottom"/>
            <w:tcBorders>
              <w:bottom w:val="single" w:sz="8" w:color="EFF2EF"/>
            </w:tcBorders>
            <w:shd w:val="clear" w:color="auto" w:fill="EFF2EF"/>
          </w:tcPr>
          <w:p>
            <w:pPr>
              <w:spacing w:after="0"/>
              <w:rPr>
                <w:sz w:val="20"/>
                <w:szCs w:val="20"/>
                <w:color w:val="auto"/>
              </w:rPr>
            </w:pPr>
          </w:p>
        </w:tc>
        <w:tc>
          <w:tcPr>
            <w:tcW w:w="820" w:type="dxa"/>
            <w:vAlign w:val="bottom"/>
            <w:tcBorders>
              <w:bottom w:val="single" w:sz="8" w:color="EFF2EF"/>
            </w:tcBorders>
            <w:gridSpan w:val="2"/>
            <w:shd w:val="clear" w:color="auto" w:fill="EFF2EF"/>
          </w:tcPr>
          <w:p>
            <w:pPr>
              <w:jc w:val="right"/>
              <w:ind w:right="60"/>
              <w:spacing w:after="0" w:line="203" w:lineRule="exact"/>
              <w:rPr>
                <w:sz w:val="20"/>
                <w:szCs w:val="20"/>
                <w:color w:val="auto"/>
              </w:rPr>
            </w:pPr>
            <w:r>
              <w:rPr>
                <w:rFonts w:ascii="Calibri" w:cs="Calibri" w:eastAsia="Calibri" w:hAnsi="Calibri"/>
                <w:sz w:val="17"/>
                <w:szCs w:val="17"/>
                <w:color w:val="333333"/>
              </w:rPr>
              <w:t>(6,193)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Interest expense</w:t>
            </w:r>
          </w:p>
        </w:tc>
        <w:tc>
          <w:tcPr>
            <w:tcW w:w="1980" w:type="dxa"/>
            <w:vAlign w:val="bottom"/>
            <w:gridSpan w:val="3"/>
          </w:tcPr>
          <w:p>
            <w:pPr>
              <w:jc w:val="right"/>
              <w:spacing w:after="0" w:line="203" w:lineRule="exact"/>
              <w:rPr>
                <w:sz w:val="20"/>
                <w:szCs w:val="20"/>
                <w:color w:val="auto"/>
              </w:rPr>
            </w:pPr>
            <w:r>
              <w:rPr>
                <w:rFonts w:ascii="Calibri" w:cs="Calibri" w:eastAsia="Calibri" w:hAnsi="Calibri"/>
                <w:sz w:val="17"/>
                <w:szCs w:val="17"/>
                <w:color w:val="333333"/>
              </w:rPr>
              <w:t>21,396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6,951</w:t>
            </w:r>
          </w:p>
        </w:tc>
        <w:tc>
          <w:tcPr>
            <w:tcW w:w="10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alibri" w:cs="Calibri" w:eastAsia="Calibri" w:hAnsi="Calibri"/>
                <w:sz w:val="17"/>
                <w:szCs w:val="17"/>
                <w:color w:val="333333"/>
              </w:rPr>
              <w:t>14,331</w:t>
            </w:r>
          </w:p>
        </w:tc>
        <w:tc>
          <w:tcPr>
            <w:tcW w:w="980" w:type="dxa"/>
            <w:vAlign w:val="bottom"/>
            <w:gridSpan w:val="3"/>
          </w:tcPr>
          <w:p>
            <w:pPr>
              <w:jc w:val="right"/>
              <w:spacing w:after="0" w:line="203" w:lineRule="exact"/>
              <w:rPr>
                <w:sz w:val="20"/>
                <w:szCs w:val="20"/>
                <w:color w:val="auto"/>
              </w:rPr>
            </w:pPr>
            <w:r>
              <w:rPr>
                <w:rFonts w:ascii="Calibri" w:cs="Calibri" w:eastAsia="Calibri" w:hAnsi="Calibri"/>
                <w:sz w:val="17"/>
                <w:szCs w:val="17"/>
                <w:color w:val="333333"/>
              </w:rPr>
              <w:t>10,047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alibri" w:cs="Calibri" w:eastAsia="Calibri" w:hAnsi="Calibri"/>
                <w:sz w:val="17"/>
                <w:szCs w:val="17"/>
                <w:color w:val="333333"/>
              </w:rPr>
              <w:t>20,294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Depreciaton of property and equipment</w:t>
            </w:r>
          </w:p>
        </w:tc>
        <w:tc>
          <w:tcPr>
            <w:tcW w:w="1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45,764</w:t>
            </w: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43,910</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9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41,079</w:t>
            </w:r>
          </w:p>
        </w:tc>
        <w:tc>
          <w:tcPr>
            <w:tcW w:w="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35,697</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72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34,269</w:t>
            </w:r>
          </w:p>
        </w:tc>
        <w:tc>
          <w:tcPr>
            <w:tcW w:w="1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Amortzaton of intangible assets</w:t>
            </w:r>
          </w:p>
        </w:tc>
        <w:tc>
          <w:tcPr>
            <w:tcW w:w="1980" w:type="dxa"/>
            <w:vAlign w:val="bottom"/>
            <w:gridSpan w:val="3"/>
          </w:tcPr>
          <w:p>
            <w:pPr>
              <w:jc w:val="right"/>
              <w:spacing w:after="0" w:line="203" w:lineRule="exact"/>
              <w:rPr>
                <w:sz w:val="20"/>
                <w:szCs w:val="20"/>
                <w:color w:val="auto"/>
              </w:rPr>
            </w:pPr>
            <w:r>
              <w:rPr>
                <w:rFonts w:ascii="Calibri" w:cs="Calibri" w:eastAsia="Calibri" w:hAnsi="Calibri"/>
                <w:sz w:val="17"/>
                <w:szCs w:val="17"/>
                <w:color w:val="333333"/>
              </w:rPr>
              <w:t>3,479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4,183</w:t>
            </w:r>
          </w:p>
        </w:tc>
        <w:tc>
          <w:tcPr>
            <w:tcW w:w="10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alibri" w:cs="Calibri" w:eastAsia="Calibri" w:hAnsi="Calibri"/>
                <w:sz w:val="17"/>
                <w:szCs w:val="17"/>
                <w:color w:val="333333"/>
              </w:rPr>
              <w:t>6,159</w:t>
            </w:r>
          </w:p>
        </w:tc>
        <w:tc>
          <w:tcPr>
            <w:tcW w:w="980" w:type="dxa"/>
            <w:vAlign w:val="bottom"/>
            <w:gridSpan w:val="3"/>
          </w:tcPr>
          <w:p>
            <w:pPr>
              <w:jc w:val="right"/>
              <w:spacing w:after="0" w:line="203" w:lineRule="exact"/>
              <w:rPr>
                <w:sz w:val="20"/>
                <w:szCs w:val="20"/>
                <w:color w:val="auto"/>
              </w:rPr>
            </w:pPr>
            <w:r>
              <w:rPr>
                <w:rFonts w:ascii="Calibri" w:cs="Calibri" w:eastAsia="Calibri" w:hAnsi="Calibri"/>
                <w:sz w:val="17"/>
                <w:szCs w:val="17"/>
                <w:color w:val="333333"/>
              </w:rPr>
              <w:t>9,643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alibri" w:cs="Calibri" w:eastAsia="Calibri" w:hAnsi="Calibri"/>
                <w:sz w:val="17"/>
                <w:szCs w:val="17"/>
                <w:color w:val="333333"/>
              </w:rPr>
              <w:t>10,823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Special charges</w:t>
            </w:r>
          </w:p>
        </w:tc>
        <w:tc>
          <w:tcPr>
            <w:tcW w:w="1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25,295</w:t>
            </w: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8,230</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w:t>
            </w:r>
          </w:p>
        </w:tc>
        <w:tc>
          <w:tcPr>
            <w:tcW w:w="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8,340</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820" w:type="dxa"/>
            <w:vAlign w:val="bottom"/>
            <w:tcBorders>
              <w:bottom w:val="single" w:sz="8" w:color="EFF2EF"/>
            </w:tcBorders>
            <w:gridSpan w:val="2"/>
            <w:shd w:val="clear" w:color="auto" w:fill="EFF2EF"/>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Remeasurement of acquisiton-related contngent consideraton</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320"/>
              <w:spacing w:after="0" w:line="203" w:lineRule="exact"/>
              <w:rPr>
                <w:sz w:val="20"/>
                <w:szCs w:val="20"/>
                <w:color w:val="auto"/>
              </w:rPr>
            </w:pPr>
            <w:r>
              <w:rPr>
                <w:rFonts w:ascii="Calibri" w:cs="Calibri" w:eastAsia="Calibri" w:hAnsi="Calibri"/>
                <w:sz w:val="17"/>
                <w:szCs w:val="17"/>
                <w:color w:val="333333"/>
              </w:rPr>
              <w:t>—</w:t>
            </w:r>
          </w:p>
        </w:tc>
        <w:tc>
          <w:tcPr>
            <w:tcW w:w="800" w:type="dxa"/>
            <w:vAlign w:val="bottom"/>
            <w:gridSpan w:val="2"/>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220"/>
              <w:spacing w:after="0" w:line="203" w:lineRule="exact"/>
              <w:rPr>
                <w:sz w:val="20"/>
                <w:szCs w:val="20"/>
                <w:color w:val="auto"/>
              </w:rPr>
            </w:pPr>
            <w:r>
              <w:rPr>
                <w:rFonts w:ascii="Calibri" w:cs="Calibri" w:eastAsia="Calibri" w:hAnsi="Calibri"/>
                <w:sz w:val="17"/>
                <w:szCs w:val="17"/>
                <w:color w:val="333333"/>
              </w:rPr>
              <w:t>—</w:t>
            </w:r>
          </w:p>
        </w:tc>
        <w:tc>
          <w:tcPr>
            <w:tcW w:w="820" w:type="dxa"/>
            <w:vAlign w:val="bottom"/>
            <w:gridSpan w:val="2"/>
          </w:tcPr>
          <w:p>
            <w:pPr>
              <w:jc w:val="right"/>
              <w:ind w:right="60"/>
              <w:spacing w:after="0" w:line="203" w:lineRule="exact"/>
              <w:rPr>
                <w:sz w:val="20"/>
                <w:szCs w:val="20"/>
                <w:color w:val="auto"/>
              </w:rPr>
            </w:pPr>
            <w:r>
              <w:rPr>
                <w:rFonts w:ascii="Calibri" w:cs="Calibri" w:eastAsia="Calibri" w:hAnsi="Calibri"/>
                <w:sz w:val="17"/>
                <w:szCs w:val="17"/>
                <w:color w:val="333333"/>
              </w:rPr>
              <w:t>(3,130)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bottom w:val="single" w:sz="8" w:color="333333"/>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333333"/>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Borders>
              <w:lef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Adjusted EBITDA</w:t>
            </w:r>
          </w:p>
        </w:tc>
        <w:tc>
          <w:tcPr>
            <w:tcW w:w="1980" w:type="dxa"/>
            <w:vAlign w:val="bottom"/>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$ 463,615</w:t>
            </w:r>
          </w:p>
        </w:tc>
        <w:tc>
          <w:tcPr>
            <w:tcW w:w="120" w:type="dxa"/>
            <w:vAlign w:val="bottom"/>
            <w:tcBorders>
              <w:right w:val="single" w:sz="8" w:color="EFF2EF"/>
            </w:tcBorders>
            <w:shd w:val="clear" w:color="auto" w:fill="EFF2EF"/>
          </w:tcPr>
          <w:p>
            <w:pPr>
              <w:spacing w:after="0"/>
              <w:rPr>
                <w:sz w:val="17"/>
                <w:szCs w:val="17"/>
                <w:color w:val="auto"/>
              </w:rPr>
            </w:pPr>
          </w:p>
        </w:tc>
        <w:tc>
          <w:tcPr>
            <w:tcW w:w="200" w:type="dxa"/>
            <w:vAlign w:val="bottom"/>
            <w:shd w:val="clear" w:color="auto" w:fill="EFF2EF"/>
          </w:tcPr>
          <w:p>
            <w:pPr>
              <w:spacing w:after="0"/>
              <w:rPr>
                <w:sz w:val="17"/>
                <w:szCs w:val="17"/>
                <w:color w:val="auto"/>
              </w:rPr>
            </w:pPr>
          </w:p>
        </w:tc>
        <w:tc>
          <w:tcPr>
            <w:tcW w:w="700" w:type="dxa"/>
            <w:vAlign w:val="bottom"/>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w w:val="96"/>
              </w:rPr>
              <w:t>$ 403,685</w:t>
            </w:r>
          </w:p>
        </w:tc>
        <w:tc>
          <w:tcPr>
            <w:tcW w:w="100" w:type="dxa"/>
            <w:vAlign w:val="bottom"/>
            <w:tcBorders>
              <w:right w:val="single" w:sz="8" w:color="EFF2EF"/>
            </w:tcBorders>
            <w:shd w:val="clear" w:color="auto" w:fill="EFF2EF"/>
          </w:tcPr>
          <w:p>
            <w:pPr>
              <w:spacing w:after="0"/>
              <w:rPr>
                <w:sz w:val="17"/>
                <w:szCs w:val="17"/>
                <w:color w:val="auto"/>
              </w:rPr>
            </w:pPr>
          </w:p>
        </w:tc>
        <w:tc>
          <w:tcPr>
            <w:tcW w:w="900" w:type="dxa"/>
            <w:vAlign w:val="bottom"/>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$ 424,799</w:t>
            </w:r>
          </w:p>
        </w:tc>
        <w:tc>
          <w:tcPr>
            <w:tcW w:w="980" w:type="dxa"/>
            <w:vAlign w:val="bottom"/>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$ 357,558</w:t>
            </w:r>
          </w:p>
        </w:tc>
        <w:tc>
          <w:tcPr>
            <w:tcW w:w="100" w:type="dxa"/>
            <w:vAlign w:val="bottom"/>
            <w:tcBorders>
              <w:right w:val="single" w:sz="8" w:color="EFF2EF"/>
            </w:tcBorders>
            <w:shd w:val="clear" w:color="auto" w:fill="EFF2EF"/>
          </w:tcPr>
          <w:p>
            <w:pPr>
              <w:spacing w:after="0"/>
              <w:rPr>
                <w:sz w:val="17"/>
                <w:szCs w:val="17"/>
                <w:color w:val="auto"/>
              </w:rPr>
            </w:pPr>
          </w:p>
        </w:tc>
        <w:tc>
          <w:tcPr>
            <w:tcW w:w="100" w:type="dxa"/>
            <w:vAlign w:val="bottom"/>
            <w:shd w:val="clear" w:color="auto" w:fill="EFF2EF"/>
          </w:tcPr>
          <w:p>
            <w:pPr>
              <w:spacing w:after="0"/>
              <w:rPr>
                <w:sz w:val="17"/>
                <w:szCs w:val="17"/>
                <w:color w:val="auto"/>
              </w:rPr>
            </w:pPr>
          </w:p>
        </w:tc>
        <w:tc>
          <w:tcPr>
            <w:tcW w:w="720" w:type="dxa"/>
            <w:vAlign w:val="bottom"/>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$ 354,010</w:t>
            </w:r>
          </w:p>
        </w:tc>
        <w:tc>
          <w:tcPr>
            <w:tcW w:w="10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000" w:type="dxa"/>
            <w:vAlign w:val="bottom"/>
            <w:tcBorders>
              <w:left w:val="single" w:sz="8" w:color="EFF2EF"/>
              <w:right w:val="single" w:sz="8" w:color="EFF2EF"/>
            </w:tcBorders>
            <w:gridSpan w:val="2"/>
            <w:shd w:val="clear" w:color="auto" w:fill="EFF2EF"/>
          </w:tcPr>
          <w:p>
            <w:pPr>
              <w:spacing w:after="0"/>
              <w:rPr>
                <w:sz w:val="5"/>
                <w:szCs w:val="5"/>
                <w:color w:val="auto"/>
              </w:rPr>
            </w:pPr>
          </w:p>
        </w:tc>
        <w:tc>
          <w:tcPr>
            <w:tcW w:w="200" w:type="dxa"/>
            <w:vAlign w:val="bottom"/>
            <w:shd w:val="clear" w:color="auto" w:fill="EFF2EF"/>
          </w:tcPr>
          <w:p>
            <w:pPr>
              <w:spacing w:after="0"/>
              <w:rPr>
                <w:sz w:val="5"/>
                <w:szCs w:val="5"/>
                <w:color w:val="auto"/>
              </w:rPr>
            </w:pPr>
          </w:p>
        </w:tc>
        <w:tc>
          <w:tcPr>
            <w:tcW w:w="680" w:type="dxa"/>
            <w:vAlign w:val="bottom"/>
            <w:tcBorders>
              <w:bottom w:val="single" w:sz="8" w:color="333333"/>
            </w:tcBorders>
            <w:shd w:val="clear" w:color="auto" w:fill="EFF2EF"/>
          </w:tcPr>
          <w:p>
            <w:pPr>
              <w:spacing w:after="0"/>
              <w:rPr>
                <w:sz w:val="5"/>
                <w:szCs w:val="5"/>
                <w:color w:val="auto"/>
              </w:rPr>
            </w:pPr>
          </w:p>
        </w:tc>
        <w:tc>
          <w:tcPr>
            <w:tcW w:w="120" w:type="dxa"/>
            <w:vAlign w:val="bottom"/>
            <w:tcBorders>
              <w:right w:val="single" w:sz="8" w:color="EFF2EF"/>
            </w:tcBorders>
            <w:shd w:val="clear" w:color="auto" w:fill="EFF2EF"/>
          </w:tcPr>
          <w:p>
            <w:pPr>
              <w:spacing w:after="0"/>
              <w:rPr>
                <w:sz w:val="5"/>
                <w:szCs w:val="5"/>
                <w:color w:val="auto"/>
              </w:rPr>
            </w:pPr>
          </w:p>
        </w:tc>
        <w:tc>
          <w:tcPr>
            <w:tcW w:w="200" w:type="dxa"/>
            <w:vAlign w:val="bottom"/>
            <w:shd w:val="clear" w:color="auto" w:fill="EFF2EF"/>
          </w:tcPr>
          <w:p>
            <w:pPr>
              <w:spacing w:after="0"/>
              <w:rPr>
                <w:sz w:val="5"/>
                <w:szCs w:val="5"/>
                <w:color w:val="auto"/>
              </w:rPr>
            </w:pPr>
          </w:p>
        </w:tc>
        <w:tc>
          <w:tcPr>
            <w:tcW w:w="700" w:type="dxa"/>
            <w:vAlign w:val="bottom"/>
            <w:tcBorders>
              <w:bottom w:val="single" w:sz="8" w:color="333333"/>
            </w:tcBorders>
            <w:shd w:val="clear" w:color="auto" w:fill="EFF2EF"/>
          </w:tcPr>
          <w:p>
            <w:pPr>
              <w:spacing w:after="0"/>
              <w:rPr>
                <w:sz w:val="5"/>
                <w:szCs w:val="5"/>
                <w:color w:val="auto"/>
              </w:rPr>
            </w:pPr>
          </w:p>
        </w:tc>
        <w:tc>
          <w:tcPr>
            <w:tcW w:w="100" w:type="dxa"/>
            <w:vAlign w:val="bottom"/>
            <w:tcBorders>
              <w:right w:val="single" w:sz="8" w:color="EFF2EF"/>
            </w:tcBorders>
            <w:shd w:val="clear" w:color="auto" w:fill="EFF2EF"/>
          </w:tcPr>
          <w:p>
            <w:pPr>
              <w:spacing w:after="0"/>
              <w:rPr>
                <w:sz w:val="5"/>
                <w:szCs w:val="5"/>
                <w:color w:val="auto"/>
              </w:rPr>
            </w:pPr>
          </w:p>
        </w:tc>
        <w:tc>
          <w:tcPr>
            <w:tcW w:w="200" w:type="dxa"/>
            <w:vAlign w:val="bottom"/>
            <w:shd w:val="clear" w:color="auto" w:fill="EFF2EF"/>
          </w:tcPr>
          <w:p>
            <w:pPr>
              <w:spacing w:after="0"/>
              <w:rPr>
                <w:sz w:val="5"/>
                <w:szCs w:val="5"/>
                <w:color w:val="auto"/>
              </w:rPr>
            </w:pPr>
          </w:p>
        </w:tc>
        <w:tc>
          <w:tcPr>
            <w:tcW w:w="700" w:type="dxa"/>
            <w:vAlign w:val="bottom"/>
            <w:tcBorders>
              <w:bottom w:val="single" w:sz="8" w:color="333333"/>
            </w:tcBorders>
            <w:shd w:val="clear" w:color="auto" w:fill="EFF2EF"/>
          </w:tcPr>
          <w:p>
            <w:pPr>
              <w:spacing w:after="0"/>
              <w:rPr>
                <w:sz w:val="5"/>
                <w:szCs w:val="5"/>
                <w:color w:val="auto"/>
              </w:rPr>
            </w:pPr>
          </w:p>
        </w:tc>
        <w:tc>
          <w:tcPr>
            <w:tcW w:w="60" w:type="dxa"/>
            <w:vAlign w:val="bottom"/>
            <w:tcBorders>
              <w:right w:val="single" w:sz="8" w:color="EFF2EF"/>
            </w:tcBorders>
            <w:shd w:val="clear" w:color="auto" w:fill="EFF2EF"/>
          </w:tcPr>
          <w:p>
            <w:pPr>
              <w:spacing w:after="0"/>
              <w:rPr>
                <w:sz w:val="5"/>
                <w:szCs w:val="5"/>
                <w:color w:val="auto"/>
              </w:rPr>
            </w:pPr>
          </w:p>
        </w:tc>
        <w:tc>
          <w:tcPr>
            <w:tcW w:w="200" w:type="dxa"/>
            <w:vAlign w:val="bottom"/>
            <w:shd w:val="clear" w:color="auto" w:fill="EFF2EF"/>
          </w:tcPr>
          <w:p>
            <w:pPr>
              <w:spacing w:after="0"/>
              <w:rPr>
                <w:sz w:val="5"/>
                <w:szCs w:val="5"/>
                <w:color w:val="auto"/>
              </w:rPr>
            </w:pPr>
          </w:p>
        </w:tc>
        <w:tc>
          <w:tcPr>
            <w:tcW w:w="720" w:type="dxa"/>
            <w:vAlign w:val="bottom"/>
            <w:tcBorders>
              <w:bottom w:val="single" w:sz="8" w:color="333333"/>
            </w:tcBorders>
            <w:shd w:val="clear" w:color="auto" w:fill="EFF2EF"/>
          </w:tcPr>
          <w:p>
            <w:pPr>
              <w:spacing w:after="0"/>
              <w:rPr>
                <w:sz w:val="5"/>
                <w:szCs w:val="5"/>
                <w:color w:val="auto"/>
              </w:rPr>
            </w:pPr>
          </w:p>
        </w:tc>
        <w:tc>
          <w:tcPr>
            <w:tcW w:w="100" w:type="dxa"/>
            <w:vAlign w:val="bottom"/>
            <w:tcBorders>
              <w:right w:val="single" w:sz="8" w:color="EFF2EF"/>
            </w:tcBorders>
            <w:shd w:val="clear" w:color="auto" w:fill="EFF2EF"/>
          </w:tcPr>
          <w:p>
            <w:pPr>
              <w:spacing w:after="0"/>
              <w:rPr>
                <w:sz w:val="5"/>
                <w:szCs w:val="5"/>
                <w:color w:val="auto"/>
              </w:rPr>
            </w:pPr>
          </w:p>
        </w:tc>
        <w:tc>
          <w:tcPr>
            <w:tcW w:w="100" w:type="dxa"/>
            <w:vAlign w:val="bottom"/>
            <w:shd w:val="clear" w:color="auto" w:fill="EFF2EF"/>
          </w:tcPr>
          <w:p>
            <w:pPr>
              <w:spacing w:after="0"/>
              <w:rPr>
                <w:sz w:val="5"/>
                <w:szCs w:val="5"/>
                <w:color w:val="auto"/>
              </w:rPr>
            </w:pPr>
          </w:p>
        </w:tc>
        <w:tc>
          <w:tcPr>
            <w:tcW w:w="720" w:type="dxa"/>
            <w:vAlign w:val="bottom"/>
            <w:tcBorders>
              <w:bottom w:val="single" w:sz="8" w:color="333333"/>
            </w:tcBorders>
            <w:shd w:val="clear" w:color="auto" w:fill="EFF2EF"/>
          </w:tcPr>
          <w:p>
            <w:pPr>
              <w:spacing w:after="0"/>
              <w:rPr>
                <w:sz w:val="5"/>
                <w:szCs w:val="5"/>
                <w:color w:val="auto"/>
              </w:rPr>
            </w:pPr>
          </w:p>
        </w:tc>
        <w:tc>
          <w:tcPr>
            <w:tcW w:w="100" w:type="dxa"/>
            <w:vAlign w:val="bottom"/>
            <w:shd w:val="clear" w:color="auto" w:fill="EFF2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3333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0920" w:type="dxa"/>
            <w:vAlign w:val="bottom"/>
            <w:gridSpan w:val="18"/>
          </w:tcPr>
          <w:p>
            <w:pPr>
              <w:spacing w:after="0"/>
              <w:rPr>
                <w:sz w:val="20"/>
                <w:szCs w:val="20"/>
                <w:color w:val="auto"/>
              </w:rPr>
            </w:pPr>
            <w:r>
              <w:rPr>
                <w:rFonts w:ascii="Calibri" w:cs="Calibri" w:eastAsia="Calibri" w:hAnsi="Calibri"/>
                <w:sz w:val="17"/>
                <w:szCs w:val="17"/>
                <w:b w:val="1"/>
                <w:bCs w:val="1"/>
                <w:color w:val="0C3A68"/>
              </w:rPr>
              <w:t>RECONCILIATIONS OF NET INCOME AND EPS TO ADJUSTED NET INCOME AND ADJUSTED EPS, RESPECTIVELY, FOR THE YEARS PRESENTED IN THE PROXY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Calibri" w:cs="Calibri" w:eastAsia="Calibri" w:hAnsi="Calibri"/>
                <w:sz w:val="17"/>
                <w:szCs w:val="17"/>
                <w:b w:val="1"/>
                <w:bCs w:val="1"/>
                <w:color w:val="0C3A68"/>
              </w:rPr>
              <w:t>STATEMENT:</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00" w:type="dxa"/>
            <w:vAlign w:val="bottom"/>
            <w:tcBorders>
              <w:bottom w:val="single" w:sz="8" w:color="0591DB"/>
            </w:tcBorders>
          </w:tcPr>
          <w:p>
            <w:pPr>
              <w:spacing w:after="0"/>
              <w:rPr>
                <w:sz w:val="23"/>
                <w:szCs w:val="23"/>
                <w:color w:val="auto"/>
              </w:rPr>
            </w:pPr>
          </w:p>
        </w:tc>
        <w:tc>
          <w:tcPr>
            <w:tcW w:w="110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680" w:type="dxa"/>
            <w:vAlign w:val="bottom"/>
            <w:tcBorders>
              <w:bottom w:val="single" w:sz="8" w:color="0591DB"/>
            </w:tcBorders>
          </w:tcPr>
          <w:p>
            <w:pPr>
              <w:spacing w:after="0"/>
              <w:rPr>
                <w:sz w:val="23"/>
                <w:szCs w:val="23"/>
                <w:color w:val="auto"/>
              </w:rPr>
            </w:pPr>
          </w:p>
        </w:tc>
        <w:tc>
          <w:tcPr>
            <w:tcW w:w="12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70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700" w:type="dxa"/>
            <w:vAlign w:val="bottom"/>
            <w:tcBorders>
              <w:bottom w:val="single" w:sz="8" w:color="0591DB"/>
            </w:tcBorders>
          </w:tcPr>
          <w:p>
            <w:pPr>
              <w:spacing w:after="0"/>
              <w:rPr>
                <w:sz w:val="23"/>
                <w:szCs w:val="23"/>
                <w:color w:val="auto"/>
              </w:rPr>
            </w:pPr>
          </w:p>
        </w:tc>
        <w:tc>
          <w:tcPr>
            <w:tcW w:w="6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72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72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tcBorders>
              <w:left w:val="single" w:sz="8" w:color="0591DB"/>
            </w:tcBorders>
          </w:tcPr>
          <w:p>
            <w:pPr>
              <w:ind w:left="140"/>
              <w:spacing w:after="0" w:line="201" w:lineRule="exact"/>
              <w:rPr>
                <w:sz w:val="20"/>
                <w:szCs w:val="20"/>
                <w:color w:val="auto"/>
              </w:rPr>
            </w:pPr>
            <w:r>
              <w:rPr>
                <w:rFonts w:ascii="Calibri" w:cs="Calibri" w:eastAsia="Calibri" w:hAnsi="Calibri"/>
                <w:sz w:val="21"/>
                <w:szCs w:val="21"/>
                <w:b w:val="1"/>
                <w:bCs w:val="1"/>
                <w:color w:val="0591DB"/>
              </w:rPr>
              <w:t>(AMOUNTS IN THOUSANDS, EXCEPT PER</w:t>
            </w:r>
          </w:p>
        </w:tc>
        <w:tc>
          <w:tcPr>
            <w:tcW w:w="11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Borders>
              <w:right w:val="single" w:sz="8" w:color="0591DB"/>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0591DB"/>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591DB"/>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left w:val="single" w:sz="8" w:color="0591DB"/>
            </w:tcBorders>
          </w:tcPr>
          <w:p>
            <w:pPr>
              <w:ind w:left="140"/>
              <w:spacing w:after="0" w:line="244" w:lineRule="exact"/>
              <w:rPr>
                <w:sz w:val="20"/>
                <w:szCs w:val="20"/>
                <w:color w:val="auto"/>
              </w:rPr>
            </w:pPr>
            <w:r>
              <w:rPr>
                <w:rFonts w:ascii="Calibri" w:cs="Calibri" w:eastAsia="Calibri" w:hAnsi="Calibri"/>
                <w:sz w:val="21"/>
                <w:szCs w:val="21"/>
                <w:b w:val="1"/>
                <w:bCs w:val="1"/>
                <w:color w:val="0591DB"/>
              </w:rPr>
              <w:t>SHARE DATA)</w:t>
            </w:r>
          </w:p>
        </w:tc>
        <w:tc>
          <w:tcPr>
            <w:tcW w:w="1100" w:type="dxa"/>
            <w:vAlign w:val="bottom"/>
            <w:tcBorders>
              <w:right w:val="single" w:sz="8" w:color="0591DB"/>
            </w:tcBorders>
          </w:tcPr>
          <w:p>
            <w:pPr>
              <w:spacing w:after="0"/>
              <w:rPr>
                <w:sz w:val="21"/>
                <w:szCs w:val="21"/>
                <w:color w:val="auto"/>
              </w:rPr>
            </w:pPr>
          </w:p>
        </w:tc>
        <w:tc>
          <w:tcPr>
            <w:tcW w:w="880" w:type="dxa"/>
            <w:vAlign w:val="bottom"/>
            <w:gridSpan w:val="2"/>
          </w:tcPr>
          <w:p>
            <w:pPr>
              <w:jc w:val="right"/>
              <w:ind w:right="55"/>
              <w:spacing w:after="0" w:line="244" w:lineRule="exact"/>
              <w:rPr>
                <w:sz w:val="20"/>
                <w:szCs w:val="20"/>
                <w:color w:val="auto"/>
              </w:rPr>
            </w:pPr>
            <w:r>
              <w:rPr>
                <w:rFonts w:ascii="Calibri" w:cs="Calibri" w:eastAsia="Calibri" w:hAnsi="Calibri"/>
                <w:sz w:val="21"/>
                <w:szCs w:val="21"/>
                <w:b w:val="1"/>
                <w:bCs w:val="1"/>
                <w:color w:val="0591DB"/>
              </w:rPr>
              <w:t>2025</w:t>
            </w:r>
          </w:p>
        </w:tc>
        <w:tc>
          <w:tcPr>
            <w:tcW w:w="120" w:type="dxa"/>
            <w:vAlign w:val="bottom"/>
            <w:tcBorders>
              <w:right w:val="single" w:sz="8" w:color="0591DB"/>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73"/>
              <w:spacing w:after="0" w:line="244" w:lineRule="exact"/>
              <w:rPr>
                <w:sz w:val="20"/>
                <w:szCs w:val="20"/>
                <w:color w:val="auto"/>
              </w:rPr>
            </w:pPr>
            <w:r>
              <w:rPr>
                <w:rFonts w:ascii="Calibri" w:cs="Calibri" w:eastAsia="Calibri" w:hAnsi="Calibri"/>
                <w:sz w:val="21"/>
                <w:szCs w:val="21"/>
                <w:b w:val="1"/>
                <w:bCs w:val="1"/>
                <w:color w:val="0591DB"/>
              </w:rPr>
              <w:t>2024</w:t>
            </w:r>
          </w:p>
        </w:tc>
        <w:tc>
          <w:tcPr>
            <w:tcW w:w="100" w:type="dxa"/>
            <w:vAlign w:val="bottom"/>
            <w:tcBorders>
              <w:right w:val="single" w:sz="8" w:color="0591DB"/>
            </w:tcBorders>
          </w:tcPr>
          <w:p>
            <w:pPr>
              <w:spacing w:after="0"/>
              <w:rPr>
                <w:sz w:val="21"/>
                <w:szCs w:val="21"/>
                <w:color w:val="auto"/>
              </w:rPr>
            </w:pPr>
          </w:p>
        </w:tc>
        <w:tc>
          <w:tcPr>
            <w:tcW w:w="900" w:type="dxa"/>
            <w:vAlign w:val="bottom"/>
            <w:gridSpan w:val="2"/>
          </w:tcPr>
          <w:p>
            <w:pPr>
              <w:jc w:val="right"/>
              <w:ind w:right="55"/>
              <w:spacing w:after="0" w:line="244" w:lineRule="exact"/>
              <w:rPr>
                <w:sz w:val="20"/>
                <w:szCs w:val="20"/>
                <w:color w:val="auto"/>
              </w:rPr>
            </w:pPr>
            <w:r>
              <w:rPr>
                <w:rFonts w:ascii="Calibri" w:cs="Calibri" w:eastAsia="Calibri" w:hAnsi="Calibri"/>
                <w:sz w:val="21"/>
                <w:szCs w:val="21"/>
                <w:b w:val="1"/>
                <w:bCs w:val="1"/>
                <w:color w:val="0591DB"/>
              </w:rPr>
              <w:t>2023</w:t>
            </w:r>
          </w:p>
        </w:tc>
        <w:tc>
          <w:tcPr>
            <w:tcW w:w="60" w:type="dxa"/>
            <w:vAlign w:val="bottom"/>
            <w:tcBorders>
              <w:right w:val="single" w:sz="8" w:color="0591DB"/>
            </w:tcBorders>
          </w:tcPr>
          <w:p>
            <w:pPr>
              <w:spacing w:after="0"/>
              <w:rPr>
                <w:sz w:val="21"/>
                <w:szCs w:val="21"/>
                <w:color w:val="auto"/>
              </w:rPr>
            </w:pPr>
          </w:p>
        </w:tc>
        <w:tc>
          <w:tcPr>
            <w:tcW w:w="920" w:type="dxa"/>
            <w:vAlign w:val="bottom"/>
            <w:gridSpan w:val="2"/>
          </w:tcPr>
          <w:p>
            <w:pPr>
              <w:jc w:val="right"/>
              <w:ind w:right="75"/>
              <w:spacing w:after="0" w:line="244" w:lineRule="exact"/>
              <w:rPr>
                <w:sz w:val="20"/>
                <w:szCs w:val="20"/>
                <w:color w:val="auto"/>
              </w:rPr>
            </w:pPr>
            <w:r>
              <w:rPr>
                <w:rFonts w:ascii="Calibri" w:cs="Calibri" w:eastAsia="Calibri" w:hAnsi="Calibri"/>
                <w:sz w:val="21"/>
                <w:szCs w:val="21"/>
                <w:b w:val="1"/>
                <w:bCs w:val="1"/>
                <w:color w:val="0591DB"/>
              </w:rPr>
              <w:t>2022</w:t>
            </w:r>
          </w:p>
        </w:tc>
        <w:tc>
          <w:tcPr>
            <w:tcW w:w="100" w:type="dxa"/>
            <w:vAlign w:val="bottom"/>
            <w:tcBorders>
              <w:right w:val="single" w:sz="8" w:color="0591DB"/>
            </w:tcBorders>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73"/>
              <w:spacing w:after="0" w:line="244" w:lineRule="exact"/>
              <w:rPr>
                <w:sz w:val="20"/>
                <w:szCs w:val="20"/>
                <w:color w:val="auto"/>
              </w:rPr>
            </w:pPr>
            <w:r>
              <w:rPr>
                <w:rFonts w:ascii="Calibri" w:cs="Calibri" w:eastAsia="Calibri" w:hAnsi="Calibri"/>
                <w:sz w:val="21"/>
                <w:szCs w:val="21"/>
                <w:b w:val="1"/>
                <w:bCs w:val="1"/>
                <w:color w:val="0591DB"/>
              </w:rPr>
              <w:t>2021</w:t>
            </w:r>
          </w:p>
        </w:tc>
        <w:tc>
          <w:tcPr>
            <w:tcW w:w="100" w:type="dxa"/>
            <w:vAlign w:val="bottom"/>
          </w:tcPr>
          <w:p>
            <w:pPr>
              <w:spacing w:after="0"/>
              <w:rPr>
                <w:sz w:val="21"/>
                <w:szCs w:val="21"/>
                <w:color w:val="auto"/>
              </w:rPr>
            </w:pPr>
          </w:p>
        </w:tc>
        <w:tc>
          <w:tcPr>
            <w:tcW w:w="20" w:type="dxa"/>
            <w:vAlign w:val="bottom"/>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900" w:type="dxa"/>
            <w:vAlign w:val="bottom"/>
            <w:tcBorders>
              <w:left w:val="single" w:sz="8" w:color="0591DB"/>
              <w:bottom w:val="single" w:sz="8" w:color="0591DB"/>
            </w:tcBorders>
          </w:tcPr>
          <w:p>
            <w:pPr>
              <w:spacing w:after="0"/>
              <w:rPr>
                <w:sz w:val="2"/>
                <w:szCs w:val="2"/>
                <w:color w:val="auto"/>
              </w:rPr>
            </w:pPr>
          </w:p>
        </w:tc>
        <w:tc>
          <w:tcPr>
            <w:tcW w:w="1100" w:type="dxa"/>
            <w:vAlign w:val="bottom"/>
            <w:tcBorders>
              <w:bottom w:val="single" w:sz="8" w:color="0591DB"/>
              <w:right w:val="single" w:sz="8" w:color="0591DB"/>
            </w:tcBorders>
          </w:tcPr>
          <w:p>
            <w:pPr>
              <w:spacing w:after="0"/>
              <w:rPr>
                <w:sz w:val="2"/>
                <w:szCs w:val="2"/>
                <w:color w:val="auto"/>
              </w:rPr>
            </w:pPr>
          </w:p>
        </w:tc>
        <w:tc>
          <w:tcPr>
            <w:tcW w:w="880" w:type="dxa"/>
            <w:vAlign w:val="bottom"/>
            <w:tcBorders>
              <w:bottom w:val="single" w:sz="8" w:color="0591DB"/>
            </w:tcBorders>
            <w:gridSpan w:val="2"/>
          </w:tcPr>
          <w:p>
            <w:pPr>
              <w:spacing w:after="0"/>
              <w:rPr>
                <w:sz w:val="2"/>
                <w:szCs w:val="2"/>
                <w:color w:val="auto"/>
              </w:rPr>
            </w:pPr>
          </w:p>
        </w:tc>
        <w:tc>
          <w:tcPr>
            <w:tcW w:w="120" w:type="dxa"/>
            <w:vAlign w:val="bottom"/>
            <w:tcBorders>
              <w:bottom w:val="single" w:sz="8" w:color="0591DB"/>
              <w:right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700" w:type="dxa"/>
            <w:vAlign w:val="bottom"/>
            <w:tcBorders>
              <w:bottom w:val="single" w:sz="8" w:color="0591DB"/>
            </w:tcBorders>
          </w:tcPr>
          <w:p>
            <w:pPr>
              <w:spacing w:after="0"/>
              <w:rPr>
                <w:sz w:val="2"/>
                <w:szCs w:val="2"/>
                <w:color w:val="auto"/>
              </w:rPr>
            </w:pPr>
          </w:p>
        </w:tc>
        <w:tc>
          <w:tcPr>
            <w:tcW w:w="100" w:type="dxa"/>
            <w:vAlign w:val="bottom"/>
            <w:tcBorders>
              <w:bottom w:val="single" w:sz="8" w:color="0591DB"/>
              <w:right w:val="single" w:sz="8" w:color="0591DB"/>
            </w:tcBorders>
          </w:tcPr>
          <w:p>
            <w:pPr>
              <w:spacing w:after="0"/>
              <w:rPr>
                <w:sz w:val="2"/>
                <w:szCs w:val="2"/>
                <w:color w:val="auto"/>
              </w:rPr>
            </w:pPr>
          </w:p>
        </w:tc>
        <w:tc>
          <w:tcPr>
            <w:tcW w:w="900" w:type="dxa"/>
            <w:vAlign w:val="bottom"/>
            <w:tcBorders>
              <w:bottom w:val="single" w:sz="8" w:color="0591DB"/>
            </w:tcBorders>
            <w:gridSpan w:val="2"/>
          </w:tcPr>
          <w:p>
            <w:pPr>
              <w:spacing w:after="0"/>
              <w:rPr>
                <w:sz w:val="2"/>
                <w:szCs w:val="2"/>
                <w:color w:val="auto"/>
              </w:rPr>
            </w:pPr>
          </w:p>
        </w:tc>
        <w:tc>
          <w:tcPr>
            <w:tcW w:w="60" w:type="dxa"/>
            <w:vAlign w:val="bottom"/>
            <w:tcBorders>
              <w:bottom w:val="single" w:sz="8" w:color="0591DB"/>
              <w:right w:val="single" w:sz="8" w:color="0591DB"/>
            </w:tcBorders>
          </w:tcPr>
          <w:p>
            <w:pPr>
              <w:spacing w:after="0"/>
              <w:rPr>
                <w:sz w:val="2"/>
                <w:szCs w:val="2"/>
                <w:color w:val="auto"/>
              </w:rPr>
            </w:pPr>
          </w:p>
        </w:tc>
        <w:tc>
          <w:tcPr>
            <w:tcW w:w="920" w:type="dxa"/>
            <w:vAlign w:val="bottom"/>
            <w:tcBorders>
              <w:bottom w:val="single" w:sz="8" w:color="0591DB"/>
            </w:tcBorders>
            <w:gridSpan w:val="2"/>
          </w:tcPr>
          <w:p>
            <w:pPr>
              <w:spacing w:after="0"/>
              <w:rPr>
                <w:sz w:val="2"/>
                <w:szCs w:val="2"/>
                <w:color w:val="auto"/>
              </w:rPr>
            </w:pPr>
          </w:p>
        </w:tc>
        <w:tc>
          <w:tcPr>
            <w:tcW w:w="100" w:type="dxa"/>
            <w:vAlign w:val="bottom"/>
            <w:tcBorders>
              <w:bottom w:val="single" w:sz="8" w:color="0591DB"/>
              <w:right w:val="single" w:sz="8" w:color="0591DB"/>
            </w:tcBorders>
          </w:tcPr>
          <w:p>
            <w:pPr>
              <w:spacing w:after="0"/>
              <w:rPr>
                <w:sz w:val="2"/>
                <w:szCs w:val="2"/>
                <w:color w:val="auto"/>
              </w:rPr>
            </w:pPr>
          </w:p>
        </w:tc>
        <w:tc>
          <w:tcPr>
            <w:tcW w:w="100" w:type="dxa"/>
            <w:vAlign w:val="bottom"/>
            <w:tcBorders>
              <w:bottom w:val="single" w:sz="8" w:color="0591DB"/>
            </w:tcBorders>
          </w:tcPr>
          <w:p>
            <w:pPr>
              <w:spacing w:after="0"/>
              <w:rPr>
                <w:sz w:val="2"/>
                <w:szCs w:val="2"/>
                <w:color w:val="auto"/>
              </w:rPr>
            </w:pPr>
          </w:p>
        </w:tc>
        <w:tc>
          <w:tcPr>
            <w:tcW w:w="720" w:type="dxa"/>
            <w:vAlign w:val="bottom"/>
            <w:tcBorders>
              <w:bottom w:val="single" w:sz="8" w:color="0591DB"/>
            </w:tcBorders>
          </w:tcPr>
          <w:p>
            <w:pPr>
              <w:spacing w:after="0"/>
              <w:rPr>
                <w:sz w:val="2"/>
                <w:szCs w:val="2"/>
                <w:color w:val="auto"/>
              </w:rPr>
            </w:pPr>
          </w:p>
        </w:tc>
        <w:tc>
          <w:tcPr>
            <w:tcW w:w="10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tcPr>
          <w:p>
            <w:pPr>
              <w:spacing w:after="0" w:line="197" w:lineRule="exact"/>
              <w:rPr>
                <w:sz w:val="20"/>
                <w:szCs w:val="20"/>
                <w:color w:val="auto"/>
              </w:rPr>
            </w:pPr>
            <w:r>
              <w:rPr>
                <w:rFonts w:ascii="Calibri" w:cs="Calibri" w:eastAsia="Calibri" w:hAnsi="Calibri"/>
                <w:sz w:val="17"/>
                <w:szCs w:val="17"/>
                <w:b w:val="1"/>
                <w:bCs w:val="1"/>
                <w:color w:val="333333"/>
              </w:rPr>
              <w:t>Net income</w:t>
            </w:r>
          </w:p>
        </w:tc>
        <w:tc>
          <w:tcPr>
            <w:tcW w:w="198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$ 270,871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w w:val="96"/>
              </w:rPr>
              <w:t>$ 280,088</w:t>
            </w:r>
          </w:p>
        </w:tc>
        <w:tc>
          <w:tcPr>
            <w:tcW w:w="100" w:type="dxa"/>
            <w:vAlign w:val="bottom"/>
          </w:tcPr>
          <w:p>
            <w:pPr>
              <w:spacing w:after="0"/>
              <w:rPr>
                <w:sz w:val="17"/>
                <w:szCs w:val="17"/>
                <w:color w:val="auto"/>
              </w:rPr>
            </w:pPr>
          </w:p>
        </w:tc>
        <w:tc>
          <w:tcPr>
            <w:tcW w:w="90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$ 274,892</w:t>
            </w:r>
          </w:p>
        </w:tc>
        <w:tc>
          <w:tcPr>
            <w:tcW w:w="98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$ 235,514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rPr>
              <w:t>$ 234,966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Add back:</w:t>
            </w:r>
          </w:p>
        </w:tc>
        <w:tc>
          <w:tcPr>
            <w:tcW w:w="1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6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spacing w:after="0"/>
              <w:rPr>
                <w:sz w:val="20"/>
                <w:szCs w:val="20"/>
                <w:color w:val="auto"/>
              </w:rPr>
            </w:pPr>
          </w:p>
        </w:tc>
        <w:tc>
          <w:tcPr>
            <w:tcW w:w="6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2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72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Remeasurement of acquisiton-related contngent consideraton</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320"/>
              <w:spacing w:after="0" w:line="203" w:lineRule="exact"/>
              <w:rPr>
                <w:sz w:val="20"/>
                <w:szCs w:val="20"/>
                <w:color w:val="auto"/>
              </w:rPr>
            </w:pPr>
            <w:r>
              <w:rPr>
                <w:rFonts w:ascii="Calibri" w:cs="Calibri" w:eastAsia="Calibri" w:hAnsi="Calibri"/>
                <w:sz w:val="17"/>
                <w:szCs w:val="17"/>
                <w:color w:val="333333"/>
              </w:rPr>
              <w:t>—</w:t>
            </w:r>
          </w:p>
        </w:tc>
        <w:tc>
          <w:tcPr>
            <w:tcW w:w="800" w:type="dxa"/>
            <w:vAlign w:val="bottom"/>
            <w:gridSpan w:val="2"/>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220"/>
              <w:spacing w:after="0" w:line="203" w:lineRule="exact"/>
              <w:rPr>
                <w:sz w:val="20"/>
                <w:szCs w:val="20"/>
                <w:color w:val="auto"/>
              </w:rPr>
            </w:pPr>
            <w:r>
              <w:rPr>
                <w:rFonts w:ascii="Calibri" w:cs="Calibri" w:eastAsia="Calibri" w:hAnsi="Calibri"/>
                <w:sz w:val="17"/>
                <w:szCs w:val="17"/>
                <w:color w:val="333333"/>
              </w:rPr>
              <w:t>—</w:t>
            </w:r>
          </w:p>
        </w:tc>
        <w:tc>
          <w:tcPr>
            <w:tcW w:w="820" w:type="dxa"/>
            <w:vAlign w:val="bottom"/>
            <w:gridSpan w:val="2"/>
          </w:tcPr>
          <w:p>
            <w:pPr>
              <w:jc w:val="right"/>
              <w:ind w:right="60"/>
              <w:spacing w:after="0" w:line="203" w:lineRule="exact"/>
              <w:rPr>
                <w:sz w:val="20"/>
                <w:szCs w:val="20"/>
                <w:color w:val="auto"/>
              </w:rPr>
            </w:pPr>
            <w:r>
              <w:rPr>
                <w:rFonts w:ascii="Calibri" w:cs="Calibri" w:eastAsia="Calibri" w:hAnsi="Calibri"/>
                <w:sz w:val="17"/>
                <w:szCs w:val="17"/>
                <w:color w:val="333333"/>
              </w:rPr>
              <w:t>(3,130)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98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Special charges</w:t>
            </w:r>
          </w:p>
        </w:tc>
        <w:tc>
          <w:tcPr>
            <w:tcW w:w="1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25,295</w:t>
            </w: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8,230</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w:t>
            </w:r>
          </w:p>
        </w:tc>
        <w:tc>
          <w:tcPr>
            <w:tcW w:w="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8,340</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820" w:type="dxa"/>
            <w:vAlign w:val="bottom"/>
            <w:tcBorders>
              <w:bottom w:val="single" w:sz="8" w:color="EFF2EF"/>
            </w:tcBorders>
            <w:gridSpan w:val="2"/>
            <w:shd w:val="clear" w:color="auto" w:fill="EFF2EF"/>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Tax impact of special charges</w:t>
            </w:r>
          </w:p>
        </w:tc>
        <w:tc>
          <w:tcPr>
            <w:tcW w:w="2100" w:type="dxa"/>
            <w:vAlign w:val="bottom"/>
            <w:gridSpan w:val="4"/>
          </w:tcPr>
          <w:p>
            <w:pPr>
              <w:jc w:val="right"/>
              <w:ind w:right="60"/>
              <w:spacing w:after="0" w:line="203" w:lineRule="exact"/>
              <w:rPr>
                <w:sz w:val="20"/>
                <w:szCs w:val="20"/>
                <w:color w:val="auto"/>
              </w:rPr>
            </w:pPr>
            <w:r>
              <w:rPr>
                <w:rFonts w:ascii="Calibri" w:cs="Calibri" w:eastAsia="Calibri" w:hAnsi="Calibri"/>
                <w:sz w:val="17"/>
                <w:szCs w:val="17"/>
                <w:color w:val="333333"/>
              </w:rPr>
              <w:t>(5,799)</w:t>
            </w: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3" w:lineRule="exact"/>
              <w:rPr>
                <w:sz w:val="20"/>
                <w:szCs w:val="20"/>
                <w:color w:val="auto"/>
              </w:rPr>
            </w:pPr>
            <w:r>
              <w:rPr>
                <w:rFonts w:ascii="Calibri" w:cs="Calibri" w:eastAsia="Calibri" w:hAnsi="Calibri"/>
                <w:sz w:val="17"/>
                <w:szCs w:val="17"/>
                <w:color w:val="333333"/>
              </w:rPr>
              <w:t>(1,857)</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w:t>
            </w:r>
          </w:p>
        </w:tc>
        <w:tc>
          <w:tcPr>
            <w:tcW w:w="1080" w:type="dxa"/>
            <w:vAlign w:val="bottom"/>
            <w:gridSpan w:val="4"/>
          </w:tcPr>
          <w:p>
            <w:pPr>
              <w:jc w:val="right"/>
              <w:ind w:right="60"/>
              <w:spacing w:after="0" w:line="203" w:lineRule="exact"/>
              <w:rPr>
                <w:sz w:val="20"/>
                <w:szCs w:val="20"/>
                <w:color w:val="auto"/>
              </w:rPr>
            </w:pPr>
            <w:r>
              <w:rPr>
                <w:rFonts w:ascii="Calibri" w:cs="Calibri" w:eastAsia="Calibri" w:hAnsi="Calibri"/>
                <w:sz w:val="17"/>
                <w:szCs w:val="17"/>
                <w:color w:val="333333"/>
              </w:rPr>
              <w:t>(1,584)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3"/>
          </w:tcPr>
          <w:p>
            <w:pPr>
              <w:spacing w:after="0"/>
              <w:rPr>
                <w:sz w:val="4"/>
                <w:szCs w:val="4"/>
                <w:color w:val="auto"/>
              </w:rPr>
            </w:pPr>
          </w:p>
        </w:tc>
        <w:tc>
          <w:tcPr>
            <w:tcW w:w="8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Non-cash interest expense on convertble notes</w:t>
            </w:r>
          </w:p>
        </w:tc>
        <w:tc>
          <w:tcPr>
            <w:tcW w:w="110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1000" w:type="dxa"/>
            <w:vAlign w:val="bottom"/>
            <w:tcBorders>
              <w:bottom w:val="single" w:sz="8" w:color="EFF2EF"/>
            </w:tcBorders>
            <w:gridSpan w:val="3"/>
            <w:shd w:val="clear" w:color="auto" w:fill="EFF2EF"/>
          </w:tcPr>
          <w:p>
            <w:pPr>
              <w:jc w:val="right"/>
              <w:ind w:right="320"/>
              <w:spacing w:after="0" w:line="203" w:lineRule="exact"/>
              <w:rPr>
                <w:sz w:val="20"/>
                <w:szCs w:val="20"/>
                <w:color w:val="auto"/>
              </w:rPr>
            </w:pPr>
            <w:r>
              <w:rPr>
                <w:rFonts w:ascii="Calibri" w:cs="Calibri" w:eastAsia="Calibri" w:hAnsi="Calibri"/>
                <w:sz w:val="17"/>
                <w:szCs w:val="17"/>
                <w:color w:val="333333"/>
              </w:rPr>
              <w:t>—</w:t>
            </w:r>
          </w:p>
        </w:tc>
        <w:tc>
          <w:tcPr>
            <w:tcW w:w="800" w:type="dxa"/>
            <w:vAlign w:val="bottom"/>
            <w:tcBorders>
              <w:bottom w:val="single" w:sz="8" w:color="EFF2EF"/>
              <w:right w:val="single" w:sz="8" w:color="EFF2EF"/>
            </w:tcBorders>
            <w:gridSpan w:val="2"/>
            <w:shd w:val="clear" w:color="auto" w:fill="EFF2EF"/>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w:t>
            </w:r>
          </w:p>
        </w:tc>
        <w:tc>
          <w:tcPr>
            <w:tcW w:w="6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920" w:type="dxa"/>
            <w:vAlign w:val="bottom"/>
            <w:tcBorders>
              <w:bottom w:val="single" w:sz="8" w:color="EFF2EF"/>
            </w:tcBorders>
            <w:gridSpan w:val="3"/>
            <w:shd w:val="clear" w:color="auto" w:fill="EFF2EF"/>
          </w:tcPr>
          <w:p>
            <w:pPr>
              <w:jc w:val="right"/>
              <w:ind w:right="220"/>
              <w:spacing w:after="0" w:line="203" w:lineRule="exact"/>
              <w:rPr>
                <w:sz w:val="20"/>
                <w:szCs w:val="20"/>
                <w:color w:val="auto"/>
              </w:rPr>
            </w:pPr>
            <w:r>
              <w:rPr>
                <w:rFonts w:ascii="Calibri" w:cs="Calibri" w:eastAsia="Calibri" w:hAnsi="Calibri"/>
                <w:sz w:val="17"/>
                <w:szCs w:val="17"/>
                <w:color w:val="333333"/>
              </w:rPr>
              <w:t>—</w:t>
            </w:r>
          </w:p>
        </w:tc>
        <w:tc>
          <w:tcPr>
            <w:tcW w:w="72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9,586</w:t>
            </w:r>
          </w:p>
        </w:tc>
        <w:tc>
          <w:tcPr>
            <w:tcW w:w="1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3" w:lineRule="exact"/>
              <w:rPr>
                <w:sz w:val="20"/>
                <w:szCs w:val="20"/>
                <w:color w:val="auto"/>
              </w:rPr>
            </w:pPr>
            <w:r>
              <w:rPr>
                <w:rFonts w:ascii="Calibri" w:cs="Calibri" w:eastAsia="Calibri" w:hAnsi="Calibri"/>
                <w:sz w:val="17"/>
                <w:szCs w:val="17"/>
                <w:color w:val="333333"/>
              </w:rPr>
              <w:t>Tax impact of non-cash interest expense on convertble notes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right"/>
              <w:ind w:right="320"/>
              <w:spacing w:after="0" w:line="203" w:lineRule="exact"/>
              <w:rPr>
                <w:sz w:val="20"/>
                <w:szCs w:val="20"/>
                <w:color w:val="auto"/>
              </w:rPr>
            </w:pPr>
            <w:r>
              <w:rPr>
                <w:rFonts w:ascii="Calibri" w:cs="Calibri" w:eastAsia="Calibri" w:hAnsi="Calibri"/>
                <w:sz w:val="17"/>
                <w:szCs w:val="17"/>
                <w:color w:val="333333"/>
              </w:rPr>
              <w:t>—</w:t>
            </w:r>
          </w:p>
        </w:tc>
        <w:tc>
          <w:tcPr>
            <w:tcW w:w="800" w:type="dxa"/>
            <w:vAlign w:val="bottom"/>
            <w:gridSpan w:val="2"/>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alibri" w:cs="Calibri" w:eastAsia="Calibri" w:hAnsi="Calibri"/>
                <w:sz w:val="17"/>
                <w:szCs w:val="17"/>
                <w:color w:val="333333"/>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220"/>
              <w:spacing w:after="0" w:line="203" w:lineRule="exact"/>
              <w:rPr>
                <w:sz w:val="20"/>
                <w:szCs w:val="20"/>
                <w:color w:val="auto"/>
              </w:rPr>
            </w:pPr>
            <w:r>
              <w:rPr>
                <w:rFonts w:ascii="Calibri" w:cs="Calibri" w:eastAsia="Calibri" w:hAnsi="Calibri"/>
                <w:sz w:val="17"/>
                <w:szCs w:val="17"/>
                <w:color w:val="333333"/>
              </w:rPr>
              <w:t>—</w:t>
            </w:r>
          </w:p>
        </w:tc>
        <w:tc>
          <w:tcPr>
            <w:tcW w:w="820" w:type="dxa"/>
            <w:vAlign w:val="bottom"/>
            <w:gridSpan w:val="2"/>
          </w:tcPr>
          <w:p>
            <w:pPr>
              <w:jc w:val="right"/>
              <w:ind w:right="60"/>
              <w:spacing w:after="0" w:line="203" w:lineRule="exact"/>
              <w:rPr>
                <w:sz w:val="20"/>
                <w:szCs w:val="20"/>
                <w:color w:val="auto"/>
              </w:rPr>
            </w:pPr>
            <w:r>
              <w:rPr>
                <w:rFonts w:ascii="Calibri" w:cs="Calibri" w:eastAsia="Calibri" w:hAnsi="Calibri"/>
                <w:sz w:val="17"/>
                <w:szCs w:val="17"/>
                <w:color w:val="333333"/>
              </w:rPr>
              <w:t>(2,492)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680" w:type="dxa"/>
            <w:vAlign w:val="bottom"/>
            <w:tcBorders>
              <w:bottom w:val="single" w:sz="8" w:color="333333"/>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333333"/>
            </w:tcBorders>
          </w:tcPr>
          <w:p>
            <w:pPr>
              <w:spacing w:after="0"/>
              <w:rPr>
                <w:sz w:val="5"/>
                <w:szCs w:val="5"/>
                <w:color w:val="auto"/>
              </w:rPr>
            </w:pPr>
          </w:p>
        </w:tc>
        <w:tc>
          <w:tcPr>
            <w:tcW w:w="260" w:type="dxa"/>
            <w:vAlign w:val="bottom"/>
            <w:gridSpan w:val="2"/>
          </w:tcPr>
          <w:p>
            <w:pPr>
              <w:spacing w:after="0"/>
              <w:rPr>
                <w:sz w:val="5"/>
                <w:szCs w:val="5"/>
                <w:color w:val="auto"/>
              </w:rPr>
            </w:pPr>
          </w:p>
        </w:tc>
        <w:tc>
          <w:tcPr>
            <w:tcW w:w="72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90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Adjusted Net Income</w:t>
            </w:r>
          </w:p>
        </w:tc>
        <w:tc>
          <w:tcPr>
            <w:tcW w:w="1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$ 290,367</w:t>
            </w:r>
          </w:p>
        </w:tc>
        <w:tc>
          <w:tcPr>
            <w:tcW w:w="120" w:type="dxa"/>
            <w:vAlign w:val="bottom"/>
            <w:tcBorders>
              <w:bottom w:val="single" w:sz="8" w:color="EFF2EF"/>
              <w:right w:val="single" w:sz="8" w:color="EFF2EF"/>
            </w:tcBorders>
            <w:shd w:val="clear" w:color="auto" w:fill="EFF2EF"/>
          </w:tcPr>
          <w:p>
            <w:pPr>
              <w:spacing w:after="0"/>
              <w:rPr>
                <w:sz w:val="22"/>
                <w:szCs w:val="22"/>
                <w:color w:val="auto"/>
              </w:rPr>
            </w:pPr>
          </w:p>
        </w:tc>
        <w:tc>
          <w:tcPr>
            <w:tcW w:w="200" w:type="dxa"/>
            <w:vAlign w:val="bottom"/>
            <w:tcBorders>
              <w:bottom w:val="single" w:sz="8" w:color="EFF2EF"/>
            </w:tcBorders>
            <w:shd w:val="clear" w:color="auto" w:fill="EFF2EF"/>
          </w:tcPr>
          <w:p>
            <w:pPr>
              <w:spacing w:after="0"/>
              <w:rPr>
                <w:sz w:val="22"/>
                <w:szCs w:val="22"/>
                <w:color w:val="auto"/>
              </w:rPr>
            </w:pPr>
          </w:p>
        </w:tc>
        <w:tc>
          <w:tcPr>
            <w:tcW w:w="70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w w:val="96"/>
              </w:rPr>
              <w:t>$ 286,461</w:t>
            </w:r>
          </w:p>
        </w:tc>
        <w:tc>
          <w:tcPr>
            <w:tcW w:w="100" w:type="dxa"/>
            <w:vAlign w:val="bottom"/>
            <w:tcBorders>
              <w:bottom w:val="single" w:sz="8" w:color="EFF2EF"/>
              <w:right w:val="single" w:sz="8" w:color="EFF2EF"/>
            </w:tcBorders>
            <w:shd w:val="clear" w:color="auto" w:fill="EFF2EF"/>
          </w:tcPr>
          <w:p>
            <w:pPr>
              <w:spacing w:after="0"/>
              <w:rPr>
                <w:sz w:val="22"/>
                <w:szCs w:val="22"/>
                <w:color w:val="auto"/>
              </w:rPr>
            </w:pPr>
          </w:p>
        </w:tc>
        <w:tc>
          <w:tcPr>
            <w:tcW w:w="9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$ 274,892</w:t>
            </w:r>
          </w:p>
        </w:tc>
        <w:tc>
          <w:tcPr>
            <w:tcW w:w="98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$ 242,270</w:t>
            </w:r>
          </w:p>
        </w:tc>
        <w:tc>
          <w:tcPr>
            <w:tcW w:w="100" w:type="dxa"/>
            <w:vAlign w:val="bottom"/>
            <w:tcBorders>
              <w:bottom w:val="single" w:sz="8" w:color="EFF2EF"/>
              <w:right w:val="single" w:sz="8" w:color="EFF2EF"/>
            </w:tcBorders>
            <w:shd w:val="clear" w:color="auto" w:fill="EFF2EF"/>
          </w:tcPr>
          <w:p>
            <w:pPr>
              <w:spacing w:after="0"/>
              <w:rPr>
                <w:sz w:val="22"/>
                <w:szCs w:val="22"/>
                <w:color w:val="auto"/>
              </w:rPr>
            </w:pPr>
          </w:p>
        </w:tc>
        <w:tc>
          <w:tcPr>
            <w:tcW w:w="100" w:type="dxa"/>
            <w:vAlign w:val="bottom"/>
            <w:tcBorders>
              <w:bottom w:val="single" w:sz="8" w:color="EFF2EF"/>
            </w:tcBorders>
            <w:shd w:val="clear" w:color="auto" w:fill="EFF2EF"/>
          </w:tcPr>
          <w:p>
            <w:pPr>
              <w:spacing w:after="0"/>
              <w:rPr>
                <w:sz w:val="22"/>
                <w:szCs w:val="22"/>
                <w:color w:val="auto"/>
              </w:rPr>
            </w:pPr>
          </w:p>
        </w:tc>
        <w:tc>
          <w:tcPr>
            <w:tcW w:w="72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$ 238,930</w:t>
            </w:r>
          </w:p>
        </w:tc>
        <w:tc>
          <w:tcPr>
            <w:tcW w:w="100" w:type="dxa"/>
            <w:vAlign w:val="bottom"/>
            <w:tcBorders>
              <w:bottom w:val="single" w:sz="8" w:color="EFF2EF"/>
            </w:tcBorders>
            <w:shd w:val="clear" w:color="auto" w:fill="EFF2E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Borders>
              <w:top w:val="single" w:sz="8" w:color="333333"/>
              <w:bottom w:val="single" w:sz="8" w:color="333333"/>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top w:val="single" w:sz="8" w:color="333333"/>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333333"/>
              <w:bottom w:val="single" w:sz="8" w:color="3333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333333"/>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333333"/>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300" w:type="dxa"/>
            <w:vAlign w:val="bottom"/>
            <w:gridSpan w:val="5"/>
          </w:tcPr>
          <w:p>
            <w:pPr>
              <w:ind w:left="420"/>
              <w:spacing w:after="0"/>
              <w:rPr>
                <w:sz w:val="20"/>
                <w:szCs w:val="20"/>
                <w:color w:val="auto"/>
              </w:rPr>
            </w:pPr>
            <w:r>
              <w:rPr>
                <w:rFonts w:ascii="Calibri" w:cs="Calibri" w:eastAsia="Calibri" w:hAnsi="Calibri"/>
                <w:sz w:val="17"/>
                <w:szCs w:val="17"/>
                <w:color w:val="333333"/>
              </w:rPr>
              <w:t>A-2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60" w:type="dxa"/>
            <w:vAlign w:val="bottom"/>
            <w:tcBorders>
              <w:top w:val="single" w:sz="8" w:color="0591DB"/>
              <w:left w:val="single" w:sz="8" w:color="0591DB"/>
            </w:tcBorders>
            <w:gridSpan w:val="2"/>
          </w:tcPr>
          <w:p>
            <w:pPr>
              <w:ind w:left="140"/>
              <w:spacing w:after="0" w:line="221" w:lineRule="exact"/>
              <w:rPr>
                <w:sz w:val="20"/>
                <w:szCs w:val="20"/>
                <w:color w:val="auto"/>
              </w:rPr>
            </w:pPr>
            <w:r>
              <w:rPr>
                <w:rFonts w:ascii="Calibri" w:cs="Calibri" w:eastAsia="Calibri" w:hAnsi="Calibri"/>
                <w:sz w:val="21"/>
                <w:szCs w:val="21"/>
                <w:b w:val="1"/>
                <w:bCs w:val="1"/>
                <w:color w:val="0591DB"/>
              </w:rPr>
              <w:t>(AMOUNTS IN THOUSANDS, EXCEPT PER</w:t>
            </w:r>
          </w:p>
        </w:tc>
        <w:tc>
          <w:tcPr>
            <w:tcW w:w="400" w:type="dxa"/>
            <w:vAlign w:val="bottom"/>
            <w:tcBorders>
              <w:top w:val="single" w:sz="8" w:color="0591DB"/>
              <w:right w:val="single" w:sz="8" w:color="0591DB"/>
            </w:tcBorders>
          </w:tcPr>
          <w:p>
            <w:pPr>
              <w:spacing w:after="0"/>
              <w:rPr>
                <w:sz w:val="19"/>
                <w:szCs w:val="19"/>
                <w:color w:val="auto"/>
              </w:rPr>
            </w:pPr>
          </w:p>
        </w:tc>
        <w:tc>
          <w:tcPr>
            <w:tcW w:w="44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4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380" w:type="dxa"/>
            <w:vAlign w:val="bottom"/>
            <w:tcBorders>
              <w:top w:val="single" w:sz="8" w:color="0591DB"/>
            </w:tcBorders>
          </w:tcPr>
          <w:p>
            <w:pPr>
              <w:spacing w:after="0"/>
              <w:rPr>
                <w:sz w:val="19"/>
                <w:szCs w:val="19"/>
                <w:color w:val="auto"/>
              </w:rPr>
            </w:pPr>
          </w:p>
        </w:tc>
        <w:tc>
          <w:tcPr>
            <w:tcW w:w="120" w:type="dxa"/>
            <w:vAlign w:val="bottom"/>
            <w:tcBorders>
              <w:top w:val="single" w:sz="8" w:color="0591DB"/>
              <w:right w:val="single" w:sz="8" w:color="0591DB"/>
            </w:tcBorders>
          </w:tcPr>
          <w:p>
            <w:pPr>
              <w:spacing w:after="0"/>
              <w:rPr>
                <w:sz w:val="19"/>
                <w:szCs w:val="19"/>
                <w:color w:val="auto"/>
              </w:rPr>
            </w:pPr>
          </w:p>
        </w:tc>
        <w:tc>
          <w:tcPr>
            <w:tcW w:w="36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100" w:type="dxa"/>
            <w:vAlign w:val="bottom"/>
            <w:tcBorders>
              <w:top w:val="single" w:sz="8" w:color="0591DB"/>
            </w:tcBorders>
          </w:tcPr>
          <w:p>
            <w:pPr>
              <w:spacing w:after="0"/>
              <w:rPr>
                <w:sz w:val="19"/>
                <w:szCs w:val="19"/>
                <w:color w:val="auto"/>
              </w:rPr>
            </w:pPr>
          </w:p>
        </w:tc>
        <w:tc>
          <w:tcPr>
            <w:tcW w:w="6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360" w:type="dxa"/>
            <w:vAlign w:val="bottom"/>
            <w:tcBorders>
              <w:top w:val="single" w:sz="8" w:color="0591DB"/>
            </w:tcBorders>
          </w:tcPr>
          <w:p>
            <w:pPr>
              <w:spacing w:after="0"/>
              <w:rPr>
                <w:sz w:val="19"/>
                <w:szCs w:val="19"/>
                <w:color w:val="auto"/>
              </w:rPr>
            </w:pPr>
          </w:p>
        </w:tc>
        <w:tc>
          <w:tcPr>
            <w:tcW w:w="100" w:type="dxa"/>
            <w:vAlign w:val="bottom"/>
            <w:tcBorders>
              <w:top w:val="single" w:sz="8" w:color="0591DB"/>
              <w:right w:val="single" w:sz="8" w:color="0591DB"/>
            </w:tcBorders>
          </w:tcPr>
          <w:p>
            <w:pPr>
              <w:spacing w:after="0"/>
              <w:rPr>
                <w:sz w:val="19"/>
                <w:szCs w:val="19"/>
                <w:color w:val="auto"/>
              </w:rPr>
            </w:pPr>
          </w:p>
        </w:tc>
        <w:tc>
          <w:tcPr>
            <w:tcW w:w="460" w:type="dxa"/>
            <w:vAlign w:val="bottom"/>
            <w:tcBorders>
              <w:top w:val="single" w:sz="8" w:color="0591DB"/>
            </w:tcBorders>
          </w:tcPr>
          <w:p>
            <w:pPr>
              <w:spacing w:after="0"/>
              <w:rPr>
                <w:sz w:val="19"/>
                <w:szCs w:val="19"/>
                <w:color w:val="auto"/>
              </w:rPr>
            </w:pPr>
          </w:p>
        </w:tc>
        <w:tc>
          <w:tcPr>
            <w:tcW w:w="40" w:type="dxa"/>
            <w:vAlign w:val="bottom"/>
            <w:tcBorders>
              <w:top w:val="single" w:sz="8" w:color="0591DB"/>
            </w:tcBorders>
          </w:tcPr>
          <w:p>
            <w:pPr>
              <w:spacing w:after="0"/>
              <w:rPr>
                <w:sz w:val="19"/>
                <w:szCs w:val="19"/>
                <w:color w:val="auto"/>
              </w:rPr>
            </w:pPr>
          </w:p>
        </w:tc>
        <w:tc>
          <w:tcPr>
            <w:tcW w:w="40" w:type="dxa"/>
            <w:vAlign w:val="bottom"/>
            <w:tcBorders>
              <w:top w:val="single" w:sz="8" w:color="0591DB"/>
            </w:tcBorders>
          </w:tcPr>
          <w:p>
            <w:pPr>
              <w:spacing w:after="0"/>
              <w:rPr>
                <w:sz w:val="19"/>
                <w:szCs w:val="19"/>
                <w:color w:val="auto"/>
              </w:rPr>
            </w:pPr>
          </w:p>
        </w:tc>
        <w:tc>
          <w:tcPr>
            <w:tcW w:w="20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220" w:type="dxa"/>
            <w:vAlign w:val="bottom"/>
            <w:tcBorders>
              <w:top w:val="single" w:sz="8" w:color="0591DB"/>
            </w:tcBorders>
          </w:tcPr>
          <w:p>
            <w:pPr>
              <w:spacing w:after="0"/>
              <w:rPr>
                <w:sz w:val="19"/>
                <w:szCs w:val="19"/>
                <w:color w:val="auto"/>
              </w:rPr>
            </w:pPr>
          </w:p>
        </w:tc>
        <w:tc>
          <w:tcPr>
            <w:tcW w:w="80" w:type="dxa"/>
            <w:vAlign w:val="bottom"/>
            <w:tcBorders>
              <w:top w:val="single" w:sz="8" w:color="0591DB"/>
              <w:right w:val="single" w:sz="8" w:color="0591DB"/>
            </w:tcBorders>
          </w:tcPr>
          <w:p>
            <w:pPr>
              <w:spacing w:after="0"/>
              <w:rPr>
                <w:sz w:val="19"/>
                <w:szCs w:val="19"/>
                <w:color w:val="auto"/>
              </w:rPr>
            </w:pPr>
          </w:p>
        </w:tc>
        <w:tc>
          <w:tcPr>
            <w:tcW w:w="460" w:type="dxa"/>
            <w:vAlign w:val="bottom"/>
            <w:tcBorders>
              <w:top w:val="single" w:sz="8" w:color="0591DB"/>
            </w:tcBorders>
          </w:tcPr>
          <w:p>
            <w:pPr>
              <w:spacing w:after="0"/>
              <w:rPr>
                <w:sz w:val="19"/>
                <w:szCs w:val="19"/>
                <w:color w:val="auto"/>
              </w:rPr>
            </w:pPr>
          </w:p>
        </w:tc>
        <w:tc>
          <w:tcPr>
            <w:tcW w:w="220" w:type="dxa"/>
            <w:vAlign w:val="bottom"/>
            <w:tcBorders>
              <w:top w:val="single" w:sz="8" w:color="0591DB"/>
            </w:tcBorders>
          </w:tcPr>
          <w:p>
            <w:pPr>
              <w:spacing w:after="0"/>
              <w:rPr>
                <w:sz w:val="19"/>
                <w:szCs w:val="19"/>
                <w:color w:val="auto"/>
              </w:rPr>
            </w:pPr>
          </w:p>
        </w:tc>
        <w:tc>
          <w:tcPr>
            <w:tcW w:w="24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40" w:type="dxa"/>
            <w:vAlign w:val="bottom"/>
            <w:tcBorders>
              <w:top w:val="single" w:sz="8" w:color="0591DB"/>
            </w:tcBorders>
          </w:tcPr>
          <w:p>
            <w:pPr>
              <w:spacing w:after="0"/>
              <w:rPr>
                <w:sz w:val="19"/>
                <w:szCs w:val="19"/>
                <w:color w:val="auto"/>
              </w:rPr>
            </w:pPr>
          </w:p>
        </w:tc>
        <w:tc>
          <w:tcPr>
            <w:tcW w:w="120" w:type="dxa"/>
            <w:vAlign w:val="bottom"/>
            <w:tcBorders>
              <w:top w:val="single" w:sz="8" w:color="0591DB"/>
              <w:right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12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80" w:type="dxa"/>
            <w:vAlign w:val="bottom"/>
            <w:tcBorders>
              <w:top w:val="single" w:sz="8" w:color="0591DB"/>
            </w:tcBorders>
          </w:tcPr>
          <w:p>
            <w:pPr>
              <w:spacing w:after="0"/>
              <w:rPr>
                <w:sz w:val="19"/>
                <w:szCs w:val="19"/>
                <w:color w:val="auto"/>
              </w:rPr>
            </w:pPr>
          </w:p>
        </w:tc>
        <w:tc>
          <w:tcPr>
            <w:tcW w:w="48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tcPr>
          <w:p>
            <w:pPr>
              <w:spacing w:after="0"/>
              <w:rPr>
                <w:sz w:val="19"/>
                <w:szCs w:val="19"/>
                <w:color w:val="auto"/>
              </w:rPr>
            </w:pPr>
          </w:p>
        </w:tc>
        <w:tc>
          <w:tcPr>
            <w:tcW w:w="200" w:type="dxa"/>
            <w:vAlign w:val="bottom"/>
            <w:tcBorders>
              <w:top w:val="single" w:sz="8" w:color="0591DB"/>
            </w:tcBorders>
          </w:tcPr>
          <w:p>
            <w:pPr>
              <w:spacing w:after="0"/>
              <w:rPr>
                <w:sz w:val="19"/>
                <w:szCs w:val="19"/>
                <w:color w:val="auto"/>
              </w:rPr>
            </w:pPr>
          </w:p>
        </w:tc>
        <w:tc>
          <w:tcPr>
            <w:tcW w:w="20" w:type="dxa"/>
            <w:vAlign w:val="bottom"/>
            <w:tcBorders>
              <w:top w:val="single" w:sz="8" w:color="0591DB"/>
            </w:tcBorders>
            <w:shd w:val="clear" w:color="auto" w:fill="0591DB"/>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60" w:type="dxa"/>
            <w:vAlign w:val="bottom"/>
            <w:tcBorders>
              <w:left w:val="single" w:sz="8" w:color="0591DB"/>
            </w:tcBorders>
            <w:gridSpan w:val="2"/>
          </w:tcPr>
          <w:p>
            <w:pPr>
              <w:ind w:left="140"/>
              <w:spacing w:after="0" w:line="244" w:lineRule="exact"/>
              <w:rPr>
                <w:sz w:val="20"/>
                <w:szCs w:val="20"/>
                <w:color w:val="auto"/>
              </w:rPr>
            </w:pPr>
            <w:r>
              <w:rPr>
                <w:rFonts w:ascii="Calibri" w:cs="Calibri" w:eastAsia="Calibri" w:hAnsi="Calibri"/>
                <w:sz w:val="21"/>
                <w:szCs w:val="21"/>
                <w:b w:val="1"/>
                <w:bCs w:val="1"/>
                <w:color w:val="0591DB"/>
              </w:rPr>
              <w:t>SHARE DATA)</w:t>
            </w:r>
          </w:p>
        </w:tc>
        <w:tc>
          <w:tcPr>
            <w:tcW w:w="400" w:type="dxa"/>
            <w:vAlign w:val="bottom"/>
            <w:tcBorders>
              <w:right w:val="single" w:sz="8" w:color="0591DB"/>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line="244" w:lineRule="exact"/>
              <w:rPr>
                <w:sz w:val="20"/>
                <w:szCs w:val="20"/>
                <w:color w:val="auto"/>
              </w:rPr>
            </w:pPr>
            <w:r>
              <w:rPr>
                <w:rFonts w:ascii="Calibri" w:cs="Calibri" w:eastAsia="Calibri" w:hAnsi="Calibri"/>
                <w:sz w:val="21"/>
                <w:szCs w:val="21"/>
                <w:b w:val="1"/>
                <w:bCs w:val="1"/>
                <w:color w:val="0591DB"/>
                <w:w w:val="93"/>
              </w:rPr>
              <w:t>2025</w:t>
            </w:r>
          </w:p>
        </w:tc>
        <w:tc>
          <w:tcPr>
            <w:tcW w:w="120" w:type="dxa"/>
            <w:vAlign w:val="bottom"/>
            <w:tcBorders>
              <w:right w:val="single" w:sz="8" w:color="0591DB"/>
            </w:tcBorders>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ind w:right="15"/>
              <w:spacing w:after="0" w:line="244" w:lineRule="exact"/>
              <w:rPr>
                <w:sz w:val="20"/>
                <w:szCs w:val="20"/>
                <w:color w:val="auto"/>
              </w:rPr>
            </w:pPr>
            <w:r>
              <w:rPr>
                <w:rFonts w:ascii="Calibri" w:cs="Calibri" w:eastAsia="Calibri" w:hAnsi="Calibri"/>
                <w:sz w:val="21"/>
                <w:szCs w:val="21"/>
                <w:b w:val="1"/>
                <w:bCs w:val="1"/>
                <w:color w:val="0591DB"/>
                <w:w w:val="89"/>
              </w:rPr>
              <w:t>2024</w:t>
            </w:r>
          </w:p>
        </w:tc>
        <w:tc>
          <w:tcPr>
            <w:tcW w:w="100" w:type="dxa"/>
            <w:vAlign w:val="bottom"/>
            <w:tcBorders>
              <w:right w:val="single" w:sz="8" w:color="0591DB"/>
            </w:tcBorders>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3"/>
          </w:tcPr>
          <w:p>
            <w:pPr>
              <w:jc w:val="right"/>
              <w:ind w:right="2"/>
              <w:spacing w:after="0" w:line="244" w:lineRule="exact"/>
              <w:rPr>
                <w:sz w:val="20"/>
                <w:szCs w:val="20"/>
                <w:color w:val="auto"/>
              </w:rPr>
            </w:pPr>
            <w:r>
              <w:rPr>
                <w:rFonts w:ascii="Calibri" w:cs="Calibri" w:eastAsia="Calibri" w:hAnsi="Calibri"/>
                <w:sz w:val="21"/>
                <w:szCs w:val="21"/>
                <w:b w:val="1"/>
                <w:bCs w:val="1"/>
                <w:color w:val="0591DB"/>
                <w:w w:val="93"/>
              </w:rPr>
              <w:t>2023</w:t>
            </w:r>
          </w:p>
        </w:tc>
        <w:tc>
          <w:tcPr>
            <w:tcW w:w="80" w:type="dxa"/>
            <w:vAlign w:val="bottom"/>
            <w:tcBorders>
              <w:right w:val="single" w:sz="8" w:color="0591DB"/>
            </w:tcBorders>
          </w:tcPr>
          <w:p>
            <w:pPr>
              <w:spacing w:after="0"/>
              <w:rPr>
                <w:sz w:val="21"/>
                <w:szCs w:val="21"/>
                <w:color w:val="auto"/>
              </w:rPr>
            </w:pPr>
          </w:p>
        </w:tc>
        <w:tc>
          <w:tcPr>
            <w:tcW w:w="1000" w:type="dxa"/>
            <w:vAlign w:val="bottom"/>
            <w:gridSpan w:val="4"/>
          </w:tcPr>
          <w:p>
            <w:pPr>
              <w:jc w:val="right"/>
              <w:ind w:right="40"/>
              <w:spacing w:after="0" w:line="244" w:lineRule="exact"/>
              <w:rPr>
                <w:sz w:val="20"/>
                <w:szCs w:val="20"/>
                <w:color w:val="auto"/>
              </w:rPr>
            </w:pPr>
            <w:r>
              <w:rPr>
                <w:rFonts w:ascii="Calibri" w:cs="Calibri" w:eastAsia="Calibri" w:hAnsi="Calibri"/>
                <w:sz w:val="21"/>
                <w:szCs w:val="21"/>
                <w:b w:val="1"/>
                <w:bCs w:val="1"/>
                <w:color w:val="0591DB"/>
              </w:rPr>
              <w:t>2022</w:t>
            </w:r>
          </w:p>
        </w:tc>
        <w:tc>
          <w:tcPr>
            <w:tcW w:w="40" w:type="dxa"/>
            <w:vAlign w:val="bottom"/>
          </w:tcPr>
          <w:p>
            <w:pPr>
              <w:spacing w:after="0"/>
              <w:rPr>
                <w:sz w:val="21"/>
                <w:szCs w:val="21"/>
                <w:color w:val="auto"/>
              </w:rPr>
            </w:pPr>
          </w:p>
        </w:tc>
        <w:tc>
          <w:tcPr>
            <w:tcW w:w="120" w:type="dxa"/>
            <w:vAlign w:val="bottom"/>
            <w:tcBorders>
              <w:right w:val="single" w:sz="8" w:color="0591DB"/>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line="244" w:lineRule="exact"/>
              <w:rPr>
                <w:sz w:val="20"/>
                <w:szCs w:val="20"/>
                <w:color w:val="auto"/>
              </w:rPr>
            </w:pPr>
            <w:r>
              <w:rPr>
                <w:rFonts w:ascii="Calibri" w:cs="Calibri" w:eastAsia="Calibri" w:hAnsi="Calibri"/>
                <w:sz w:val="21"/>
                <w:szCs w:val="21"/>
                <w:b w:val="1"/>
                <w:bCs w:val="1"/>
                <w:color w:val="0591DB"/>
                <w:w w:val="93"/>
              </w:rPr>
              <w:t>2021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shd w:val="clear" w:color="auto" w:fill="0591DB"/>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800" w:type="dxa"/>
            <w:vAlign w:val="bottom"/>
            <w:tcBorders>
              <w:left w:val="single" w:sz="8" w:color="0591DB"/>
              <w:bottom w:val="single" w:sz="8" w:color="0591DB"/>
            </w:tcBorders>
          </w:tcPr>
          <w:p>
            <w:pPr>
              <w:spacing w:after="0"/>
              <w:rPr>
                <w:sz w:val="2"/>
                <w:szCs w:val="2"/>
                <w:color w:val="auto"/>
              </w:rPr>
            </w:pPr>
          </w:p>
        </w:tc>
        <w:tc>
          <w:tcPr>
            <w:tcW w:w="60" w:type="dxa"/>
            <w:vAlign w:val="bottom"/>
            <w:tcBorders>
              <w:bottom w:val="single" w:sz="8" w:color="0591DB"/>
            </w:tcBorders>
          </w:tcPr>
          <w:p>
            <w:pPr>
              <w:spacing w:after="0"/>
              <w:rPr>
                <w:sz w:val="2"/>
                <w:szCs w:val="2"/>
                <w:color w:val="auto"/>
              </w:rPr>
            </w:pPr>
          </w:p>
        </w:tc>
        <w:tc>
          <w:tcPr>
            <w:tcW w:w="400" w:type="dxa"/>
            <w:vAlign w:val="bottom"/>
            <w:tcBorders>
              <w:bottom w:val="single" w:sz="8" w:color="0591DB"/>
              <w:right w:val="single" w:sz="8" w:color="0591DB"/>
            </w:tcBorders>
          </w:tcPr>
          <w:p>
            <w:pPr>
              <w:spacing w:after="0"/>
              <w:rPr>
                <w:sz w:val="2"/>
                <w:szCs w:val="2"/>
                <w:color w:val="auto"/>
              </w:rPr>
            </w:pPr>
          </w:p>
        </w:tc>
        <w:tc>
          <w:tcPr>
            <w:tcW w:w="440" w:type="dxa"/>
            <w:vAlign w:val="bottom"/>
            <w:tcBorders>
              <w:bottom w:val="single" w:sz="8" w:color="0591DB"/>
            </w:tcBorders>
          </w:tcPr>
          <w:p>
            <w:pPr>
              <w:spacing w:after="0"/>
              <w:rPr>
                <w:sz w:val="2"/>
                <w:szCs w:val="2"/>
                <w:color w:val="auto"/>
              </w:rPr>
            </w:pPr>
          </w:p>
        </w:tc>
        <w:tc>
          <w:tcPr>
            <w:tcW w:w="100" w:type="dxa"/>
            <w:vAlign w:val="bottom"/>
            <w:tcBorders>
              <w:bottom w:val="single" w:sz="8" w:color="0591DB"/>
            </w:tcBorders>
            <w:gridSpan w:val="2"/>
          </w:tcPr>
          <w:p>
            <w:pPr>
              <w:spacing w:after="0"/>
              <w:rPr>
                <w:sz w:val="2"/>
                <w:szCs w:val="2"/>
                <w:color w:val="auto"/>
              </w:rPr>
            </w:pPr>
          </w:p>
        </w:tc>
        <w:tc>
          <w:tcPr>
            <w:tcW w:w="40" w:type="dxa"/>
            <w:vAlign w:val="bottom"/>
            <w:tcBorders>
              <w:bottom w:val="single" w:sz="8" w:color="0591DB"/>
            </w:tcBorders>
          </w:tcPr>
          <w:p>
            <w:pPr>
              <w:spacing w:after="0"/>
              <w:rPr>
                <w:sz w:val="2"/>
                <w:szCs w:val="2"/>
                <w:color w:val="auto"/>
              </w:rPr>
            </w:pPr>
          </w:p>
        </w:tc>
        <w:tc>
          <w:tcPr>
            <w:tcW w:w="80" w:type="dxa"/>
            <w:vAlign w:val="bottom"/>
            <w:tcBorders>
              <w:bottom w:val="single" w:sz="8" w:color="0591DB"/>
            </w:tcBorders>
          </w:tcPr>
          <w:p>
            <w:pPr>
              <w:spacing w:after="0"/>
              <w:rPr>
                <w:sz w:val="2"/>
                <w:szCs w:val="2"/>
                <w:color w:val="auto"/>
              </w:rPr>
            </w:pPr>
          </w:p>
        </w:tc>
        <w:tc>
          <w:tcPr>
            <w:tcW w:w="380" w:type="dxa"/>
            <w:vAlign w:val="bottom"/>
            <w:tcBorders>
              <w:bottom w:val="single" w:sz="8" w:color="0591DB"/>
            </w:tcBorders>
          </w:tcPr>
          <w:p>
            <w:pPr>
              <w:spacing w:after="0"/>
              <w:rPr>
                <w:sz w:val="2"/>
                <w:szCs w:val="2"/>
                <w:color w:val="auto"/>
              </w:rPr>
            </w:pPr>
          </w:p>
        </w:tc>
        <w:tc>
          <w:tcPr>
            <w:tcW w:w="120" w:type="dxa"/>
            <w:vAlign w:val="bottom"/>
            <w:tcBorders>
              <w:bottom w:val="single" w:sz="8" w:color="0591DB"/>
              <w:right w:val="single" w:sz="8" w:color="0591DB"/>
            </w:tcBorders>
          </w:tcPr>
          <w:p>
            <w:pPr>
              <w:spacing w:after="0"/>
              <w:rPr>
                <w:sz w:val="2"/>
                <w:szCs w:val="2"/>
                <w:color w:val="auto"/>
              </w:rPr>
            </w:pPr>
          </w:p>
        </w:tc>
        <w:tc>
          <w:tcPr>
            <w:tcW w:w="360" w:type="dxa"/>
            <w:vAlign w:val="bottom"/>
            <w:tcBorders>
              <w:bottom w:val="single" w:sz="8" w:color="0591DB"/>
            </w:tcBorders>
          </w:tcPr>
          <w:p>
            <w:pPr>
              <w:spacing w:after="0"/>
              <w:rPr>
                <w:sz w:val="2"/>
                <w:szCs w:val="2"/>
                <w:color w:val="auto"/>
              </w:rPr>
            </w:pPr>
          </w:p>
        </w:tc>
        <w:tc>
          <w:tcPr>
            <w:tcW w:w="180" w:type="dxa"/>
            <w:vAlign w:val="bottom"/>
            <w:tcBorders>
              <w:bottom w:val="single" w:sz="8" w:color="0591DB"/>
            </w:tcBorders>
            <w:gridSpan w:val="2"/>
          </w:tcPr>
          <w:p>
            <w:pPr>
              <w:spacing w:after="0"/>
              <w:rPr>
                <w:sz w:val="2"/>
                <w:szCs w:val="2"/>
                <w:color w:val="auto"/>
              </w:rPr>
            </w:pPr>
          </w:p>
        </w:tc>
        <w:tc>
          <w:tcPr>
            <w:tcW w:w="60" w:type="dxa"/>
            <w:vAlign w:val="bottom"/>
            <w:tcBorders>
              <w:bottom w:val="single" w:sz="8" w:color="0591DB"/>
            </w:tcBorders>
          </w:tcPr>
          <w:p>
            <w:pPr>
              <w:spacing w:after="0"/>
              <w:rPr>
                <w:sz w:val="2"/>
                <w:szCs w:val="2"/>
                <w:color w:val="auto"/>
              </w:rPr>
            </w:pPr>
          </w:p>
        </w:tc>
        <w:tc>
          <w:tcPr>
            <w:tcW w:w="80" w:type="dxa"/>
            <w:vAlign w:val="bottom"/>
            <w:tcBorders>
              <w:bottom w:val="single" w:sz="8" w:color="0591DB"/>
            </w:tcBorders>
          </w:tcPr>
          <w:p>
            <w:pPr>
              <w:spacing w:after="0"/>
              <w:rPr>
                <w:sz w:val="2"/>
                <w:szCs w:val="2"/>
                <w:color w:val="auto"/>
              </w:rPr>
            </w:pPr>
          </w:p>
        </w:tc>
        <w:tc>
          <w:tcPr>
            <w:tcW w:w="360" w:type="dxa"/>
            <w:vAlign w:val="bottom"/>
            <w:tcBorders>
              <w:bottom w:val="single" w:sz="8" w:color="0591DB"/>
            </w:tcBorders>
          </w:tcPr>
          <w:p>
            <w:pPr>
              <w:spacing w:after="0"/>
              <w:rPr>
                <w:sz w:val="2"/>
                <w:szCs w:val="2"/>
                <w:color w:val="auto"/>
              </w:rPr>
            </w:pPr>
          </w:p>
        </w:tc>
        <w:tc>
          <w:tcPr>
            <w:tcW w:w="100" w:type="dxa"/>
            <w:vAlign w:val="bottom"/>
            <w:tcBorders>
              <w:bottom w:val="single" w:sz="8" w:color="0591DB"/>
              <w:right w:val="single" w:sz="8" w:color="0591DB"/>
            </w:tcBorders>
          </w:tcPr>
          <w:p>
            <w:pPr>
              <w:spacing w:after="0"/>
              <w:rPr>
                <w:sz w:val="2"/>
                <w:szCs w:val="2"/>
                <w:color w:val="auto"/>
              </w:rPr>
            </w:pPr>
          </w:p>
        </w:tc>
        <w:tc>
          <w:tcPr>
            <w:tcW w:w="500" w:type="dxa"/>
            <w:vAlign w:val="bottom"/>
            <w:tcBorders>
              <w:bottom w:val="single" w:sz="8" w:color="0591DB"/>
            </w:tcBorders>
            <w:gridSpan w:val="2"/>
          </w:tcPr>
          <w:p>
            <w:pPr>
              <w:spacing w:after="0"/>
              <w:rPr>
                <w:sz w:val="2"/>
                <w:szCs w:val="2"/>
                <w:color w:val="auto"/>
              </w:rPr>
            </w:pPr>
          </w:p>
        </w:tc>
        <w:tc>
          <w:tcPr>
            <w:tcW w:w="40" w:type="dxa"/>
            <w:vAlign w:val="bottom"/>
            <w:tcBorders>
              <w:bottom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80" w:type="dxa"/>
            <w:vAlign w:val="bottom"/>
            <w:tcBorders>
              <w:bottom w:val="single" w:sz="8" w:color="0591DB"/>
            </w:tcBorders>
          </w:tcPr>
          <w:p>
            <w:pPr>
              <w:spacing w:after="0"/>
              <w:rPr>
                <w:sz w:val="2"/>
                <w:szCs w:val="2"/>
                <w:color w:val="auto"/>
              </w:rPr>
            </w:pPr>
          </w:p>
        </w:tc>
        <w:tc>
          <w:tcPr>
            <w:tcW w:w="220" w:type="dxa"/>
            <w:vAlign w:val="bottom"/>
            <w:tcBorders>
              <w:bottom w:val="single" w:sz="8" w:color="0591DB"/>
            </w:tcBorders>
          </w:tcPr>
          <w:p>
            <w:pPr>
              <w:spacing w:after="0"/>
              <w:rPr>
                <w:sz w:val="2"/>
                <w:szCs w:val="2"/>
                <w:color w:val="auto"/>
              </w:rPr>
            </w:pPr>
          </w:p>
        </w:tc>
        <w:tc>
          <w:tcPr>
            <w:tcW w:w="80" w:type="dxa"/>
            <w:vAlign w:val="bottom"/>
            <w:tcBorders>
              <w:bottom w:val="single" w:sz="8" w:color="0591DB"/>
              <w:right w:val="single" w:sz="8" w:color="0591DB"/>
            </w:tcBorders>
          </w:tcPr>
          <w:p>
            <w:pPr>
              <w:spacing w:after="0"/>
              <w:rPr>
                <w:sz w:val="2"/>
                <w:szCs w:val="2"/>
                <w:color w:val="auto"/>
              </w:rPr>
            </w:pPr>
          </w:p>
        </w:tc>
        <w:tc>
          <w:tcPr>
            <w:tcW w:w="680" w:type="dxa"/>
            <w:vAlign w:val="bottom"/>
            <w:tcBorders>
              <w:bottom w:val="single" w:sz="8" w:color="0591DB"/>
            </w:tcBorders>
            <w:gridSpan w:val="2"/>
          </w:tcPr>
          <w:p>
            <w:pPr>
              <w:spacing w:after="0"/>
              <w:rPr>
                <w:sz w:val="2"/>
                <w:szCs w:val="2"/>
                <w:color w:val="auto"/>
              </w:rPr>
            </w:pPr>
          </w:p>
        </w:tc>
        <w:tc>
          <w:tcPr>
            <w:tcW w:w="240" w:type="dxa"/>
            <w:vAlign w:val="bottom"/>
            <w:tcBorders>
              <w:bottom w:val="single" w:sz="8" w:color="0591DB"/>
            </w:tcBorders>
          </w:tcPr>
          <w:p>
            <w:pPr>
              <w:spacing w:after="0"/>
              <w:rPr>
                <w:sz w:val="2"/>
                <w:szCs w:val="2"/>
                <w:color w:val="auto"/>
              </w:rPr>
            </w:pPr>
          </w:p>
        </w:tc>
        <w:tc>
          <w:tcPr>
            <w:tcW w:w="80" w:type="dxa"/>
            <w:vAlign w:val="bottom"/>
            <w:tcBorders>
              <w:bottom w:val="single" w:sz="8" w:color="0591DB"/>
            </w:tcBorders>
          </w:tcPr>
          <w:p>
            <w:pPr>
              <w:spacing w:after="0"/>
              <w:rPr>
                <w:sz w:val="2"/>
                <w:szCs w:val="2"/>
                <w:color w:val="auto"/>
              </w:rPr>
            </w:pPr>
          </w:p>
        </w:tc>
        <w:tc>
          <w:tcPr>
            <w:tcW w:w="40" w:type="dxa"/>
            <w:vAlign w:val="bottom"/>
            <w:tcBorders>
              <w:bottom w:val="single" w:sz="8" w:color="0591DB"/>
            </w:tcBorders>
          </w:tcPr>
          <w:p>
            <w:pPr>
              <w:spacing w:after="0"/>
              <w:rPr>
                <w:sz w:val="2"/>
                <w:szCs w:val="2"/>
                <w:color w:val="auto"/>
              </w:rPr>
            </w:pPr>
          </w:p>
        </w:tc>
        <w:tc>
          <w:tcPr>
            <w:tcW w:w="120" w:type="dxa"/>
            <w:vAlign w:val="bottom"/>
            <w:tcBorders>
              <w:bottom w:val="single" w:sz="8" w:color="0591DB"/>
              <w:right w:val="single" w:sz="8" w:color="0591DB"/>
            </w:tcBorders>
          </w:tcPr>
          <w:p>
            <w:pPr>
              <w:spacing w:after="0"/>
              <w:rPr>
                <w:sz w:val="2"/>
                <w:szCs w:val="2"/>
                <w:color w:val="auto"/>
              </w:rPr>
            </w:pPr>
          </w:p>
        </w:tc>
        <w:tc>
          <w:tcPr>
            <w:tcW w:w="80" w:type="dxa"/>
            <w:vAlign w:val="bottom"/>
            <w:tcBorders>
              <w:bottom w:val="single" w:sz="8" w:color="0591DB"/>
            </w:tcBorders>
          </w:tcPr>
          <w:p>
            <w:pPr>
              <w:spacing w:after="0"/>
              <w:rPr>
                <w:sz w:val="2"/>
                <w:szCs w:val="2"/>
                <w:color w:val="auto"/>
              </w:rPr>
            </w:pPr>
          </w:p>
        </w:tc>
        <w:tc>
          <w:tcPr>
            <w:tcW w:w="120" w:type="dxa"/>
            <w:vAlign w:val="bottom"/>
            <w:tcBorders>
              <w:bottom w:val="single" w:sz="8" w:color="0591DB"/>
            </w:tcBorders>
          </w:tcPr>
          <w:p>
            <w:pPr>
              <w:spacing w:after="0"/>
              <w:rPr>
                <w:sz w:val="2"/>
                <w:szCs w:val="2"/>
                <w:color w:val="auto"/>
              </w:rPr>
            </w:pPr>
          </w:p>
        </w:tc>
        <w:tc>
          <w:tcPr>
            <w:tcW w:w="160" w:type="dxa"/>
            <w:vAlign w:val="bottom"/>
            <w:tcBorders>
              <w:bottom w:val="single" w:sz="8" w:color="0591DB"/>
            </w:tcBorders>
            <w:gridSpan w:val="2"/>
          </w:tcPr>
          <w:p>
            <w:pPr>
              <w:spacing w:after="0"/>
              <w:rPr>
                <w:sz w:val="2"/>
                <w:szCs w:val="2"/>
                <w:color w:val="auto"/>
              </w:rPr>
            </w:pPr>
          </w:p>
        </w:tc>
        <w:tc>
          <w:tcPr>
            <w:tcW w:w="48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tcPr>
          <w:p>
            <w:pPr>
              <w:spacing w:after="0"/>
              <w:rPr>
                <w:sz w:val="2"/>
                <w:szCs w:val="2"/>
                <w:color w:val="auto"/>
              </w:rPr>
            </w:pPr>
          </w:p>
        </w:tc>
        <w:tc>
          <w:tcPr>
            <w:tcW w:w="200" w:type="dxa"/>
            <w:vAlign w:val="bottom"/>
            <w:tcBorders>
              <w:bottom w:val="single" w:sz="8" w:color="0591DB"/>
            </w:tcBorders>
          </w:tcPr>
          <w:p>
            <w:pPr>
              <w:spacing w:after="0"/>
              <w:rPr>
                <w:sz w:val="2"/>
                <w:szCs w:val="2"/>
                <w:color w:val="auto"/>
              </w:rPr>
            </w:pPr>
          </w:p>
        </w:tc>
        <w:tc>
          <w:tcPr>
            <w:tcW w:w="20" w:type="dxa"/>
            <w:vAlign w:val="bottom"/>
            <w:tcBorders>
              <w:bottom w:val="single" w:sz="8" w:color="0591DB"/>
            </w:tcBorders>
            <w:shd w:val="clear" w:color="auto" w:fill="0591DB"/>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60" w:type="dxa"/>
            <w:vAlign w:val="bottom"/>
            <w:gridSpan w:val="2"/>
          </w:tcPr>
          <w:p>
            <w:pPr>
              <w:spacing w:after="0" w:line="197" w:lineRule="exact"/>
              <w:rPr>
                <w:sz w:val="20"/>
                <w:szCs w:val="20"/>
                <w:color w:val="auto"/>
              </w:rPr>
            </w:pPr>
            <w:r>
              <w:rPr>
                <w:rFonts w:ascii="Calibri" w:cs="Calibri" w:eastAsia="Calibri" w:hAnsi="Calibri"/>
                <w:sz w:val="17"/>
                <w:szCs w:val="17"/>
                <w:b w:val="1"/>
                <w:bCs w:val="1"/>
                <w:color w:val="333333"/>
              </w:rPr>
              <w:t>Earnings per common share — diluted</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w w:val="92"/>
              </w:rPr>
              <w:t>$</w:t>
            </w:r>
          </w:p>
        </w:tc>
        <w:tc>
          <w:tcPr>
            <w:tcW w:w="50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8.24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gridSpan w:val="2"/>
          </w:tcPr>
          <w:p>
            <w:pPr>
              <w:jc w:val="right"/>
              <w:ind w:right="20"/>
              <w:spacing w:after="0" w:line="197" w:lineRule="exact"/>
              <w:rPr>
                <w:sz w:val="20"/>
                <w:szCs w:val="20"/>
                <w:color w:val="auto"/>
              </w:rPr>
            </w:pPr>
            <w:r>
              <w:rPr>
                <w:rFonts w:ascii="Calibri" w:cs="Calibri" w:eastAsia="Calibri" w:hAnsi="Calibri"/>
                <w:sz w:val="17"/>
                <w:szCs w:val="17"/>
                <w:b w:val="1"/>
                <w:bCs w:val="1"/>
                <w:color w:val="333333"/>
              </w:rPr>
              <w:t>$</w:t>
            </w:r>
          </w:p>
        </w:tc>
        <w:tc>
          <w:tcPr>
            <w:tcW w:w="50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7.81</w:t>
            </w:r>
          </w:p>
        </w:tc>
        <w:tc>
          <w:tcPr>
            <w:tcW w:w="100" w:type="dxa"/>
            <w:vAlign w:val="bottom"/>
          </w:tcPr>
          <w:p>
            <w:pPr>
              <w:spacing w:after="0"/>
              <w:rPr>
                <w:sz w:val="17"/>
                <w:szCs w:val="17"/>
                <w:color w:val="auto"/>
              </w:rPr>
            </w:pPr>
          </w:p>
        </w:tc>
        <w:tc>
          <w:tcPr>
            <w:tcW w:w="54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w:t>
            </w:r>
          </w:p>
        </w:tc>
        <w:tc>
          <w:tcPr>
            <w:tcW w:w="50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7.71</w:t>
            </w:r>
          </w:p>
        </w:tc>
        <w:tc>
          <w:tcPr>
            <w:tcW w:w="80" w:type="dxa"/>
            <w:vAlign w:val="bottom"/>
          </w:tcPr>
          <w:p>
            <w:pPr>
              <w:spacing w:after="0"/>
              <w:rPr>
                <w:sz w:val="17"/>
                <w:szCs w:val="17"/>
                <w:color w:val="auto"/>
              </w:rPr>
            </w:pPr>
          </w:p>
        </w:tc>
        <w:tc>
          <w:tcPr>
            <w:tcW w:w="680" w:type="dxa"/>
            <w:vAlign w:val="bottom"/>
            <w:gridSpan w:val="2"/>
          </w:tcPr>
          <w:p>
            <w:pPr>
              <w:jc w:val="right"/>
              <w:ind w:right="55"/>
              <w:spacing w:after="0" w:line="197" w:lineRule="exact"/>
              <w:rPr>
                <w:sz w:val="20"/>
                <w:szCs w:val="20"/>
                <w:color w:val="auto"/>
              </w:rPr>
            </w:pPr>
            <w:r>
              <w:rPr>
                <w:rFonts w:ascii="Calibri" w:cs="Calibri" w:eastAsia="Calibri" w:hAnsi="Calibri"/>
                <w:sz w:val="17"/>
                <w:szCs w:val="17"/>
                <w:b w:val="1"/>
                <w:bCs w:val="1"/>
                <w:color w:val="333333"/>
              </w:rPr>
              <w:t>$</w:t>
            </w:r>
          </w:p>
        </w:tc>
        <w:tc>
          <w:tcPr>
            <w:tcW w:w="36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6.58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w:t>
            </w:r>
          </w:p>
        </w:tc>
        <w:tc>
          <w:tcPr>
            <w:tcW w:w="50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6.65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Add back:</w:t>
            </w:r>
          </w:p>
        </w:tc>
        <w:tc>
          <w:tcPr>
            <w:tcW w:w="400" w:type="dxa"/>
            <w:vAlign w:val="bottom"/>
            <w:tcBorders>
              <w:bottom w:val="single" w:sz="8" w:color="EFF2EF"/>
              <w:right w:val="single" w:sz="8" w:color="EFF2EF"/>
            </w:tcBorders>
            <w:shd w:val="clear" w:color="auto" w:fill="EFF2EF"/>
          </w:tcPr>
          <w:p>
            <w:pPr>
              <w:spacing w:after="0"/>
              <w:rPr>
                <w:sz w:val="20"/>
                <w:szCs w:val="20"/>
                <w:color w:val="auto"/>
              </w:rPr>
            </w:pPr>
          </w:p>
        </w:tc>
        <w:tc>
          <w:tcPr>
            <w:tcW w:w="440" w:type="dxa"/>
            <w:vAlign w:val="bottom"/>
            <w:tcBorders>
              <w:bottom w:val="single" w:sz="8" w:color="EFF2EF"/>
            </w:tcBorders>
            <w:shd w:val="clear" w:color="auto" w:fill="EFF2EF"/>
          </w:tcPr>
          <w:p>
            <w:pPr>
              <w:spacing w:after="0"/>
              <w:rPr>
                <w:sz w:val="20"/>
                <w:szCs w:val="20"/>
                <w:color w:val="auto"/>
              </w:rPr>
            </w:pPr>
          </w:p>
        </w:tc>
        <w:tc>
          <w:tcPr>
            <w:tcW w:w="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3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36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6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36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46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tcBorders>
            <w:shd w:val="clear" w:color="auto" w:fill="EFF2EF"/>
          </w:tcPr>
          <w:p>
            <w:pPr>
              <w:spacing w:after="0"/>
              <w:rPr>
                <w:sz w:val="20"/>
                <w:szCs w:val="20"/>
                <w:color w:val="auto"/>
              </w:rPr>
            </w:pPr>
          </w:p>
        </w:tc>
        <w:tc>
          <w:tcPr>
            <w:tcW w:w="20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right w:val="single" w:sz="8" w:color="EFF2EF"/>
            </w:tcBorders>
            <w:shd w:val="clear" w:color="auto" w:fill="EFF2EF"/>
          </w:tcPr>
          <w:p>
            <w:pPr>
              <w:spacing w:after="0"/>
              <w:rPr>
                <w:sz w:val="20"/>
                <w:szCs w:val="20"/>
                <w:color w:val="auto"/>
              </w:rPr>
            </w:pPr>
          </w:p>
        </w:tc>
        <w:tc>
          <w:tcPr>
            <w:tcW w:w="46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24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right w:val="single" w:sz="8" w:color="EFF2EF"/>
            </w:tcBorders>
            <w:shd w:val="clear" w:color="auto" w:fill="EFF2EF"/>
          </w:tcPr>
          <w:p>
            <w:pPr>
              <w:spacing w:after="0"/>
              <w:rPr>
                <w:sz w:val="20"/>
                <w:szCs w:val="20"/>
                <w:color w:val="auto"/>
              </w:rPr>
            </w:pP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80" w:type="dxa"/>
            <w:vAlign w:val="bottom"/>
            <w:tcBorders>
              <w:bottom w:val="single" w:sz="8" w:color="EFF2EF"/>
            </w:tcBorders>
            <w:shd w:val="clear" w:color="auto" w:fill="EFF2EF"/>
          </w:tcPr>
          <w:p>
            <w:pPr>
              <w:spacing w:after="0"/>
              <w:rPr>
                <w:sz w:val="20"/>
                <w:szCs w:val="20"/>
                <w:color w:val="auto"/>
              </w:rPr>
            </w:pPr>
          </w:p>
        </w:tc>
        <w:tc>
          <w:tcPr>
            <w:tcW w:w="20" w:type="dxa"/>
            <w:vAlign w:val="bottom"/>
            <w:tcBorders>
              <w:bottom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line="203" w:lineRule="exact"/>
              <w:rPr>
                <w:sz w:val="20"/>
                <w:szCs w:val="20"/>
                <w:color w:val="auto"/>
              </w:rPr>
            </w:pPr>
            <w:r>
              <w:rPr>
                <w:rFonts w:ascii="Calibri" w:cs="Calibri" w:eastAsia="Calibri" w:hAnsi="Calibri"/>
                <w:sz w:val="17"/>
                <w:szCs w:val="17"/>
                <w:color w:val="333333"/>
              </w:rPr>
              <w:t>Remeasurement of acquisiton-related contngent consideraton</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80"/>
              <w:spacing w:after="0" w:line="203" w:lineRule="exact"/>
              <w:rPr>
                <w:sz w:val="20"/>
                <w:szCs w:val="20"/>
                <w:color w:val="auto"/>
              </w:rPr>
            </w:pPr>
            <w:r>
              <w:rPr>
                <w:rFonts w:ascii="Calibri" w:cs="Calibri" w:eastAsia="Calibri" w:hAnsi="Calibri"/>
                <w:sz w:val="17"/>
                <w:szCs w:val="17"/>
                <w:color w:val="333333"/>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8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4"/>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40"/>
              <w:spacing w:after="0" w:line="203" w:lineRule="exact"/>
              <w:rPr>
                <w:sz w:val="20"/>
                <w:szCs w:val="20"/>
                <w:color w:val="auto"/>
              </w:rPr>
            </w:pPr>
            <w:r>
              <w:rPr>
                <w:rFonts w:ascii="Calibri" w:cs="Calibri" w:eastAsia="Calibri" w:hAnsi="Calibri"/>
                <w:sz w:val="17"/>
                <w:szCs w:val="17"/>
                <w:color w:val="333333"/>
              </w:rPr>
              <w:t>(0.09)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Special charges</w:t>
            </w:r>
          </w:p>
        </w:tc>
        <w:tc>
          <w:tcPr>
            <w:tcW w:w="400" w:type="dxa"/>
            <w:vAlign w:val="bottom"/>
            <w:tcBorders>
              <w:bottom w:val="single" w:sz="8" w:color="EFF2EF"/>
              <w:right w:val="single" w:sz="8" w:color="EFF2EF"/>
            </w:tcBorders>
            <w:shd w:val="clear" w:color="auto" w:fill="EFF2EF"/>
          </w:tcPr>
          <w:p>
            <w:pPr>
              <w:spacing w:after="0"/>
              <w:rPr>
                <w:sz w:val="20"/>
                <w:szCs w:val="20"/>
                <w:color w:val="auto"/>
              </w:rPr>
            </w:pPr>
          </w:p>
        </w:tc>
        <w:tc>
          <w:tcPr>
            <w:tcW w:w="440" w:type="dxa"/>
            <w:vAlign w:val="bottom"/>
            <w:tcBorders>
              <w:bottom w:val="single" w:sz="8" w:color="EFF2EF"/>
            </w:tcBorders>
            <w:shd w:val="clear" w:color="auto" w:fill="EFF2EF"/>
          </w:tcPr>
          <w:p>
            <w:pPr>
              <w:spacing w:after="0"/>
              <w:rPr>
                <w:sz w:val="20"/>
                <w:szCs w:val="20"/>
                <w:color w:val="auto"/>
              </w:rPr>
            </w:pPr>
          </w:p>
        </w:tc>
        <w:tc>
          <w:tcPr>
            <w:tcW w:w="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50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0.77</w:t>
            </w: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36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50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0.23</w:t>
            </w: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46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tcBorders>
            <w:shd w:val="clear" w:color="auto" w:fill="EFF2EF"/>
          </w:tcPr>
          <w:p>
            <w:pPr>
              <w:spacing w:after="0"/>
              <w:rPr>
                <w:sz w:val="20"/>
                <w:szCs w:val="20"/>
                <w:color w:val="auto"/>
              </w:rPr>
            </w:pPr>
          </w:p>
        </w:tc>
        <w:tc>
          <w:tcPr>
            <w:tcW w:w="20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300" w:type="dxa"/>
            <w:vAlign w:val="bottom"/>
            <w:tcBorders>
              <w:bottom w:val="single" w:sz="8" w:color="EFF2EF"/>
              <w:right w:val="single" w:sz="8" w:color="EFF2EF"/>
            </w:tcBorders>
            <w:gridSpan w:val="2"/>
            <w:shd w:val="clear" w:color="auto" w:fill="EFF2EF"/>
          </w:tcPr>
          <w:p>
            <w:pPr>
              <w:jc w:val="right"/>
              <w:ind w:right="8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360" w:type="dxa"/>
            <w:vAlign w:val="bottom"/>
            <w:tcBorders>
              <w:bottom w:val="single" w:sz="8" w:color="EFF2EF"/>
              <w:right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0.23</w:t>
            </w: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700" w:type="dxa"/>
            <w:vAlign w:val="bottom"/>
            <w:tcBorders>
              <w:bottom w:val="single" w:sz="8" w:color="EFF2EF"/>
            </w:tcBorders>
            <w:gridSpan w:val="3"/>
            <w:shd w:val="clear" w:color="auto" w:fill="EFF2EF"/>
          </w:tcPr>
          <w:p>
            <w:pPr>
              <w:jc w:val="right"/>
              <w:ind w:right="20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line="203" w:lineRule="exact"/>
              <w:rPr>
                <w:sz w:val="20"/>
                <w:szCs w:val="20"/>
                <w:color w:val="auto"/>
              </w:rPr>
            </w:pPr>
            <w:r>
              <w:rPr>
                <w:rFonts w:ascii="Calibri" w:cs="Calibri" w:eastAsia="Calibri" w:hAnsi="Calibri"/>
                <w:sz w:val="17"/>
                <w:szCs w:val="17"/>
                <w:color w:val="333333"/>
              </w:rPr>
              <w:t>Tax impact of special charges</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60"/>
              <w:spacing w:after="0" w:line="203" w:lineRule="exact"/>
              <w:rPr>
                <w:sz w:val="20"/>
                <w:szCs w:val="20"/>
                <w:color w:val="auto"/>
              </w:rPr>
            </w:pPr>
            <w:r>
              <w:rPr>
                <w:rFonts w:ascii="Calibri" w:cs="Calibri" w:eastAsia="Calibri" w:hAnsi="Calibri"/>
                <w:sz w:val="17"/>
                <w:szCs w:val="17"/>
                <w:color w:val="333333"/>
              </w:rPr>
              <w:t>(0.18)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ind w:right="60"/>
              <w:spacing w:after="0" w:line="203" w:lineRule="exact"/>
              <w:rPr>
                <w:sz w:val="20"/>
                <w:szCs w:val="20"/>
                <w:color w:val="auto"/>
              </w:rPr>
            </w:pPr>
            <w:r>
              <w:rPr>
                <w:rFonts w:ascii="Calibri" w:cs="Calibri" w:eastAsia="Calibri" w:hAnsi="Calibri"/>
                <w:sz w:val="17"/>
                <w:szCs w:val="17"/>
                <w:color w:val="333333"/>
              </w:rPr>
              <w:t>(0.05)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8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4"/>
          </w:tcPr>
          <w:p>
            <w:pPr>
              <w:jc w:val="right"/>
              <w:ind w:right="60"/>
              <w:spacing w:after="0" w:line="203" w:lineRule="exact"/>
              <w:rPr>
                <w:sz w:val="20"/>
                <w:szCs w:val="20"/>
                <w:color w:val="auto"/>
              </w:rPr>
            </w:pPr>
            <w:r>
              <w:rPr>
                <w:rFonts w:ascii="Calibri" w:cs="Calibri" w:eastAsia="Calibri" w:hAnsi="Calibri"/>
                <w:sz w:val="17"/>
                <w:szCs w:val="17"/>
                <w:color w:val="333333"/>
                <w:w w:val="98"/>
              </w:rPr>
              <w:t>(0.04)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line="203" w:lineRule="exact"/>
              <w:rPr>
                <w:sz w:val="20"/>
                <w:szCs w:val="20"/>
                <w:color w:val="auto"/>
              </w:rPr>
            </w:pPr>
            <w:r>
              <w:rPr>
                <w:rFonts w:ascii="Calibri" w:cs="Calibri" w:eastAsia="Calibri" w:hAnsi="Calibri"/>
                <w:sz w:val="17"/>
                <w:szCs w:val="17"/>
                <w:color w:val="33333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Non-cash interest expense on convertble notes</w:t>
            </w:r>
          </w:p>
        </w:tc>
        <w:tc>
          <w:tcPr>
            <w:tcW w:w="400" w:type="dxa"/>
            <w:vAlign w:val="bottom"/>
            <w:tcBorders>
              <w:bottom w:val="single" w:sz="8" w:color="EFF2EF"/>
              <w:right w:val="single" w:sz="8" w:color="EFF2EF"/>
            </w:tcBorders>
            <w:shd w:val="clear" w:color="auto" w:fill="EFF2EF"/>
          </w:tcPr>
          <w:p>
            <w:pPr>
              <w:spacing w:after="0"/>
              <w:rPr>
                <w:sz w:val="20"/>
                <w:szCs w:val="20"/>
                <w:color w:val="auto"/>
              </w:rPr>
            </w:pPr>
          </w:p>
        </w:tc>
        <w:tc>
          <w:tcPr>
            <w:tcW w:w="440" w:type="dxa"/>
            <w:vAlign w:val="bottom"/>
            <w:tcBorders>
              <w:bottom w:val="single" w:sz="8" w:color="EFF2EF"/>
            </w:tcBorders>
            <w:shd w:val="clear" w:color="auto" w:fill="EFF2EF"/>
          </w:tcPr>
          <w:p>
            <w:pPr>
              <w:spacing w:after="0"/>
              <w:rPr>
                <w:sz w:val="20"/>
                <w:szCs w:val="20"/>
                <w:color w:val="auto"/>
              </w:rPr>
            </w:pPr>
          </w:p>
        </w:tc>
        <w:tc>
          <w:tcPr>
            <w:tcW w:w="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860" w:type="dxa"/>
            <w:vAlign w:val="bottom"/>
            <w:tcBorders>
              <w:bottom w:val="single" w:sz="8" w:color="EFF2EF"/>
            </w:tcBorders>
            <w:gridSpan w:val="3"/>
            <w:shd w:val="clear" w:color="auto" w:fill="EFF2EF"/>
          </w:tcPr>
          <w:p>
            <w:pPr>
              <w:jc w:val="right"/>
              <w:ind w:right="480"/>
              <w:spacing w:after="0" w:line="203" w:lineRule="exact"/>
              <w:rPr>
                <w:sz w:val="20"/>
                <w:szCs w:val="20"/>
                <w:color w:val="auto"/>
              </w:rPr>
            </w:pPr>
            <w:r>
              <w:rPr>
                <w:rFonts w:ascii="Calibri" w:cs="Calibri" w:eastAsia="Calibri" w:hAnsi="Calibri"/>
                <w:sz w:val="17"/>
                <w:szCs w:val="17"/>
                <w:color w:val="333333"/>
              </w:rPr>
              <w:t>—</w:t>
            </w:r>
          </w:p>
        </w:tc>
        <w:tc>
          <w:tcPr>
            <w:tcW w:w="8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6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60" w:type="dxa"/>
            <w:vAlign w:val="bottom"/>
            <w:tcBorders>
              <w:bottom w:val="single" w:sz="8" w:color="EFF2EF"/>
              <w:right w:val="single" w:sz="8" w:color="EFF2EF"/>
            </w:tcBorders>
            <w:gridSpan w:val="2"/>
            <w:shd w:val="clear" w:color="auto" w:fill="EFF2EF"/>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tcBorders>
            <w:shd w:val="clear" w:color="auto" w:fill="EFF2EF"/>
          </w:tcPr>
          <w:p>
            <w:pPr>
              <w:spacing w:after="0"/>
              <w:rPr>
                <w:sz w:val="20"/>
                <w:szCs w:val="20"/>
                <w:color w:val="auto"/>
              </w:rPr>
            </w:pPr>
          </w:p>
        </w:tc>
        <w:tc>
          <w:tcPr>
            <w:tcW w:w="20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300" w:type="dxa"/>
            <w:vAlign w:val="bottom"/>
            <w:tcBorders>
              <w:bottom w:val="single" w:sz="8" w:color="EFF2EF"/>
              <w:right w:val="single" w:sz="8" w:color="EFF2EF"/>
            </w:tcBorders>
            <w:gridSpan w:val="2"/>
            <w:shd w:val="clear" w:color="auto" w:fill="EFF2EF"/>
          </w:tcPr>
          <w:p>
            <w:pPr>
              <w:jc w:val="right"/>
              <w:ind w:right="8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480" w:type="dxa"/>
            <w:vAlign w:val="bottom"/>
            <w:tcBorders>
              <w:bottom w:val="single" w:sz="8" w:color="EFF2EF"/>
              <w:right w:val="single" w:sz="8" w:color="EFF2EF"/>
            </w:tcBorders>
            <w:gridSpan w:val="4"/>
            <w:shd w:val="clear" w:color="auto" w:fill="EFF2EF"/>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5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0.27</w:t>
            </w:r>
          </w:p>
        </w:tc>
        <w:tc>
          <w:tcPr>
            <w:tcW w:w="2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line="203" w:lineRule="exact"/>
              <w:rPr>
                <w:sz w:val="20"/>
                <w:szCs w:val="20"/>
                <w:color w:val="auto"/>
              </w:rPr>
            </w:pPr>
            <w:r>
              <w:rPr>
                <w:rFonts w:ascii="Calibri" w:cs="Calibri" w:eastAsia="Calibri" w:hAnsi="Calibri"/>
                <w:sz w:val="17"/>
                <w:szCs w:val="17"/>
                <w:color w:val="333333"/>
              </w:rPr>
              <w:t>Tax impact of non-cash interest expense on convertble notes</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80"/>
              <w:spacing w:after="0" w:line="203" w:lineRule="exact"/>
              <w:rPr>
                <w:sz w:val="20"/>
                <w:szCs w:val="20"/>
                <w:color w:val="auto"/>
              </w:rPr>
            </w:pPr>
            <w:r>
              <w:rPr>
                <w:rFonts w:ascii="Calibri" w:cs="Calibri" w:eastAsia="Calibri" w:hAnsi="Calibri"/>
                <w:sz w:val="17"/>
                <w:szCs w:val="17"/>
                <w:color w:val="333333"/>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80"/>
              <w:spacing w:after="0" w:line="203" w:lineRule="exact"/>
              <w:rPr>
                <w:sz w:val="20"/>
                <w:szCs w:val="20"/>
                <w:color w:val="auto"/>
              </w:rPr>
            </w:pPr>
            <w:r>
              <w:rPr>
                <w:rFonts w:ascii="Calibri" w:cs="Calibri" w:eastAsia="Calibri" w:hAnsi="Calibri"/>
                <w:sz w:val="17"/>
                <w:szCs w:val="17"/>
                <w:color w:val="333333"/>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4"/>
          </w:tcPr>
          <w:p>
            <w:pPr>
              <w:jc w:val="right"/>
              <w:ind w:right="120"/>
              <w:spacing w:after="0" w:line="203" w:lineRule="exact"/>
              <w:rPr>
                <w:sz w:val="20"/>
                <w:szCs w:val="20"/>
                <w:color w:val="auto"/>
              </w:rPr>
            </w:pPr>
            <w:r>
              <w:rPr>
                <w:rFonts w:ascii="Calibri" w:cs="Calibri" w:eastAsia="Calibri" w:hAnsi="Calibri"/>
                <w:sz w:val="17"/>
                <w:szCs w:val="17"/>
                <w:color w:val="333333"/>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40"/>
              <w:spacing w:after="0" w:line="203" w:lineRule="exact"/>
              <w:rPr>
                <w:sz w:val="20"/>
                <w:szCs w:val="20"/>
                <w:color w:val="auto"/>
              </w:rPr>
            </w:pPr>
            <w:r>
              <w:rPr>
                <w:rFonts w:ascii="Calibri" w:cs="Calibri" w:eastAsia="Calibri" w:hAnsi="Calibri"/>
                <w:sz w:val="17"/>
                <w:szCs w:val="17"/>
                <w:color w:val="333333"/>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40" w:type="dxa"/>
            <w:vAlign w:val="bottom"/>
            <w:tcBorders>
              <w:bottom w:val="single" w:sz="8" w:color="333333"/>
            </w:tcBorders>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380" w:type="dxa"/>
            <w:vAlign w:val="bottom"/>
            <w:tcBorders>
              <w:bottom w:val="single" w:sz="8" w:color="333333"/>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333333"/>
            </w:tcBorders>
          </w:tcPr>
          <w:p>
            <w:pPr>
              <w:spacing w:after="0"/>
              <w:rPr>
                <w:sz w:val="5"/>
                <w:szCs w:val="5"/>
                <w:color w:val="auto"/>
              </w:rPr>
            </w:pPr>
          </w:p>
        </w:tc>
        <w:tc>
          <w:tcPr>
            <w:tcW w:w="60" w:type="dxa"/>
            <w:vAlign w:val="bottom"/>
            <w:tcBorders>
              <w:bottom w:val="single" w:sz="8" w:color="333333"/>
            </w:tcBorders>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360" w:type="dxa"/>
            <w:vAlign w:val="bottom"/>
            <w:tcBorders>
              <w:bottom w:val="single" w:sz="8" w:color="333333"/>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Borders>
              <w:bottom w:val="single" w:sz="8" w:color="333333"/>
            </w:tcBorders>
          </w:tcPr>
          <w:p>
            <w:pPr>
              <w:spacing w:after="0"/>
              <w:rPr>
                <w:sz w:val="5"/>
                <w:szCs w:val="5"/>
                <w:color w:val="auto"/>
              </w:rPr>
            </w:pPr>
          </w:p>
        </w:tc>
        <w:tc>
          <w:tcPr>
            <w:tcW w:w="40" w:type="dxa"/>
            <w:vAlign w:val="bottom"/>
            <w:tcBorders>
              <w:bottom w:val="single" w:sz="8" w:color="333333"/>
            </w:tcBorders>
          </w:tcPr>
          <w:p>
            <w:pPr>
              <w:spacing w:after="0"/>
              <w:rPr>
                <w:sz w:val="5"/>
                <w:szCs w:val="5"/>
                <w:color w:val="auto"/>
              </w:rPr>
            </w:pPr>
          </w:p>
        </w:tc>
        <w:tc>
          <w:tcPr>
            <w:tcW w:w="200" w:type="dxa"/>
            <w:vAlign w:val="bottom"/>
            <w:tcBorders>
              <w:bottom w:val="single" w:sz="8" w:color="333333"/>
            </w:tcBorders>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220" w:type="dxa"/>
            <w:vAlign w:val="bottom"/>
            <w:tcBorders>
              <w:bottom w:val="single" w:sz="8" w:color="333333"/>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Borders>
              <w:bottom w:val="single" w:sz="8" w:color="333333"/>
            </w:tcBorders>
          </w:tcPr>
          <w:p>
            <w:pPr>
              <w:spacing w:after="0"/>
              <w:rPr>
                <w:sz w:val="5"/>
                <w:szCs w:val="5"/>
                <w:color w:val="auto"/>
              </w:rPr>
            </w:pPr>
          </w:p>
        </w:tc>
        <w:tc>
          <w:tcPr>
            <w:tcW w:w="240" w:type="dxa"/>
            <w:vAlign w:val="bottom"/>
            <w:tcBorders>
              <w:bottom w:val="single" w:sz="8" w:color="333333"/>
            </w:tcBorders>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40" w:type="dxa"/>
            <w:vAlign w:val="bottom"/>
            <w:tcBorders>
              <w:bottom w:val="single" w:sz="8" w:color="333333"/>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480" w:type="dxa"/>
            <w:vAlign w:val="bottom"/>
            <w:tcBorders>
              <w:bottom w:val="single" w:sz="8" w:color="333333"/>
            </w:tcBorders>
          </w:tcPr>
          <w:p>
            <w:pPr>
              <w:spacing w:after="0"/>
              <w:rPr>
                <w:sz w:val="5"/>
                <w:szCs w:val="5"/>
                <w:color w:val="auto"/>
              </w:rPr>
            </w:pPr>
          </w:p>
        </w:tc>
        <w:tc>
          <w:tcPr>
            <w:tcW w:w="20" w:type="dxa"/>
            <w:vAlign w:val="bottom"/>
            <w:tcBorders>
              <w:bottom w:val="single" w:sz="8" w:color="333333"/>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Adjusted earnings per common share — diluted</w:t>
            </w:r>
          </w:p>
        </w:tc>
        <w:tc>
          <w:tcPr>
            <w:tcW w:w="400" w:type="dxa"/>
            <w:vAlign w:val="bottom"/>
            <w:tcBorders>
              <w:bottom w:val="single" w:sz="8" w:color="EFF2EF"/>
              <w:right w:val="single" w:sz="8" w:color="EFF2EF"/>
            </w:tcBorders>
            <w:shd w:val="clear" w:color="auto" w:fill="EFF2EF"/>
          </w:tcPr>
          <w:p>
            <w:pPr>
              <w:spacing w:after="0"/>
              <w:rPr>
                <w:sz w:val="22"/>
                <w:szCs w:val="22"/>
                <w:color w:val="auto"/>
              </w:rPr>
            </w:pPr>
          </w:p>
        </w:tc>
        <w:tc>
          <w:tcPr>
            <w:tcW w:w="440" w:type="dxa"/>
            <w:vAlign w:val="bottom"/>
            <w:tcBorders>
              <w:bottom w:val="single" w:sz="8" w:color="EFF2EF"/>
            </w:tcBorders>
            <w:shd w:val="clear" w:color="auto" w:fill="EFF2EF"/>
          </w:tcPr>
          <w:p>
            <w:pPr>
              <w:spacing w:after="0"/>
              <w:rPr>
                <w:sz w:val="22"/>
                <w:szCs w:val="22"/>
                <w:color w:val="auto"/>
              </w:rPr>
            </w:pPr>
          </w:p>
        </w:tc>
        <w:tc>
          <w:tcPr>
            <w:tcW w:w="1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w w:val="92"/>
              </w:rPr>
              <w:t>$</w:t>
            </w:r>
          </w:p>
        </w:tc>
        <w:tc>
          <w:tcPr>
            <w:tcW w:w="50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8.83</w:t>
            </w:r>
          </w:p>
        </w:tc>
        <w:tc>
          <w:tcPr>
            <w:tcW w:w="120" w:type="dxa"/>
            <w:vAlign w:val="bottom"/>
            <w:tcBorders>
              <w:bottom w:val="single" w:sz="8" w:color="EFF2EF"/>
              <w:right w:val="single" w:sz="8" w:color="EFF2EF"/>
            </w:tcBorders>
            <w:shd w:val="clear" w:color="auto" w:fill="EFF2EF"/>
          </w:tcPr>
          <w:p>
            <w:pPr>
              <w:spacing w:after="0"/>
              <w:rPr>
                <w:sz w:val="22"/>
                <w:szCs w:val="22"/>
                <w:color w:val="auto"/>
              </w:rPr>
            </w:pPr>
          </w:p>
        </w:tc>
        <w:tc>
          <w:tcPr>
            <w:tcW w:w="360" w:type="dxa"/>
            <w:vAlign w:val="bottom"/>
            <w:tcBorders>
              <w:bottom w:val="single" w:sz="8" w:color="EFF2EF"/>
            </w:tcBorders>
            <w:shd w:val="clear" w:color="auto" w:fill="EFF2EF"/>
          </w:tcPr>
          <w:p>
            <w:pPr>
              <w:spacing w:after="0"/>
              <w:rPr>
                <w:sz w:val="22"/>
                <w:szCs w:val="22"/>
                <w:color w:val="auto"/>
              </w:rPr>
            </w:pPr>
          </w:p>
        </w:tc>
        <w:tc>
          <w:tcPr>
            <w:tcW w:w="180" w:type="dxa"/>
            <w:vAlign w:val="bottom"/>
            <w:tcBorders>
              <w:bottom w:val="single" w:sz="8" w:color="EFF2EF"/>
            </w:tcBorders>
            <w:gridSpan w:val="2"/>
            <w:shd w:val="clear" w:color="auto" w:fill="EFF2EF"/>
          </w:tcPr>
          <w:p>
            <w:pPr>
              <w:jc w:val="right"/>
              <w:ind w:right="20"/>
              <w:spacing w:after="0" w:line="203" w:lineRule="exact"/>
              <w:rPr>
                <w:sz w:val="20"/>
                <w:szCs w:val="20"/>
                <w:color w:val="auto"/>
              </w:rPr>
            </w:pPr>
            <w:r>
              <w:rPr>
                <w:rFonts w:ascii="Calibri" w:cs="Calibri" w:eastAsia="Calibri" w:hAnsi="Calibri"/>
                <w:sz w:val="17"/>
                <w:szCs w:val="17"/>
                <w:b w:val="1"/>
                <w:bCs w:val="1"/>
                <w:color w:val="333333"/>
              </w:rPr>
              <w:t>$</w:t>
            </w:r>
          </w:p>
        </w:tc>
        <w:tc>
          <w:tcPr>
            <w:tcW w:w="50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7.99</w:t>
            </w:r>
          </w:p>
        </w:tc>
        <w:tc>
          <w:tcPr>
            <w:tcW w:w="100" w:type="dxa"/>
            <w:vAlign w:val="bottom"/>
            <w:tcBorders>
              <w:bottom w:val="single" w:sz="8" w:color="EFF2EF"/>
              <w:right w:val="single" w:sz="8" w:color="EFF2EF"/>
            </w:tcBorders>
            <w:shd w:val="clear" w:color="auto" w:fill="EFF2EF"/>
          </w:tcPr>
          <w:p>
            <w:pPr>
              <w:spacing w:after="0"/>
              <w:rPr>
                <w:sz w:val="22"/>
                <w:szCs w:val="22"/>
                <w:color w:val="auto"/>
              </w:rPr>
            </w:pPr>
          </w:p>
        </w:tc>
        <w:tc>
          <w:tcPr>
            <w:tcW w:w="54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w:t>
            </w:r>
          </w:p>
        </w:tc>
        <w:tc>
          <w:tcPr>
            <w:tcW w:w="50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7.71</w:t>
            </w:r>
          </w:p>
        </w:tc>
        <w:tc>
          <w:tcPr>
            <w:tcW w:w="80" w:type="dxa"/>
            <w:vAlign w:val="bottom"/>
            <w:tcBorders>
              <w:bottom w:val="single" w:sz="8" w:color="EFF2EF"/>
              <w:right w:val="single" w:sz="8" w:color="EFF2EF"/>
            </w:tcBorders>
            <w:shd w:val="clear" w:color="auto" w:fill="EFF2EF"/>
          </w:tcPr>
          <w:p>
            <w:pPr>
              <w:spacing w:after="0"/>
              <w:rPr>
                <w:sz w:val="22"/>
                <w:szCs w:val="22"/>
                <w:color w:val="auto"/>
              </w:rPr>
            </w:pPr>
          </w:p>
        </w:tc>
        <w:tc>
          <w:tcPr>
            <w:tcW w:w="680" w:type="dxa"/>
            <w:vAlign w:val="bottom"/>
            <w:tcBorders>
              <w:bottom w:val="single" w:sz="8" w:color="EFF2EF"/>
            </w:tcBorders>
            <w:gridSpan w:val="2"/>
            <w:shd w:val="clear" w:color="auto" w:fill="EFF2EF"/>
          </w:tcPr>
          <w:p>
            <w:pPr>
              <w:jc w:val="right"/>
              <w:ind w:right="55"/>
              <w:spacing w:after="0" w:line="203" w:lineRule="exact"/>
              <w:rPr>
                <w:sz w:val="20"/>
                <w:szCs w:val="20"/>
                <w:color w:val="auto"/>
              </w:rPr>
            </w:pPr>
            <w:r>
              <w:rPr>
                <w:rFonts w:ascii="Calibri" w:cs="Calibri" w:eastAsia="Calibri" w:hAnsi="Calibri"/>
                <w:sz w:val="17"/>
                <w:szCs w:val="17"/>
                <w:b w:val="1"/>
                <w:bCs w:val="1"/>
                <w:color w:val="333333"/>
              </w:rPr>
              <w:t>$</w:t>
            </w:r>
          </w:p>
        </w:tc>
        <w:tc>
          <w:tcPr>
            <w:tcW w:w="360" w:type="dxa"/>
            <w:vAlign w:val="bottom"/>
            <w:tcBorders>
              <w:bottom w:val="single" w:sz="8" w:color="EFF2EF"/>
              <w:right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6.77</w:t>
            </w:r>
          </w:p>
        </w:tc>
        <w:tc>
          <w:tcPr>
            <w:tcW w:w="12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120" w:type="dxa"/>
            <w:vAlign w:val="bottom"/>
            <w:tcBorders>
              <w:bottom w:val="single" w:sz="8" w:color="EFF2EF"/>
            </w:tcBorders>
            <w:shd w:val="clear" w:color="auto" w:fill="EFF2EF"/>
          </w:tcPr>
          <w:p>
            <w:pPr>
              <w:spacing w:after="0"/>
              <w:rPr>
                <w:sz w:val="22"/>
                <w:szCs w:val="22"/>
                <w:color w:val="auto"/>
              </w:rPr>
            </w:pPr>
          </w:p>
        </w:tc>
        <w:tc>
          <w:tcPr>
            <w:tcW w:w="16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w:t>
            </w:r>
          </w:p>
        </w:tc>
        <w:tc>
          <w:tcPr>
            <w:tcW w:w="5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6.76</w:t>
            </w:r>
          </w:p>
        </w:tc>
        <w:tc>
          <w:tcPr>
            <w:tcW w:w="200" w:type="dxa"/>
            <w:vAlign w:val="bottom"/>
            <w:tcBorders>
              <w:bottom w:val="single" w:sz="8" w:color="EFF2EF"/>
            </w:tcBorders>
            <w:shd w:val="clear" w:color="auto" w:fill="EFF2E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Calibri" w:cs="Calibri" w:eastAsia="Calibri" w:hAnsi="Calibri"/>
                <w:sz w:val="17"/>
                <w:szCs w:val="17"/>
                <w:color w:val="333333"/>
              </w:rPr>
              <w:t>Weighted average number of common shares outstanding — diluted</w:t>
            </w: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4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380" w:type="dxa"/>
            <w:vAlign w:val="bottom"/>
            <w:tcBorders>
              <w:top w:val="single" w:sz="8" w:color="333333"/>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333333"/>
              <w:bottom w:val="single" w:sz="8" w:color="333333"/>
            </w:tcBorders>
          </w:tcPr>
          <w:p>
            <w:pPr>
              <w:spacing w:after="0" w:line="20" w:lineRule="exact"/>
              <w:rPr>
                <w:sz w:val="1"/>
                <w:szCs w:val="1"/>
                <w:color w:val="auto"/>
              </w:rPr>
            </w:pPr>
          </w:p>
        </w:tc>
        <w:tc>
          <w:tcPr>
            <w:tcW w:w="6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360" w:type="dxa"/>
            <w:vAlign w:val="bottom"/>
            <w:tcBorders>
              <w:top w:val="single" w:sz="8" w:color="333333"/>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333333"/>
              <w:bottom w:val="single" w:sz="8" w:color="333333"/>
            </w:tcBorders>
          </w:tcPr>
          <w:p>
            <w:pPr>
              <w:spacing w:after="0" w:line="20" w:lineRule="exact"/>
              <w:rPr>
                <w:sz w:val="1"/>
                <w:szCs w:val="1"/>
                <w:color w:val="auto"/>
              </w:rPr>
            </w:pPr>
          </w:p>
        </w:tc>
        <w:tc>
          <w:tcPr>
            <w:tcW w:w="40" w:type="dxa"/>
            <w:vAlign w:val="bottom"/>
            <w:tcBorders>
              <w:top w:val="single" w:sz="8" w:color="333333"/>
              <w:bottom w:val="single" w:sz="8" w:color="333333"/>
            </w:tcBorders>
          </w:tcPr>
          <w:p>
            <w:pPr>
              <w:spacing w:after="0" w:line="20" w:lineRule="exact"/>
              <w:rPr>
                <w:sz w:val="1"/>
                <w:szCs w:val="1"/>
                <w:color w:val="auto"/>
              </w:rPr>
            </w:pPr>
          </w:p>
        </w:tc>
        <w:tc>
          <w:tcPr>
            <w:tcW w:w="20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22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60" w:type="dxa"/>
            <w:vAlign w:val="bottom"/>
            <w:tcBorders>
              <w:top w:val="single" w:sz="8" w:color="333333"/>
              <w:bottom w:val="single" w:sz="8" w:color="333333"/>
            </w:tcBorders>
            <w:gridSpan w:val="2"/>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40" w:type="dxa"/>
            <w:vAlign w:val="bottom"/>
            <w:tcBorders>
              <w:top w:val="single" w:sz="8" w:color="333333"/>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480" w:type="dxa"/>
            <w:vAlign w:val="bottom"/>
            <w:tcBorders>
              <w:top w:val="single" w:sz="8" w:color="333333"/>
              <w:bottom w:val="single" w:sz="8" w:color="333333"/>
            </w:tcBorders>
          </w:tcPr>
          <w:p>
            <w:pPr>
              <w:spacing w:after="0" w:line="20" w:lineRule="exact"/>
              <w:rPr>
                <w:sz w:val="1"/>
                <w:szCs w:val="1"/>
                <w:color w:val="auto"/>
              </w:rPr>
            </w:pPr>
          </w:p>
        </w:tc>
        <w:tc>
          <w:tcPr>
            <w:tcW w:w="20" w:type="dxa"/>
            <w:vAlign w:val="bottom"/>
            <w:tcBorders>
              <w:top w:val="single" w:sz="8" w:color="333333"/>
              <w:bottom w:val="single" w:sz="8" w:color="33333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spacing w:after="0" w:line="183" w:lineRule="exact"/>
              <w:rPr>
                <w:sz w:val="20"/>
                <w:szCs w:val="20"/>
                <w:color w:val="auto"/>
              </w:rPr>
            </w:pPr>
            <w:r>
              <w:rPr>
                <w:rFonts w:ascii="Calibri" w:cs="Calibri" w:eastAsia="Calibri" w:hAnsi="Calibri"/>
                <w:sz w:val="17"/>
                <w:szCs w:val="17"/>
                <w:color w:val="333333"/>
              </w:rPr>
              <w:t>32,881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spacing w:after="0" w:line="183" w:lineRule="exact"/>
              <w:rPr>
                <w:sz w:val="20"/>
                <w:szCs w:val="20"/>
                <w:color w:val="auto"/>
              </w:rPr>
            </w:pPr>
            <w:r>
              <w:rPr>
                <w:rFonts w:ascii="Calibri" w:cs="Calibri" w:eastAsia="Calibri" w:hAnsi="Calibri"/>
                <w:sz w:val="17"/>
                <w:szCs w:val="17"/>
                <w:color w:val="333333"/>
                <w:w w:val="97"/>
              </w:rPr>
              <w:t>35,845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3"/>
          </w:tcPr>
          <w:p>
            <w:pPr>
              <w:jc w:val="right"/>
              <w:spacing w:after="0" w:line="183" w:lineRule="exact"/>
              <w:rPr>
                <w:sz w:val="20"/>
                <w:szCs w:val="20"/>
                <w:color w:val="auto"/>
              </w:rPr>
            </w:pPr>
            <w:r>
              <w:rPr>
                <w:rFonts w:ascii="Calibri" w:cs="Calibri" w:eastAsia="Calibri" w:hAnsi="Calibri"/>
                <w:sz w:val="17"/>
                <w:szCs w:val="17"/>
                <w:color w:val="333333"/>
              </w:rPr>
              <w:t>35,646</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580" w:type="dxa"/>
            <w:vAlign w:val="bottom"/>
            <w:gridSpan w:val="4"/>
          </w:tcPr>
          <w:p>
            <w:pPr>
              <w:jc w:val="right"/>
              <w:spacing w:after="0" w:line="183" w:lineRule="exact"/>
              <w:rPr>
                <w:sz w:val="20"/>
                <w:szCs w:val="20"/>
                <w:color w:val="auto"/>
              </w:rPr>
            </w:pPr>
            <w:r>
              <w:rPr>
                <w:rFonts w:ascii="Calibri" w:cs="Calibri" w:eastAsia="Calibri" w:hAnsi="Calibri"/>
                <w:sz w:val="17"/>
                <w:szCs w:val="17"/>
                <w:color w:val="333333"/>
              </w:rPr>
              <w:t>35,783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Calibri" w:cs="Calibri" w:eastAsia="Calibri" w:hAnsi="Calibri"/>
                <w:sz w:val="17"/>
                <w:szCs w:val="17"/>
                <w:color w:val="333333"/>
              </w:rPr>
              <w:t>35,337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4"/>
        </w:trPr>
        <w:tc>
          <w:tcPr>
            <w:tcW w:w="10920" w:type="dxa"/>
            <w:vAlign w:val="bottom"/>
            <w:gridSpan w:val="38"/>
          </w:tcPr>
          <w:p>
            <w:pPr>
              <w:spacing w:after="0"/>
              <w:rPr>
                <w:sz w:val="20"/>
                <w:szCs w:val="20"/>
                <w:color w:val="auto"/>
              </w:rPr>
            </w:pPr>
            <w:r>
              <w:rPr>
                <w:rFonts w:ascii="Calibri" w:cs="Calibri" w:eastAsia="Calibri" w:hAnsi="Calibri"/>
                <w:sz w:val="17"/>
                <w:szCs w:val="17"/>
                <w:b w:val="1"/>
                <w:bCs w:val="1"/>
                <w:color w:val="0C3A68"/>
              </w:rPr>
              <w:t>RECONCILIATION OF NET CASH PROVIDED BY OPERATING ACTIVITIES TO FREE CASH FLOW FOR THE YEAR PRESENTED IN THE PROXY STATEMENT: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Borders>
              <w:bottom w:val="single" w:sz="8" w:color="0591DB"/>
            </w:tcBorders>
          </w:tcPr>
          <w:p>
            <w:pPr>
              <w:spacing w:after="0"/>
              <w:rPr>
                <w:sz w:val="23"/>
                <w:szCs w:val="23"/>
                <w:color w:val="auto"/>
              </w:rPr>
            </w:pPr>
          </w:p>
        </w:tc>
        <w:tc>
          <w:tcPr>
            <w:tcW w:w="60" w:type="dxa"/>
            <w:vAlign w:val="bottom"/>
            <w:tcBorders>
              <w:bottom w:val="single" w:sz="8" w:color="0591DB"/>
            </w:tcBorders>
          </w:tcPr>
          <w:p>
            <w:pPr>
              <w:spacing w:after="0"/>
              <w:rPr>
                <w:sz w:val="23"/>
                <w:szCs w:val="23"/>
                <w:color w:val="auto"/>
              </w:rPr>
            </w:pPr>
          </w:p>
        </w:tc>
        <w:tc>
          <w:tcPr>
            <w:tcW w:w="400" w:type="dxa"/>
            <w:vAlign w:val="bottom"/>
            <w:tcBorders>
              <w:bottom w:val="single" w:sz="8" w:color="0591DB"/>
            </w:tcBorders>
          </w:tcPr>
          <w:p>
            <w:pPr>
              <w:spacing w:after="0"/>
              <w:rPr>
                <w:sz w:val="23"/>
                <w:szCs w:val="23"/>
                <w:color w:val="auto"/>
              </w:rPr>
            </w:pPr>
          </w:p>
        </w:tc>
        <w:tc>
          <w:tcPr>
            <w:tcW w:w="440" w:type="dxa"/>
            <w:vAlign w:val="bottom"/>
            <w:tcBorders>
              <w:bottom w:val="single" w:sz="8" w:color="0591DB"/>
            </w:tcBorders>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380" w:type="dxa"/>
            <w:vAlign w:val="bottom"/>
            <w:tcBorders>
              <w:bottom w:val="single" w:sz="8" w:color="0591DB"/>
            </w:tcBorders>
          </w:tcPr>
          <w:p>
            <w:pPr>
              <w:spacing w:after="0"/>
              <w:rPr>
                <w:sz w:val="23"/>
                <w:szCs w:val="23"/>
                <w:color w:val="auto"/>
              </w:rPr>
            </w:pPr>
          </w:p>
        </w:tc>
        <w:tc>
          <w:tcPr>
            <w:tcW w:w="120" w:type="dxa"/>
            <w:vAlign w:val="bottom"/>
            <w:tcBorders>
              <w:bottom w:val="single" w:sz="8" w:color="0591DB"/>
            </w:tcBorders>
          </w:tcPr>
          <w:p>
            <w:pPr>
              <w:spacing w:after="0"/>
              <w:rPr>
                <w:sz w:val="23"/>
                <w:szCs w:val="23"/>
                <w:color w:val="auto"/>
              </w:rPr>
            </w:pPr>
          </w:p>
        </w:tc>
        <w:tc>
          <w:tcPr>
            <w:tcW w:w="36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6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36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46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22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460" w:type="dxa"/>
            <w:vAlign w:val="bottom"/>
            <w:tcBorders>
              <w:bottom w:val="single" w:sz="8" w:color="0591DB"/>
            </w:tcBorders>
          </w:tcPr>
          <w:p>
            <w:pPr>
              <w:spacing w:after="0"/>
              <w:rPr>
                <w:sz w:val="23"/>
                <w:szCs w:val="23"/>
                <w:color w:val="auto"/>
              </w:rPr>
            </w:pPr>
          </w:p>
        </w:tc>
        <w:tc>
          <w:tcPr>
            <w:tcW w:w="220" w:type="dxa"/>
            <w:vAlign w:val="bottom"/>
            <w:tcBorders>
              <w:bottom w:val="single" w:sz="8" w:color="0591DB"/>
            </w:tcBorders>
          </w:tcPr>
          <w:p>
            <w:pPr>
              <w:spacing w:after="0"/>
              <w:rPr>
                <w:sz w:val="23"/>
                <w:szCs w:val="23"/>
                <w:color w:val="auto"/>
              </w:rPr>
            </w:pPr>
          </w:p>
        </w:tc>
        <w:tc>
          <w:tcPr>
            <w:tcW w:w="24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12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120" w:type="dxa"/>
            <w:vAlign w:val="bottom"/>
            <w:tcBorders>
              <w:bottom w:val="single" w:sz="8" w:color="0591DB"/>
            </w:tcBorders>
          </w:tcPr>
          <w:p>
            <w:pPr>
              <w:spacing w:after="0"/>
              <w:rPr>
                <w:sz w:val="23"/>
                <w:szCs w:val="23"/>
                <w:color w:val="auto"/>
              </w:rPr>
            </w:pPr>
          </w:p>
        </w:tc>
        <w:tc>
          <w:tcPr>
            <w:tcW w:w="640" w:type="dxa"/>
            <w:vAlign w:val="bottom"/>
            <w:tcBorders>
              <w:bottom w:val="single" w:sz="8" w:color="0591DB"/>
            </w:tcBorders>
            <w:gridSpan w:val="3"/>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Borders>
              <w:left w:val="single" w:sz="8" w:color="0591DB"/>
              <w:bottom w:val="single" w:sz="8" w:color="0591DB"/>
            </w:tcBorders>
            <w:gridSpan w:val="2"/>
          </w:tcPr>
          <w:p>
            <w:pPr>
              <w:ind w:left="140"/>
              <w:spacing w:after="0" w:line="234" w:lineRule="exact"/>
              <w:rPr>
                <w:sz w:val="20"/>
                <w:szCs w:val="20"/>
                <w:color w:val="auto"/>
              </w:rPr>
            </w:pPr>
            <w:r>
              <w:rPr>
                <w:rFonts w:ascii="Calibri" w:cs="Calibri" w:eastAsia="Calibri" w:hAnsi="Calibri"/>
                <w:sz w:val="21"/>
                <w:szCs w:val="21"/>
                <w:b w:val="1"/>
                <w:bCs w:val="1"/>
                <w:color w:val="0591DB"/>
              </w:rPr>
              <w:t>(AMOUNTS IN THOUSANDS)</w:t>
            </w:r>
          </w:p>
        </w:tc>
        <w:tc>
          <w:tcPr>
            <w:tcW w:w="400" w:type="dxa"/>
            <w:vAlign w:val="bottom"/>
            <w:tcBorders>
              <w:bottom w:val="single" w:sz="8" w:color="0591DB"/>
            </w:tcBorders>
          </w:tcPr>
          <w:p>
            <w:pPr>
              <w:spacing w:after="0"/>
              <w:rPr>
                <w:sz w:val="20"/>
                <w:szCs w:val="20"/>
                <w:color w:val="auto"/>
              </w:rPr>
            </w:pPr>
          </w:p>
        </w:tc>
        <w:tc>
          <w:tcPr>
            <w:tcW w:w="440" w:type="dxa"/>
            <w:vAlign w:val="bottom"/>
            <w:tcBorders>
              <w:bottom w:val="single" w:sz="8" w:color="0591DB"/>
            </w:tcBorders>
          </w:tcPr>
          <w:p>
            <w:pPr>
              <w:spacing w:after="0"/>
              <w:rPr>
                <w:sz w:val="20"/>
                <w:szCs w:val="20"/>
                <w:color w:val="auto"/>
              </w:rPr>
            </w:pPr>
          </w:p>
        </w:tc>
        <w:tc>
          <w:tcPr>
            <w:tcW w:w="2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4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380" w:type="dxa"/>
            <w:vAlign w:val="bottom"/>
            <w:tcBorders>
              <w:bottom w:val="single" w:sz="8" w:color="0591DB"/>
            </w:tcBorders>
          </w:tcPr>
          <w:p>
            <w:pPr>
              <w:spacing w:after="0"/>
              <w:rPr>
                <w:sz w:val="20"/>
                <w:szCs w:val="20"/>
                <w:color w:val="auto"/>
              </w:rPr>
            </w:pPr>
          </w:p>
        </w:tc>
        <w:tc>
          <w:tcPr>
            <w:tcW w:w="120" w:type="dxa"/>
            <w:vAlign w:val="bottom"/>
            <w:tcBorders>
              <w:bottom w:val="single" w:sz="8" w:color="0591DB"/>
            </w:tcBorders>
          </w:tcPr>
          <w:p>
            <w:pPr>
              <w:spacing w:after="0"/>
              <w:rPr>
                <w:sz w:val="20"/>
                <w:szCs w:val="20"/>
                <w:color w:val="auto"/>
              </w:rPr>
            </w:pPr>
          </w:p>
        </w:tc>
        <w:tc>
          <w:tcPr>
            <w:tcW w:w="36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100" w:type="dxa"/>
            <w:vAlign w:val="bottom"/>
            <w:tcBorders>
              <w:bottom w:val="single" w:sz="8" w:color="0591DB"/>
            </w:tcBorders>
          </w:tcPr>
          <w:p>
            <w:pPr>
              <w:spacing w:after="0"/>
              <w:rPr>
                <w:sz w:val="20"/>
                <w:szCs w:val="20"/>
                <w:color w:val="auto"/>
              </w:rPr>
            </w:pPr>
          </w:p>
        </w:tc>
        <w:tc>
          <w:tcPr>
            <w:tcW w:w="6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360" w:type="dxa"/>
            <w:vAlign w:val="bottom"/>
            <w:tcBorders>
              <w:bottom w:val="single" w:sz="8" w:color="0591DB"/>
            </w:tcBorders>
          </w:tcPr>
          <w:p>
            <w:pPr>
              <w:spacing w:after="0"/>
              <w:rPr>
                <w:sz w:val="20"/>
                <w:szCs w:val="20"/>
                <w:color w:val="auto"/>
              </w:rPr>
            </w:pPr>
          </w:p>
        </w:tc>
        <w:tc>
          <w:tcPr>
            <w:tcW w:w="100" w:type="dxa"/>
            <w:vAlign w:val="bottom"/>
            <w:tcBorders>
              <w:bottom w:val="single" w:sz="8" w:color="0591DB"/>
            </w:tcBorders>
          </w:tcPr>
          <w:p>
            <w:pPr>
              <w:spacing w:after="0"/>
              <w:rPr>
                <w:sz w:val="20"/>
                <w:szCs w:val="20"/>
                <w:color w:val="auto"/>
              </w:rPr>
            </w:pPr>
          </w:p>
        </w:tc>
        <w:tc>
          <w:tcPr>
            <w:tcW w:w="460" w:type="dxa"/>
            <w:vAlign w:val="bottom"/>
            <w:tcBorders>
              <w:bottom w:val="single" w:sz="8" w:color="0591DB"/>
            </w:tcBorders>
          </w:tcPr>
          <w:p>
            <w:pPr>
              <w:spacing w:after="0"/>
              <w:rPr>
                <w:sz w:val="20"/>
                <w:szCs w:val="20"/>
                <w:color w:val="auto"/>
              </w:rPr>
            </w:pPr>
          </w:p>
        </w:tc>
        <w:tc>
          <w:tcPr>
            <w:tcW w:w="40" w:type="dxa"/>
            <w:vAlign w:val="bottom"/>
            <w:tcBorders>
              <w:bottom w:val="single" w:sz="8" w:color="0591DB"/>
            </w:tcBorders>
          </w:tcPr>
          <w:p>
            <w:pPr>
              <w:spacing w:after="0"/>
              <w:rPr>
                <w:sz w:val="20"/>
                <w:szCs w:val="20"/>
                <w:color w:val="auto"/>
              </w:rPr>
            </w:pPr>
          </w:p>
        </w:tc>
        <w:tc>
          <w:tcPr>
            <w:tcW w:w="40" w:type="dxa"/>
            <w:vAlign w:val="bottom"/>
            <w:tcBorders>
              <w:bottom w:val="single" w:sz="8" w:color="0591DB"/>
            </w:tcBorders>
          </w:tcPr>
          <w:p>
            <w:pPr>
              <w:spacing w:after="0"/>
              <w:rPr>
                <w:sz w:val="20"/>
                <w:szCs w:val="20"/>
                <w:color w:val="auto"/>
              </w:rPr>
            </w:pPr>
          </w:p>
        </w:tc>
        <w:tc>
          <w:tcPr>
            <w:tcW w:w="20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22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460" w:type="dxa"/>
            <w:vAlign w:val="bottom"/>
            <w:tcBorders>
              <w:bottom w:val="single" w:sz="8" w:color="0591DB"/>
            </w:tcBorders>
          </w:tcPr>
          <w:p>
            <w:pPr>
              <w:spacing w:after="0"/>
              <w:rPr>
                <w:sz w:val="20"/>
                <w:szCs w:val="20"/>
                <w:color w:val="auto"/>
              </w:rPr>
            </w:pPr>
          </w:p>
        </w:tc>
        <w:tc>
          <w:tcPr>
            <w:tcW w:w="220" w:type="dxa"/>
            <w:vAlign w:val="bottom"/>
            <w:tcBorders>
              <w:bottom w:val="single" w:sz="8" w:color="0591DB"/>
            </w:tcBorders>
          </w:tcPr>
          <w:p>
            <w:pPr>
              <w:spacing w:after="0"/>
              <w:rPr>
                <w:sz w:val="20"/>
                <w:szCs w:val="20"/>
                <w:color w:val="auto"/>
              </w:rPr>
            </w:pPr>
          </w:p>
        </w:tc>
        <w:tc>
          <w:tcPr>
            <w:tcW w:w="24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40" w:type="dxa"/>
            <w:vAlign w:val="bottom"/>
            <w:tcBorders>
              <w:bottom w:val="single" w:sz="8" w:color="0591DB"/>
              <w:right w:val="single" w:sz="8" w:color="0591DB"/>
            </w:tcBorders>
          </w:tcPr>
          <w:p>
            <w:pPr>
              <w:spacing w:after="0"/>
              <w:rPr>
                <w:sz w:val="20"/>
                <w:szCs w:val="20"/>
                <w:color w:val="auto"/>
              </w:rPr>
            </w:pPr>
          </w:p>
        </w:tc>
        <w:tc>
          <w:tcPr>
            <w:tcW w:w="12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120" w:type="dxa"/>
            <w:vAlign w:val="bottom"/>
            <w:tcBorders>
              <w:bottom w:val="single" w:sz="8" w:color="0591DB"/>
            </w:tcBorders>
          </w:tcPr>
          <w:p>
            <w:pPr>
              <w:spacing w:after="0"/>
              <w:rPr>
                <w:sz w:val="20"/>
                <w:szCs w:val="20"/>
                <w:color w:val="auto"/>
              </w:rPr>
            </w:pPr>
          </w:p>
        </w:tc>
        <w:tc>
          <w:tcPr>
            <w:tcW w:w="640" w:type="dxa"/>
            <w:vAlign w:val="bottom"/>
            <w:tcBorders>
              <w:bottom w:val="single" w:sz="8" w:color="0591DB"/>
            </w:tcBorders>
            <w:gridSpan w:val="3"/>
          </w:tcPr>
          <w:p>
            <w:pPr>
              <w:jc w:val="right"/>
              <w:ind w:right="94"/>
              <w:spacing w:after="0" w:line="234" w:lineRule="exact"/>
              <w:rPr>
                <w:sz w:val="20"/>
                <w:szCs w:val="20"/>
                <w:color w:val="auto"/>
              </w:rPr>
            </w:pPr>
            <w:r>
              <w:rPr>
                <w:rFonts w:ascii="Calibri" w:cs="Calibri" w:eastAsia="Calibri" w:hAnsi="Calibri"/>
                <w:sz w:val="21"/>
                <w:szCs w:val="21"/>
                <w:b w:val="1"/>
                <w:bCs w:val="1"/>
                <w:color w:val="0591DB"/>
              </w:rPr>
              <w:t>2025</w:t>
            </w:r>
          </w:p>
        </w:tc>
        <w:tc>
          <w:tcPr>
            <w:tcW w:w="20" w:type="dxa"/>
            <w:vAlign w:val="bottom"/>
            <w:tcBorders>
              <w:bottom w:val="single" w:sz="8" w:color="0591DB"/>
            </w:tcBorders>
          </w:tcPr>
          <w:p>
            <w:pPr>
              <w:spacing w:after="0"/>
              <w:rPr>
                <w:sz w:val="20"/>
                <w:szCs w:val="20"/>
                <w:color w:val="auto"/>
              </w:rPr>
            </w:pPr>
          </w:p>
        </w:tc>
        <w:tc>
          <w:tcPr>
            <w:tcW w:w="200" w:type="dxa"/>
            <w:vAlign w:val="bottom"/>
            <w:tcBorders>
              <w:bottom w:val="single" w:sz="8" w:color="0591DB"/>
            </w:tcBorders>
          </w:tcPr>
          <w:p>
            <w:pPr>
              <w:spacing w:after="0"/>
              <w:rPr>
                <w:sz w:val="20"/>
                <w:szCs w:val="20"/>
                <w:color w:val="auto"/>
              </w:rPr>
            </w:pPr>
          </w:p>
        </w:tc>
        <w:tc>
          <w:tcPr>
            <w:tcW w:w="20" w:type="dxa"/>
            <w:vAlign w:val="bottom"/>
            <w:tcBorders>
              <w:bottom w:val="single" w:sz="8" w:color="0591DB"/>
            </w:tcBorders>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gridSpan w:val="2"/>
          </w:tcPr>
          <w:p>
            <w:pPr>
              <w:spacing w:after="0" w:line="197" w:lineRule="exact"/>
              <w:rPr>
                <w:sz w:val="20"/>
                <w:szCs w:val="20"/>
                <w:color w:val="auto"/>
              </w:rPr>
            </w:pPr>
            <w:r>
              <w:rPr>
                <w:rFonts w:ascii="Calibri" w:cs="Calibri" w:eastAsia="Calibri" w:hAnsi="Calibri"/>
                <w:sz w:val="17"/>
                <w:szCs w:val="17"/>
                <w:b w:val="1"/>
                <w:bCs w:val="1"/>
                <w:color w:val="333333"/>
              </w:rPr>
              <w:t>Net cash provided by operatng actvites</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w:t>
            </w:r>
          </w:p>
        </w:tc>
        <w:tc>
          <w:tcPr>
            <w:tcW w:w="64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152,132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Purchases of property and equipment</w:t>
            </w:r>
          </w:p>
        </w:tc>
        <w:tc>
          <w:tcPr>
            <w:tcW w:w="400" w:type="dxa"/>
            <w:vAlign w:val="bottom"/>
            <w:tcBorders>
              <w:bottom w:val="single" w:sz="8" w:color="EFF2EF"/>
              <w:right w:val="single" w:sz="8" w:color="EFF2EF"/>
            </w:tcBorders>
            <w:shd w:val="clear" w:color="auto" w:fill="EFF2EF"/>
          </w:tcPr>
          <w:p>
            <w:pPr>
              <w:spacing w:after="0"/>
              <w:rPr>
                <w:sz w:val="22"/>
                <w:szCs w:val="22"/>
                <w:color w:val="auto"/>
              </w:rPr>
            </w:pPr>
          </w:p>
        </w:tc>
        <w:tc>
          <w:tcPr>
            <w:tcW w:w="440" w:type="dxa"/>
            <w:vAlign w:val="bottom"/>
            <w:tcBorders>
              <w:bottom w:val="single" w:sz="8" w:color="EFF2EF"/>
            </w:tcBorders>
            <w:shd w:val="clear" w:color="auto" w:fill="EFF2EF"/>
          </w:tcPr>
          <w:p>
            <w:pPr>
              <w:spacing w:after="0"/>
              <w:rPr>
                <w:sz w:val="22"/>
                <w:szCs w:val="22"/>
                <w:color w:val="auto"/>
              </w:rPr>
            </w:pPr>
          </w:p>
        </w:tc>
        <w:tc>
          <w:tcPr>
            <w:tcW w:w="20" w:type="dxa"/>
            <w:vAlign w:val="bottom"/>
            <w:tcBorders>
              <w:bottom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4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380" w:type="dxa"/>
            <w:vAlign w:val="bottom"/>
            <w:tcBorders>
              <w:bottom w:val="single" w:sz="8" w:color="EFF2EF"/>
            </w:tcBorders>
            <w:shd w:val="clear" w:color="auto" w:fill="EFF2EF"/>
          </w:tcPr>
          <w:p>
            <w:pPr>
              <w:spacing w:after="0"/>
              <w:rPr>
                <w:sz w:val="22"/>
                <w:szCs w:val="22"/>
                <w:color w:val="auto"/>
              </w:rPr>
            </w:pPr>
          </w:p>
        </w:tc>
        <w:tc>
          <w:tcPr>
            <w:tcW w:w="120" w:type="dxa"/>
            <w:vAlign w:val="bottom"/>
            <w:tcBorders>
              <w:bottom w:val="single" w:sz="8" w:color="EFF2EF"/>
              <w:right w:val="single" w:sz="8" w:color="EFF2EF"/>
            </w:tcBorders>
            <w:shd w:val="clear" w:color="auto" w:fill="EFF2EF"/>
          </w:tcPr>
          <w:p>
            <w:pPr>
              <w:spacing w:after="0"/>
              <w:rPr>
                <w:sz w:val="22"/>
                <w:szCs w:val="22"/>
                <w:color w:val="auto"/>
              </w:rPr>
            </w:pPr>
          </w:p>
        </w:tc>
        <w:tc>
          <w:tcPr>
            <w:tcW w:w="360" w:type="dxa"/>
            <w:vAlign w:val="bottom"/>
            <w:tcBorders>
              <w:bottom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100" w:type="dxa"/>
            <w:vAlign w:val="bottom"/>
            <w:tcBorders>
              <w:bottom w:val="single" w:sz="8" w:color="EFF2EF"/>
            </w:tcBorders>
            <w:shd w:val="clear" w:color="auto" w:fill="EFF2EF"/>
          </w:tcPr>
          <w:p>
            <w:pPr>
              <w:spacing w:after="0"/>
              <w:rPr>
                <w:sz w:val="22"/>
                <w:szCs w:val="22"/>
                <w:color w:val="auto"/>
              </w:rPr>
            </w:pPr>
          </w:p>
        </w:tc>
        <w:tc>
          <w:tcPr>
            <w:tcW w:w="6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360" w:type="dxa"/>
            <w:vAlign w:val="bottom"/>
            <w:tcBorders>
              <w:bottom w:val="single" w:sz="8" w:color="EFF2EF"/>
            </w:tcBorders>
            <w:shd w:val="clear" w:color="auto" w:fill="EFF2EF"/>
          </w:tcPr>
          <w:p>
            <w:pPr>
              <w:spacing w:after="0"/>
              <w:rPr>
                <w:sz w:val="22"/>
                <w:szCs w:val="22"/>
                <w:color w:val="auto"/>
              </w:rPr>
            </w:pPr>
          </w:p>
        </w:tc>
        <w:tc>
          <w:tcPr>
            <w:tcW w:w="100" w:type="dxa"/>
            <w:vAlign w:val="bottom"/>
            <w:tcBorders>
              <w:bottom w:val="single" w:sz="8" w:color="EFF2EF"/>
              <w:right w:val="single" w:sz="8" w:color="EFF2EF"/>
            </w:tcBorders>
            <w:shd w:val="clear" w:color="auto" w:fill="EFF2EF"/>
          </w:tcPr>
          <w:p>
            <w:pPr>
              <w:spacing w:after="0"/>
              <w:rPr>
                <w:sz w:val="22"/>
                <w:szCs w:val="22"/>
                <w:color w:val="auto"/>
              </w:rPr>
            </w:pPr>
          </w:p>
        </w:tc>
        <w:tc>
          <w:tcPr>
            <w:tcW w:w="460" w:type="dxa"/>
            <w:vAlign w:val="bottom"/>
            <w:tcBorders>
              <w:bottom w:val="single" w:sz="8" w:color="EFF2EF"/>
            </w:tcBorders>
            <w:shd w:val="clear" w:color="auto" w:fill="EFF2EF"/>
          </w:tcPr>
          <w:p>
            <w:pPr>
              <w:spacing w:after="0"/>
              <w:rPr>
                <w:sz w:val="22"/>
                <w:szCs w:val="22"/>
                <w:color w:val="auto"/>
              </w:rPr>
            </w:pPr>
          </w:p>
        </w:tc>
        <w:tc>
          <w:tcPr>
            <w:tcW w:w="40" w:type="dxa"/>
            <w:vAlign w:val="bottom"/>
            <w:tcBorders>
              <w:bottom w:val="single" w:sz="8" w:color="EFF2EF"/>
            </w:tcBorders>
            <w:shd w:val="clear" w:color="auto" w:fill="EFF2EF"/>
          </w:tcPr>
          <w:p>
            <w:pPr>
              <w:spacing w:after="0"/>
              <w:rPr>
                <w:sz w:val="22"/>
                <w:szCs w:val="22"/>
                <w:color w:val="auto"/>
              </w:rPr>
            </w:pPr>
          </w:p>
        </w:tc>
        <w:tc>
          <w:tcPr>
            <w:tcW w:w="40" w:type="dxa"/>
            <w:vAlign w:val="bottom"/>
            <w:tcBorders>
              <w:bottom w:val="single" w:sz="8" w:color="EFF2EF"/>
            </w:tcBorders>
            <w:shd w:val="clear" w:color="auto" w:fill="EFF2EF"/>
          </w:tcPr>
          <w:p>
            <w:pPr>
              <w:spacing w:after="0"/>
              <w:rPr>
                <w:sz w:val="22"/>
                <w:szCs w:val="22"/>
                <w:color w:val="auto"/>
              </w:rPr>
            </w:pPr>
          </w:p>
        </w:tc>
        <w:tc>
          <w:tcPr>
            <w:tcW w:w="20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220" w:type="dxa"/>
            <w:vAlign w:val="bottom"/>
            <w:tcBorders>
              <w:bottom w:val="single" w:sz="8" w:color="EFF2EF"/>
            </w:tcBorders>
            <w:shd w:val="clear" w:color="auto" w:fill="EFF2EF"/>
          </w:tcPr>
          <w:p>
            <w:pPr>
              <w:spacing w:after="0"/>
              <w:rPr>
                <w:sz w:val="22"/>
                <w:szCs w:val="22"/>
                <w:color w:val="auto"/>
              </w:rPr>
            </w:pPr>
          </w:p>
        </w:tc>
        <w:tc>
          <w:tcPr>
            <w:tcW w:w="80" w:type="dxa"/>
            <w:vAlign w:val="bottom"/>
            <w:tcBorders>
              <w:bottom w:val="single" w:sz="8" w:color="EFF2EF"/>
              <w:right w:val="single" w:sz="8" w:color="EFF2EF"/>
            </w:tcBorders>
            <w:shd w:val="clear" w:color="auto" w:fill="EFF2EF"/>
          </w:tcPr>
          <w:p>
            <w:pPr>
              <w:spacing w:after="0"/>
              <w:rPr>
                <w:sz w:val="22"/>
                <w:szCs w:val="22"/>
                <w:color w:val="auto"/>
              </w:rPr>
            </w:pPr>
          </w:p>
        </w:tc>
        <w:tc>
          <w:tcPr>
            <w:tcW w:w="460" w:type="dxa"/>
            <w:vAlign w:val="bottom"/>
            <w:tcBorders>
              <w:bottom w:val="single" w:sz="8" w:color="EFF2EF"/>
            </w:tcBorders>
            <w:shd w:val="clear" w:color="auto" w:fill="EFF2EF"/>
          </w:tcPr>
          <w:p>
            <w:pPr>
              <w:spacing w:after="0"/>
              <w:rPr>
                <w:sz w:val="22"/>
                <w:szCs w:val="22"/>
                <w:color w:val="auto"/>
              </w:rPr>
            </w:pPr>
          </w:p>
        </w:tc>
        <w:tc>
          <w:tcPr>
            <w:tcW w:w="220" w:type="dxa"/>
            <w:vAlign w:val="bottom"/>
            <w:tcBorders>
              <w:bottom w:val="single" w:sz="8" w:color="EFF2EF"/>
            </w:tcBorders>
            <w:shd w:val="clear" w:color="auto" w:fill="EFF2EF"/>
          </w:tcPr>
          <w:p>
            <w:pPr>
              <w:spacing w:after="0"/>
              <w:rPr>
                <w:sz w:val="22"/>
                <w:szCs w:val="22"/>
                <w:color w:val="auto"/>
              </w:rPr>
            </w:pPr>
          </w:p>
        </w:tc>
        <w:tc>
          <w:tcPr>
            <w:tcW w:w="24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40" w:type="dxa"/>
            <w:vAlign w:val="bottom"/>
            <w:tcBorders>
              <w:bottom w:val="single" w:sz="8" w:color="EFF2EF"/>
              <w:right w:val="single" w:sz="8" w:color="EFF2EF"/>
            </w:tcBorders>
            <w:shd w:val="clear" w:color="auto" w:fill="EFF2EF"/>
          </w:tcPr>
          <w:p>
            <w:pPr>
              <w:spacing w:after="0"/>
              <w:rPr>
                <w:sz w:val="22"/>
                <w:szCs w:val="22"/>
                <w:color w:val="auto"/>
              </w:rPr>
            </w:pPr>
          </w:p>
        </w:tc>
        <w:tc>
          <w:tcPr>
            <w:tcW w:w="12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120" w:type="dxa"/>
            <w:vAlign w:val="bottom"/>
            <w:tcBorders>
              <w:bottom w:val="single" w:sz="8" w:color="EFF2EF"/>
            </w:tcBorders>
            <w:shd w:val="clear" w:color="auto" w:fill="EFF2EF"/>
          </w:tcPr>
          <w:p>
            <w:pPr>
              <w:spacing w:after="0"/>
              <w:rPr>
                <w:sz w:val="22"/>
                <w:szCs w:val="22"/>
                <w:color w:val="auto"/>
              </w:rPr>
            </w:pPr>
          </w:p>
        </w:tc>
        <w:tc>
          <w:tcPr>
            <w:tcW w:w="860" w:type="dxa"/>
            <w:vAlign w:val="bottom"/>
            <w:tcBorders>
              <w:bottom w:val="single" w:sz="8" w:color="EFF2EF"/>
            </w:tcBorders>
            <w:gridSpan w:val="5"/>
            <w:shd w:val="clear" w:color="auto" w:fill="EFF2EF"/>
          </w:tcPr>
          <w:p>
            <w:pPr>
              <w:jc w:val="right"/>
              <w:ind w:right="160"/>
              <w:spacing w:after="0" w:line="203" w:lineRule="exact"/>
              <w:rPr>
                <w:sz w:val="20"/>
                <w:szCs w:val="20"/>
                <w:color w:val="auto"/>
              </w:rPr>
            </w:pPr>
            <w:r>
              <w:rPr>
                <w:rFonts w:ascii="Calibri" w:cs="Calibri" w:eastAsia="Calibri" w:hAnsi="Calibri"/>
                <w:sz w:val="17"/>
                <w:szCs w:val="17"/>
                <w:color w:val="333333"/>
              </w:rPr>
              <w:t>(58,531)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gridSpan w:val="2"/>
          </w:tcPr>
          <w:p>
            <w:pPr>
              <w:spacing w:after="0" w:line="183" w:lineRule="exact"/>
              <w:rPr>
                <w:sz w:val="20"/>
                <w:szCs w:val="20"/>
                <w:color w:val="auto"/>
              </w:rPr>
            </w:pPr>
            <w:r>
              <w:rPr>
                <w:rFonts w:ascii="Calibri" w:cs="Calibri" w:eastAsia="Calibri" w:hAnsi="Calibri"/>
                <w:sz w:val="17"/>
                <w:szCs w:val="17"/>
                <w:b w:val="1"/>
                <w:bCs w:val="1"/>
                <w:color w:val="333333"/>
              </w:rPr>
              <w:t>Free Cash Flow</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333333"/>
            </w:tcBorders>
          </w:tcPr>
          <w:p>
            <w:pPr>
              <w:jc w:val="right"/>
              <w:spacing w:after="0"/>
              <w:rPr>
                <w:sz w:val="20"/>
                <w:szCs w:val="20"/>
                <w:color w:val="auto"/>
              </w:rPr>
            </w:pPr>
            <w:r>
              <w:rPr>
                <w:rFonts w:ascii="Calibri" w:cs="Calibri" w:eastAsia="Calibri" w:hAnsi="Calibri"/>
                <w:sz w:val="16"/>
                <w:szCs w:val="16"/>
                <w:b w:val="1"/>
                <w:bCs w:val="1"/>
                <w:color w:val="333333"/>
                <w:w w:val="73"/>
              </w:rPr>
              <w:t>$</w:t>
            </w:r>
          </w:p>
        </w:tc>
        <w:tc>
          <w:tcPr>
            <w:tcW w:w="80" w:type="dxa"/>
            <w:vAlign w:val="bottom"/>
            <w:tcBorders>
              <w:top w:val="single" w:sz="8" w:color="333333"/>
            </w:tcBorders>
          </w:tcPr>
          <w:p>
            <w:pPr>
              <w:spacing w:after="0"/>
              <w:rPr>
                <w:sz w:val="17"/>
                <w:szCs w:val="17"/>
                <w:color w:val="auto"/>
              </w:rPr>
            </w:pPr>
          </w:p>
        </w:tc>
        <w:tc>
          <w:tcPr>
            <w:tcW w:w="80" w:type="dxa"/>
            <w:vAlign w:val="bottom"/>
            <w:tcBorders>
              <w:top w:val="single" w:sz="8" w:color="333333"/>
            </w:tcBorders>
          </w:tcPr>
          <w:p>
            <w:pPr>
              <w:spacing w:after="0"/>
              <w:rPr>
                <w:sz w:val="17"/>
                <w:szCs w:val="17"/>
                <w:color w:val="auto"/>
              </w:rPr>
            </w:pPr>
          </w:p>
        </w:tc>
        <w:tc>
          <w:tcPr>
            <w:tcW w:w="480" w:type="dxa"/>
            <w:vAlign w:val="bottom"/>
            <w:tcBorders>
              <w:top w:val="single" w:sz="8" w:color="333333"/>
            </w:tcBorders>
          </w:tcPr>
          <w:p>
            <w:pPr>
              <w:jc w:val="right"/>
              <w:spacing w:after="0" w:line="197" w:lineRule="exact"/>
              <w:rPr>
                <w:sz w:val="20"/>
                <w:szCs w:val="20"/>
                <w:color w:val="auto"/>
              </w:rPr>
            </w:pPr>
            <w:r>
              <w:rPr>
                <w:rFonts w:ascii="Calibri" w:cs="Calibri" w:eastAsia="Calibri" w:hAnsi="Calibri"/>
                <w:sz w:val="17"/>
                <w:szCs w:val="17"/>
                <w:b w:val="1"/>
                <w:bCs w:val="1"/>
                <w:color w:val="333333"/>
                <w:w w:val="96"/>
              </w:rPr>
              <w:t>93,601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9380" w:type="dxa"/>
            <w:vAlign w:val="bottom"/>
            <w:gridSpan w:val="27"/>
            <w:vMerge w:val="restart"/>
          </w:tcPr>
          <w:p>
            <w:pPr>
              <w:spacing w:after="0"/>
              <w:rPr>
                <w:sz w:val="20"/>
                <w:szCs w:val="20"/>
                <w:color w:val="auto"/>
              </w:rPr>
            </w:pPr>
            <w:r>
              <w:rPr>
                <w:rFonts w:ascii="Calibri" w:cs="Calibri" w:eastAsia="Calibri" w:hAnsi="Calibri"/>
                <w:sz w:val="17"/>
                <w:szCs w:val="17"/>
                <w:b w:val="1"/>
                <w:bCs w:val="1"/>
                <w:color w:val="0C3A68"/>
              </w:rPr>
              <w:t>RECONCILIATION OF REVENUE GROWTH TO ORGANIC REVENUE GROWTH FOR THE YEARS PRESENTED IN THE PROXY STATEMENT:</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333333"/>
            </w:tcBorders>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80" w:type="dxa"/>
            <w:vAlign w:val="bottom"/>
            <w:tcBorders>
              <w:bottom w:val="single" w:sz="8" w:color="333333"/>
            </w:tcBorders>
          </w:tcPr>
          <w:p>
            <w:pPr>
              <w:spacing w:after="0"/>
              <w:rPr>
                <w:sz w:val="5"/>
                <w:szCs w:val="5"/>
                <w:color w:val="auto"/>
              </w:rPr>
            </w:pPr>
          </w:p>
        </w:tc>
        <w:tc>
          <w:tcPr>
            <w:tcW w:w="480" w:type="dxa"/>
            <w:vAlign w:val="bottom"/>
            <w:tcBorders>
              <w:bottom w:val="single" w:sz="8" w:color="333333"/>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380" w:type="dxa"/>
            <w:vAlign w:val="bottom"/>
            <w:gridSpan w:val="27"/>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333333"/>
            </w:tcBorders>
          </w:tcPr>
          <w:p>
            <w:pPr>
              <w:spacing w:after="0" w:line="20" w:lineRule="exact"/>
              <w:rPr>
                <w:sz w:val="1"/>
                <w:szCs w:val="1"/>
                <w:color w:val="auto"/>
              </w:rPr>
            </w:pPr>
          </w:p>
        </w:tc>
        <w:tc>
          <w:tcPr>
            <w:tcW w:w="80" w:type="dxa"/>
            <w:vAlign w:val="bottom"/>
            <w:tcBorders>
              <w:bottom w:val="single" w:sz="8" w:color="333333"/>
            </w:tcBorders>
          </w:tcPr>
          <w:p>
            <w:pPr>
              <w:spacing w:after="0" w:line="20" w:lineRule="exact"/>
              <w:rPr>
                <w:sz w:val="1"/>
                <w:szCs w:val="1"/>
                <w:color w:val="auto"/>
              </w:rPr>
            </w:pPr>
          </w:p>
        </w:tc>
        <w:tc>
          <w:tcPr>
            <w:tcW w:w="80" w:type="dxa"/>
            <w:vAlign w:val="bottom"/>
            <w:tcBorders>
              <w:bottom w:val="single" w:sz="8" w:color="333333"/>
            </w:tcBorders>
          </w:tcPr>
          <w:p>
            <w:pPr>
              <w:spacing w:after="0" w:line="20" w:lineRule="exact"/>
              <w:rPr>
                <w:sz w:val="1"/>
                <w:szCs w:val="1"/>
                <w:color w:val="auto"/>
              </w:rPr>
            </w:pPr>
          </w:p>
        </w:tc>
        <w:tc>
          <w:tcPr>
            <w:tcW w:w="480" w:type="dxa"/>
            <w:vAlign w:val="bottom"/>
            <w:tcBorders>
              <w:bottom w:val="single" w:sz="8" w:color="33333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380" w:type="dxa"/>
            <w:vAlign w:val="bottom"/>
            <w:gridSpan w:val="27"/>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60" w:type="dxa"/>
            <w:vAlign w:val="bottom"/>
            <w:tcBorders>
              <w:bottom w:val="single" w:sz="8" w:color="0591DB"/>
            </w:tcBorders>
          </w:tcPr>
          <w:p>
            <w:pPr>
              <w:spacing w:after="0"/>
              <w:rPr>
                <w:sz w:val="23"/>
                <w:szCs w:val="23"/>
                <w:color w:val="auto"/>
              </w:rPr>
            </w:pPr>
          </w:p>
        </w:tc>
        <w:tc>
          <w:tcPr>
            <w:tcW w:w="840" w:type="dxa"/>
            <w:vAlign w:val="bottom"/>
            <w:tcBorders>
              <w:bottom w:val="single" w:sz="8" w:color="0591DB"/>
            </w:tcBorders>
            <w:gridSpan w:val="2"/>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940" w:type="dxa"/>
            <w:vAlign w:val="bottom"/>
            <w:tcBorders>
              <w:bottom w:val="single" w:sz="8" w:color="0591DB"/>
            </w:tcBorders>
            <w:gridSpan w:val="4"/>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100" w:type="dxa"/>
            <w:vAlign w:val="bottom"/>
            <w:tcBorders>
              <w:bottom w:val="single" w:sz="8" w:color="0591DB"/>
            </w:tcBorders>
          </w:tcPr>
          <w:p>
            <w:pPr>
              <w:spacing w:after="0"/>
              <w:rPr>
                <w:sz w:val="23"/>
                <w:szCs w:val="23"/>
                <w:color w:val="auto"/>
              </w:rPr>
            </w:pPr>
          </w:p>
        </w:tc>
        <w:tc>
          <w:tcPr>
            <w:tcW w:w="60" w:type="dxa"/>
            <w:vAlign w:val="bottom"/>
            <w:tcBorders>
              <w:bottom w:val="single" w:sz="8" w:color="0591DB"/>
            </w:tcBorders>
          </w:tcPr>
          <w:p>
            <w:pPr>
              <w:spacing w:after="0"/>
              <w:rPr>
                <w:sz w:val="23"/>
                <w:szCs w:val="23"/>
                <w:color w:val="auto"/>
              </w:rPr>
            </w:pPr>
          </w:p>
        </w:tc>
        <w:tc>
          <w:tcPr>
            <w:tcW w:w="1000" w:type="dxa"/>
            <w:vAlign w:val="bottom"/>
            <w:tcBorders>
              <w:bottom w:val="single" w:sz="8" w:color="0591DB"/>
            </w:tcBorders>
            <w:gridSpan w:val="4"/>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22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460" w:type="dxa"/>
            <w:vAlign w:val="bottom"/>
            <w:tcBorders>
              <w:bottom w:val="single" w:sz="8" w:color="0591DB"/>
            </w:tcBorders>
          </w:tcPr>
          <w:p>
            <w:pPr>
              <w:spacing w:after="0"/>
              <w:rPr>
                <w:sz w:val="23"/>
                <w:szCs w:val="23"/>
                <w:color w:val="auto"/>
              </w:rPr>
            </w:pPr>
          </w:p>
        </w:tc>
        <w:tc>
          <w:tcPr>
            <w:tcW w:w="220" w:type="dxa"/>
            <w:vAlign w:val="bottom"/>
            <w:tcBorders>
              <w:bottom w:val="single" w:sz="8" w:color="0591DB"/>
            </w:tcBorders>
          </w:tcPr>
          <w:p>
            <w:pPr>
              <w:spacing w:after="0"/>
              <w:rPr>
                <w:sz w:val="23"/>
                <w:szCs w:val="23"/>
                <w:color w:val="auto"/>
              </w:rPr>
            </w:pPr>
          </w:p>
        </w:tc>
        <w:tc>
          <w:tcPr>
            <w:tcW w:w="240" w:type="dxa"/>
            <w:vAlign w:val="bottom"/>
            <w:tcBorders>
              <w:bottom w:val="single" w:sz="8" w:color="0591DB"/>
            </w:tcBorders>
          </w:tcPr>
          <w:p>
            <w:pPr>
              <w:spacing w:after="0"/>
              <w:rPr>
                <w:sz w:val="23"/>
                <w:szCs w:val="23"/>
                <w:color w:val="auto"/>
              </w:rPr>
            </w:pPr>
          </w:p>
        </w:tc>
        <w:tc>
          <w:tcPr>
            <w:tcW w:w="80" w:type="dxa"/>
            <w:vAlign w:val="bottom"/>
            <w:tcBorders>
              <w:bottom w:val="single" w:sz="8" w:color="0591DB"/>
            </w:tcBorders>
          </w:tcPr>
          <w:p>
            <w:pPr>
              <w:spacing w:after="0"/>
              <w:rPr>
                <w:sz w:val="23"/>
                <w:szCs w:val="23"/>
                <w:color w:val="auto"/>
              </w:rPr>
            </w:pPr>
          </w:p>
        </w:tc>
        <w:tc>
          <w:tcPr>
            <w:tcW w:w="40" w:type="dxa"/>
            <w:vAlign w:val="bottom"/>
            <w:tcBorders>
              <w:bottom w:val="single" w:sz="8" w:color="0591DB"/>
            </w:tcBorders>
          </w:tcPr>
          <w:p>
            <w:pPr>
              <w:spacing w:after="0"/>
              <w:rPr>
                <w:sz w:val="23"/>
                <w:szCs w:val="23"/>
                <w:color w:val="auto"/>
              </w:rPr>
            </w:pPr>
          </w:p>
        </w:tc>
        <w:tc>
          <w:tcPr>
            <w:tcW w:w="120" w:type="dxa"/>
            <w:vAlign w:val="bottom"/>
            <w:tcBorders>
              <w:bottom w:val="single" w:sz="8" w:color="0591DB"/>
            </w:tcBorders>
          </w:tcPr>
          <w:p>
            <w:pPr>
              <w:spacing w:after="0"/>
              <w:rPr>
                <w:sz w:val="23"/>
                <w:szCs w:val="23"/>
                <w:color w:val="auto"/>
              </w:rPr>
            </w:pPr>
          </w:p>
        </w:tc>
        <w:tc>
          <w:tcPr>
            <w:tcW w:w="840" w:type="dxa"/>
            <w:vAlign w:val="bottom"/>
            <w:tcBorders>
              <w:bottom w:val="single" w:sz="8" w:color="0591DB"/>
            </w:tcBorders>
            <w:gridSpan w:val="5"/>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200" w:type="dxa"/>
            <w:vAlign w:val="bottom"/>
            <w:tcBorders>
              <w:bottom w:val="single" w:sz="8" w:color="0591DB"/>
            </w:tcBorders>
          </w:tcPr>
          <w:p>
            <w:pPr>
              <w:spacing w:after="0"/>
              <w:rPr>
                <w:sz w:val="23"/>
                <w:szCs w:val="23"/>
                <w:color w:val="auto"/>
              </w:rPr>
            </w:pPr>
          </w:p>
        </w:tc>
        <w:tc>
          <w:tcPr>
            <w:tcW w:w="20" w:type="dxa"/>
            <w:vAlign w:val="bottom"/>
            <w:tcBorders>
              <w:bottom w:val="single" w:sz="8" w:color="0591DB"/>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Borders>
              <w:right w:val="single" w:sz="8" w:color="0591DB"/>
            </w:tcBorders>
          </w:tcPr>
          <w:p>
            <w:pPr>
              <w:spacing w:after="0"/>
              <w:rPr>
                <w:sz w:val="20"/>
                <w:szCs w:val="20"/>
                <w:color w:val="auto"/>
              </w:rPr>
            </w:pPr>
          </w:p>
        </w:tc>
        <w:tc>
          <w:tcPr>
            <w:tcW w:w="60" w:type="dxa"/>
            <w:vAlign w:val="bottom"/>
            <w:tcBorders>
              <w:bottom w:val="single" w:sz="8" w:color="0591DB"/>
            </w:tcBorders>
          </w:tcPr>
          <w:p>
            <w:pPr>
              <w:spacing w:after="0"/>
              <w:rPr>
                <w:sz w:val="20"/>
                <w:szCs w:val="20"/>
                <w:color w:val="auto"/>
              </w:rPr>
            </w:pPr>
          </w:p>
        </w:tc>
        <w:tc>
          <w:tcPr>
            <w:tcW w:w="840" w:type="dxa"/>
            <w:vAlign w:val="bottom"/>
            <w:tcBorders>
              <w:bottom w:val="single" w:sz="8" w:color="0591DB"/>
            </w:tcBorders>
            <w:gridSpan w:val="2"/>
          </w:tcPr>
          <w:p>
            <w:pPr>
              <w:jc w:val="right"/>
              <w:ind w:right="135"/>
              <w:spacing w:after="0" w:line="234" w:lineRule="exact"/>
              <w:rPr>
                <w:sz w:val="20"/>
                <w:szCs w:val="20"/>
                <w:color w:val="auto"/>
              </w:rPr>
            </w:pPr>
            <w:r>
              <w:rPr>
                <w:rFonts w:ascii="Calibri" w:cs="Calibri" w:eastAsia="Calibri" w:hAnsi="Calibri"/>
                <w:sz w:val="21"/>
                <w:szCs w:val="21"/>
                <w:b w:val="1"/>
                <w:bCs w:val="1"/>
                <w:color w:val="0591DB"/>
              </w:rPr>
              <w:t>2025</w:t>
            </w:r>
          </w:p>
        </w:tc>
        <w:tc>
          <w:tcPr>
            <w:tcW w:w="2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40" w:type="dxa"/>
            <w:vAlign w:val="bottom"/>
            <w:tcBorders>
              <w:bottom w:val="single" w:sz="8" w:color="0591DB"/>
              <w:right w:val="single" w:sz="8" w:color="0591DB"/>
            </w:tcBorders>
          </w:tcPr>
          <w:p>
            <w:pPr>
              <w:spacing w:after="0"/>
              <w:rPr>
                <w:sz w:val="20"/>
                <w:szCs w:val="20"/>
                <w:color w:val="auto"/>
              </w:rPr>
            </w:pPr>
          </w:p>
        </w:tc>
        <w:tc>
          <w:tcPr>
            <w:tcW w:w="940" w:type="dxa"/>
            <w:vAlign w:val="bottom"/>
            <w:tcBorders>
              <w:bottom w:val="single" w:sz="8" w:color="0591DB"/>
            </w:tcBorders>
            <w:gridSpan w:val="4"/>
          </w:tcPr>
          <w:p>
            <w:pPr>
              <w:jc w:val="right"/>
              <w:ind w:right="220"/>
              <w:spacing w:after="0" w:line="234" w:lineRule="exact"/>
              <w:rPr>
                <w:sz w:val="20"/>
                <w:szCs w:val="20"/>
                <w:color w:val="auto"/>
              </w:rPr>
            </w:pPr>
            <w:r>
              <w:rPr>
                <w:rFonts w:ascii="Calibri" w:cs="Calibri" w:eastAsia="Calibri" w:hAnsi="Calibri"/>
                <w:sz w:val="21"/>
                <w:szCs w:val="21"/>
                <w:b w:val="1"/>
                <w:bCs w:val="1"/>
                <w:color w:val="0591DB"/>
              </w:rPr>
              <w:t>2024</w:t>
            </w:r>
          </w:p>
        </w:tc>
        <w:tc>
          <w:tcPr>
            <w:tcW w:w="80" w:type="dxa"/>
            <w:vAlign w:val="bottom"/>
            <w:tcBorders>
              <w:bottom w:val="single" w:sz="8" w:color="0591DB"/>
            </w:tcBorders>
          </w:tcPr>
          <w:p>
            <w:pPr>
              <w:spacing w:after="0"/>
              <w:rPr>
                <w:sz w:val="20"/>
                <w:szCs w:val="20"/>
                <w:color w:val="auto"/>
              </w:rPr>
            </w:pPr>
          </w:p>
        </w:tc>
        <w:tc>
          <w:tcPr>
            <w:tcW w:w="100" w:type="dxa"/>
            <w:vAlign w:val="bottom"/>
            <w:tcBorders>
              <w:bottom w:val="single" w:sz="8" w:color="0591DB"/>
            </w:tcBorders>
          </w:tcPr>
          <w:p>
            <w:pPr>
              <w:spacing w:after="0"/>
              <w:rPr>
                <w:sz w:val="20"/>
                <w:szCs w:val="20"/>
                <w:color w:val="auto"/>
              </w:rPr>
            </w:pPr>
          </w:p>
        </w:tc>
        <w:tc>
          <w:tcPr>
            <w:tcW w:w="60" w:type="dxa"/>
            <w:vAlign w:val="bottom"/>
            <w:tcBorders>
              <w:bottom w:val="single" w:sz="8" w:color="0591DB"/>
              <w:right w:val="single" w:sz="8" w:color="0591DB"/>
            </w:tcBorders>
          </w:tcPr>
          <w:p>
            <w:pPr>
              <w:spacing w:after="0"/>
              <w:rPr>
                <w:sz w:val="20"/>
                <w:szCs w:val="20"/>
                <w:color w:val="auto"/>
              </w:rPr>
            </w:pPr>
          </w:p>
        </w:tc>
        <w:tc>
          <w:tcPr>
            <w:tcW w:w="1000" w:type="dxa"/>
            <w:vAlign w:val="bottom"/>
            <w:tcBorders>
              <w:bottom w:val="single" w:sz="8" w:color="0591DB"/>
            </w:tcBorders>
            <w:gridSpan w:val="4"/>
          </w:tcPr>
          <w:p>
            <w:pPr>
              <w:jc w:val="right"/>
              <w:ind w:right="155"/>
              <w:spacing w:after="0" w:line="234" w:lineRule="exact"/>
              <w:rPr>
                <w:sz w:val="20"/>
                <w:szCs w:val="20"/>
                <w:color w:val="auto"/>
              </w:rPr>
            </w:pPr>
            <w:r>
              <w:rPr>
                <w:rFonts w:ascii="Calibri" w:cs="Calibri" w:eastAsia="Calibri" w:hAnsi="Calibri"/>
                <w:sz w:val="21"/>
                <w:szCs w:val="21"/>
                <w:b w:val="1"/>
                <w:bCs w:val="1"/>
                <w:color w:val="0591DB"/>
              </w:rPr>
              <w:t>2023</w:t>
            </w:r>
          </w:p>
        </w:tc>
        <w:tc>
          <w:tcPr>
            <w:tcW w:w="40" w:type="dxa"/>
            <w:vAlign w:val="bottom"/>
            <w:tcBorders>
              <w:bottom w:val="single" w:sz="8" w:color="0591DB"/>
            </w:tcBorders>
          </w:tcPr>
          <w:p>
            <w:pPr>
              <w:spacing w:after="0"/>
              <w:rPr>
                <w:sz w:val="20"/>
                <w:szCs w:val="20"/>
                <w:color w:val="auto"/>
              </w:rPr>
            </w:pPr>
          </w:p>
        </w:tc>
        <w:tc>
          <w:tcPr>
            <w:tcW w:w="40" w:type="dxa"/>
            <w:vAlign w:val="bottom"/>
            <w:tcBorders>
              <w:bottom w:val="single" w:sz="8" w:color="0591DB"/>
            </w:tcBorders>
          </w:tcPr>
          <w:p>
            <w:pPr>
              <w:spacing w:after="0"/>
              <w:rPr>
                <w:sz w:val="20"/>
                <w:szCs w:val="20"/>
                <w:color w:val="auto"/>
              </w:rPr>
            </w:pPr>
          </w:p>
        </w:tc>
        <w:tc>
          <w:tcPr>
            <w:tcW w:w="200" w:type="dxa"/>
            <w:vAlign w:val="bottom"/>
            <w:tcBorders>
              <w:bottom w:val="single" w:sz="8" w:color="0591DB"/>
              <w:right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220" w:type="dxa"/>
            <w:vAlign w:val="bottom"/>
            <w:tcBorders>
              <w:bottom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460" w:type="dxa"/>
            <w:vAlign w:val="bottom"/>
            <w:tcBorders>
              <w:bottom w:val="single" w:sz="8" w:color="0591DB"/>
            </w:tcBorders>
          </w:tcPr>
          <w:p>
            <w:pPr>
              <w:jc w:val="right"/>
              <w:spacing w:after="0" w:line="234" w:lineRule="exact"/>
              <w:rPr>
                <w:sz w:val="20"/>
                <w:szCs w:val="20"/>
                <w:color w:val="auto"/>
              </w:rPr>
            </w:pPr>
            <w:r>
              <w:rPr>
                <w:rFonts w:ascii="Calibri" w:cs="Calibri" w:eastAsia="Calibri" w:hAnsi="Calibri"/>
                <w:sz w:val="21"/>
                <w:szCs w:val="21"/>
                <w:b w:val="1"/>
                <w:bCs w:val="1"/>
                <w:color w:val="0591DB"/>
                <w:w w:val="89"/>
              </w:rPr>
              <w:t>2022</w:t>
            </w:r>
          </w:p>
        </w:tc>
        <w:tc>
          <w:tcPr>
            <w:tcW w:w="220" w:type="dxa"/>
            <w:vAlign w:val="bottom"/>
            <w:tcBorders>
              <w:bottom w:val="single" w:sz="8" w:color="0591DB"/>
            </w:tcBorders>
          </w:tcPr>
          <w:p>
            <w:pPr>
              <w:spacing w:after="0"/>
              <w:rPr>
                <w:sz w:val="20"/>
                <w:szCs w:val="20"/>
                <w:color w:val="auto"/>
              </w:rPr>
            </w:pPr>
          </w:p>
        </w:tc>
        <w:tc>
          <w:tcPr>
            <w:tcW w:w="240" w:type="dxa"/>
            <w:vAlign w:val="bottom"/>
            <w:tcBorders>
              <w:bottom w:val="single" w:sz="8" w:color="0591DB"/>
              <w:right w:val="single" w:sz="8" w:color="0591DB"/>
            </w:tcBorders>
          </w:tcPr>
          <w:p>
            <w:pPr>
              <w:spacing w:after="0"/>
              <w:rPr>
                <w:sz w:val="20"/>
                <w:szCs w:val="20"/>
                <w:color w:val="auto"/>
              </w:rPr>
            </w:pPr>
          </w:p>
        </w:tc>
        <w:tc>
          <w:tcPr>
            <w:tcW w:w="80" w:type="dxa"/>
            <w:vAlign w:val="bottom"/>
            <w:tcBorders>
              <w:bottom w:val="single" w:sz="8" w:color="0591DB"/>
            </w:tcBorders>
          </w:tcPr>
          <w:p>
            <w:pPr>
              <w:spacing w:after="0"/>
              <w:rPr>
                <w:sz w:val="20"/>
                <w:szCs w:val="20"/>
                <w:color w:val="auto"/>
              </w:rPr>
            </w:pPr>
          </w:p>
        </w:tc>
        <w:tc>
          <w:tcPr>
            <w:tcW w:w="40" w:type="dxa"/>
            <w:vAlign w:val="bottom"/>
            <w:tcBorders>
              <w:bottom w:val="single" w:sz="8" w:color="0591DB"/>
            </w:tcBorders>
          </w:tcPr>
          <w:p>
            <w:pPr>
              <w:spacing w:after="0"/>
              <w:rPr>
                <w:sz w:val="20"/>
                <w:szCs w:val="20"/>
                <w:color w:val="auto"/>
              </w:rPr>
            </w:pPr>
          </w:p>
        </w:tc>
        <w:tc>
          <w:tcPr>
            <w:tcW w:w="120" w:type="dxa"/>
            <w:vAlign w:val="bottom"/>
            <w:tcBorders>
              <w:bottom w:val="single" w:sz="8" w:color="0591DB"/>
            </w:tcBorders>
          </w:tcPr>
          <w:p>
            <w:pPr>
              <w:spacing w:after="0"/>
              <w:rPr>
                <w:sz w:val="20"/>
                <w:szCs w:val="20"/>
                <w:color w:val="auto"/>
              </w:rPr>
            </w:pPr>
          </w:p>
        </w:tc>
        <w:tc>
          <w:tcPr>
            <w:tcW w:w="840" w:type="dxa"/>
            <w:vAlign w:val="bottom"/>
            <w:tcBorders>
              <w:bottom w:val="single" w:sz="8" w:color="0591DB"/>
            </w:tcBorders>
            <w:gridSpan w:val="5"/>
          </w:tcPr>
          <w:p>
            <w:pPr>
              <w:jc w:val="right"/>
              <w:ind w:right="194"/>
              <w:spacing w:after="0" w:line="234" w:lineRule="exact"/>
              <w:rPr>
                <w:sz w:val="20"/>
                <w:szCs w:val="20"/>
                <w:color w:val="auto"/>
              </w:rPr>
            </w:pPr>
            <w:r>
              <w:rPr>
                <w:rFonts w:ascii="Calibri" w:cs="Calibri" w:eastAsia="Calibri" w:hAnsi="Calibri"/>
                <w:sz w:val="21"/>
                <w:szCs w:val="21"/>
                <w:b w:val="1"/>
                <w:bCs w:val="1"/>
                <w:color w:val="0591DB"/>
              </w:rPr>
              <w:t>2021</w:t>
            </w:r>
          </w:p>
        </w:tc>
        <w:tc>
          <w:tcPr>
            <w:tcW w:w="20" w:type="dxa"/>
            <w:vAlign w:val="bottom"/>
            <w:tcBorders>
              <w:bottom w:val="single" w:sz="8" w:color="0591DB"/>
            </w:tcBorders>
          </w:tcPr>
          <w:p>
            <w:pPr>
              <w:spacing w:after="0"/>
              <w:rPr>
                <w:sz w:val="20"/>
                <w:szCs w:val="20"/>
                <w:color w:val="auto"/>
              </w:rPr>
            </w:pPr>
          </w:p>
        </w:tc>
        <w:tc>
          <w:tcPr>
            <w:tcW w:w="200" w:type="dxa"/>
            <w:vAlign w:val="bottom"/>
            <w:tcBorders>
              <w:bottom w:val="single" w:sz="8" w:color="0591DB"/>
            </w:tcBorders>
          </w:tcPr>
          <w:p>
            <w:pPr>
              <w:spacing w:after="0"/>
              <w:rPr>
                <w:sz w:val="20"/>
                <w:szCs w:val="20"/>
                <w:color w:val="auto"/>
              </w:rPr>
            </w:pPr>
          </w:p>
        </w:tc>
        <w:tc>
          <w:tcPr>
            <w:tcW w:w="20" w:type="dxa"/>
            <w:vAlign w:val="bottom"/>
            <w:tcBorders>
              <w:bottom w:val="single" w:sz="8" w:color="0591DB"/>
            </w:tcBorders>
            <w:shd w:val="clear" w:color="auto" w:fill="0591DB"/>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line="183" w:lineRule="exact"/>
              <w:rPr>
                <w:sz w:val="20"/>
                <w:szCs w:val="20"/>
                <w:color w:val="auto"/>
              </w:rPr>
            </w:pPr>
            <w:r>
              <w:rPr>
                <w:rFonts w:ascii="Calibri" w:cs="Calibri" w:eastAsia="Calibri" w:hAnsi="Calibri"/>
                <w:sz w:val="17"/>
                <w:szCs w:val="17"/>
                <w:b w:val="1"/>
                <w:bCs w:val="1"/>
                <w:color w:val="333333"/>
              </w:rPr>
              <w:t>Revenue growth</w:t>
            </w:r>
          </w:p>
        </w:tc>
        <w:tc>
          <w:tcPr>
            <w:tcW w:w="60" w:type="dxa"/>
            <w:vAlign w:val="bottom"/>
          </w:tcPr>
          <w:p>
            <w:pPr>
              <w:spacing w:after="0"/>
              <w:rPr>
                <w:sz w:val="17"/>
                <w:szCs w:val="17"/>
                <w:color w:val="auto"/>
              </w:rPr>
            </w:pPr>
          </w:p>
        </w:tc>
        <w:tc>
          <w:tcPr>
            <w:tcW w:w="84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5"/>
          </w:tcPr>
          <w:p>
            <w:pPr>
              <w:jc w:val="right"/>
              <w:spacing w:after="0" w:line="197" w:lineRule="exact"/>
              <w:rPr>
                <w:sz w:val="20"/>
                <w:szCs w:val="20"/>
                <w:color w:val="auto"/>
              </w:rPr>
            </w:pPr>
            <w:r>
              <w:rPr>
                <w:rFonts w:ascii="Calibri" w:cs="Calibri" w:eastAsia="Calibri" w:hAnsi="Calibri"/>
                <w:sz w:val="17"/>
                <w:szCs w:val="17"/>
                <w:b w:val="1"/>
                <w:bCs w:val="1"/>
                <w:color w:val="333333"/>
              </w:rPr>
              <w:t>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15.2%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9.1%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rPr>
              <w:t>12.8%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color w:val="333333"/>
              </w:rPr>
              <w:t>Impact of FX</w:t>
            </w:r>
          </w:p>
        </w:tc>
        <w:tc>
          <w:tcPr>
            <w:tcW w:w="84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(0.7)%</w:t>
            </w:r>
          </w:p>
        </w:tc>
        <w:tc>
          <w:tcPr>
            <w:tcW w:w="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980" w:type="dxa"/>
            <w:vAlign w:val="bottom"/>
            <w:tcBorders>
              <w:bottom w:val="single" w:sz="8" w:color="EFF2EF"/>
            </w:tcBorders>
            <w:gridSpan w:val="5"/>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(0.3)%</w:t>
            </w:r>
          </w:p>
        </w:tc>
        <w:tc>
          <w:tcPr>
            <w:tcW w:w="8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tcBorders>
            <w:shd w:val="clear" w:color="auto" w:fill="EFF2EF"/>
          </w:tcPr>
          <w:p>
            <w:pPr>
              <w:spacing w:after="0"/>
              <w:rPr>
                <w:sz w:val="20"/>
                <w:szCs w:val="20"/>
                <w:color w:val="auto"/>
              </w:rPr>
            </w:pPr>
          </w:p>
        </w:tc>
        <w:tc>
          <w:tcPr>
            <w:tcW w:w="6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360" w:type="dxa"/>
            <w:vAlign w:val="bottom"/>
            <w:tcBorders>
              <w:bottom w:val="single" w:sz="8" w:color="EFF2EF"/>
            </w:tcBorders>
            <w:shd w:val="clear" w:color="auto" w:fill="EFF2EF"/>
          </w:tcPr>
          <w:p>
            <w:pPr>
              <w:spacing w:after="0"/>
              <w:rPr>
                <w:sz w:val="20"/>
                <w:szCs w:val="20"/>
                <w:color w:val="auto"/>
              </w:rPr>
            </w:pPr>
          </w:p>
        </w:tc>
        <w:tc>
          <w:tcPr>
            <w:tcW w:w="100" w:type="dxa"/>
            <w:vAlign w:val="bottom"/>
            <w:tcBorders>
              <w:bottom w:val="single" w:sz="8" w:color="EFF2EF"/>
              <w:right w:val="single" w:sz="8" w:color="EFF2EF"/>
            </w:tcBorders>
            <w:shd w:val="clear" w:color="auto" w:fill="EFF2EF"/>
          </w:tcPr>
          <w:p>
            <w:pPr>
              <w:spacing w:after="0"/>
              <w:rPr>
                <w:sz w:val="20"/>
                <w:szCs w:val="20"/>
                <w:color w:val="auto"/>
              </w:rPr>
            </w:pPr>
          </w:p>
        </w:tc>
        <w:tc>
          <w:tcPr>
            <w:tcW w:w="5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(0.2)%</w:t>
            </w:r>
          </w:p>
        </w:tc>
        <w:tc>
          <w:tcPr>
            <w:tcW w:w="40" w:type="dxa"/>
            <w:vAlign w:val="bottom"/>
            <w:tcBorders>
              <w:bottom w:val="single" w:sz="8" w:color="EFF2EF"/>
            </w:tcBorders>
            <w:shd w:val="clear" w:color="auto" w:fill="EFF2EF"/>
          </w:tcPr>
          <w:p>
            <w:pPr>
              <w:spacing w:after="0"/>
              <w:rPr>
                <w:sz w:val="20"/>
                <w:szCs w:val="20"/>
                <w:color w:val="auto"/>
              </w:rPr>
            </w:pPr>
          </w:p>
        </w:tc>
        <w:tc>
          <w:tcPr>
            <w:tcW w:w="20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right w:val="single" w:sz="8" w:color="EFF2EF"/>
            </w:tcBorders>
            <w:shd w:val="clear" w:color="auto" w:fill="EFF2EF"/>
          </w:tcPr>
          <w:p>
            <w:pPr>
              <w:spacing w:after="0"/>
              <w:rPr>
                <w:sz w:val="20"/>
                <w:szCs w:val="20"/>
                <w:color w:val="auto"/>
              </w:rPr>
            </w:pPr>
          </w:p>
        </w:tc>
        <w:tc>
          <w:tcPr>
            <w:tcW w:w="68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3.1%</w:t>
            </w:r>
          </w:p>
        </w:tc>
        <w:tc>
          <w:tcPr>
            <w:tcW w:w="24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0" w:type="dxa"/>
            <w:vAlign w:val="bottom"/>
            <w:tcBorders>
              <w:bottom w:val="single" w:sz="8" w:color="EFF2EF"/>
              <w:right w:val="single" w:sz="8" w:color="EFF2EF"/>
            </w:tcBorders>
            <w:shd w:val="clear" w:color="auto" w:fill="EFF2EF"/>
          </w:tcPr>
          <w:p>
            <w:pPr>
              <w:spacing w:after="0"/>
              <w:rPr>
                <w:sz w:val="20"/>
                <w:szCs w:val="20"/>
                <w:color w:val="auto"/>
              </w:rPr>
            </w:pPr>
          </w:p>
        </w:tc>
        <w:tc>
          <w:tcPr>
            <w:tcW w:w="120" w:type="dxa"/>
            <w:vAlign w:val="bottom"/>
            <w:tcBorders>
              <w:bottom w:val="single" w:sz="8" w:color="EFF2EF"/>
              <w:right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80" w:type="dxa"/>
            <w:vAlign w:val="bottom"/>
            <w:tcBorders>
              <w:bottom w:val="single" w:sz="8" w:color="EFF2EF"/>
            </w:tcBorders>
            <w:shd w:val="clear" w:color="auto" w:fill="EFF2EF"/>
          </w:tcPr>
          <w:p>
            <w:pPr>
              <w:spacing w:after="0"/>
              <w:rPr>
                <w:sz w:val="20"/>
                <w:szCs w:val="20"/>
                <w:color w:val="auto"/>
              </w:rPr>
            </w:pPr>
          </w:p>
        </w:tc>
        <w:tc>
          <w:tcPr>
            <w:tcW w:w="48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(2.0)%</w:t>
            </w:r>
          </w:p>
        </w:tc>
        <w:tc>
          <w:tcPr>
            <w:tcW w:w="20" w:type="dxa"/>
            <w:vAlign w:val="bottom"/>
            <w:tcBorders>
              <w:bottom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line="203" w:lineRule="exact"/>
              <w:rPr>
                <w:sz w:val="20"/>
                <w:szCs w:val="20"/>
                <w:color w:val="auto"/>
              </w:rPr>
            </w:pPr>
            <w:r>
              <w:rPr>
                <w:rFonts w:ascii="Calibri" w:cs="Calibri" w:eastAsia="Calibri" w:hAnsi="Calibri"/>
                <w:sz w:val="17"/>
                <w:szCs w:val="17"/>
                <w:color w:val="333333"/>
              </w:rPr>
              <w:t>Impact of acquisiton-related revenues</w:t>
            </w:r>
          </w:p>
        </w:tc>
        <w:tc>
          <w:tcPr>
            <w:tcW w:w="840" w:type="dxa"/>
            <w:vAlign w:val="bottom"/>
            <w:gridSpan w:val="2"/>
          </w:tcPr>
          <w:p>
            <w:pPr>
              <w:jc w:val="right"/>
              <w:spacing w:after="0" w:line="203" w:lineRule="exact"/>
              <w:rPr>
                <w:sz w:val="20"/>
                <w:szCs w:val="20"/>
                <w:color w:val="auto"/>
              </w:rPr>
            </w:pPr>
            <w:r>
              <w:rPr>
                <w:rFonts w:ascii="Calibri" w:cs="Calibri" w:eastAsia="Calibri" w:hAnsi="Calibri"/>
                <w:sz w:val="17"/>
                <w:szCs w:val="17"/>
                <w:color w:val="333333"/>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5"/>
          </w:tcPr>
          <w:p>
            <w:pPr>
              <w:jc w:val="right"/>
              <w:spacing w:after="0" w:line="203" w:lineRule="exact"/>
              <w:rPr>
                <w:sz w:val="20"/>
                <w:szCs w:val="20"/>
                <w:color w:val="auto"/>
              </w:rPr>
            </w:pPr>
            <w:r>
              <w:rPr>
                <w:rFonts w:ascii="Calibri" w:cs="Calibri" w:eastAsia="Calibri" w:hAnsi="Calibri"/>
                <w:sz w:val="17"/>
                <w:szCs w:val="17"/>
                <w:color w:val="333333"/>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line="203" w:lineRule="exact"/>
              <w:rPr>
                <w:sz w:val="20"/>
                <w:szCs w:val="20"/>
                <w:color w:val="auto"/>
              </w:rPr>
            </w:pPr>
            <w:r>
              <w:rPr>
                <w:rFonts w:ascii="Calibri" w:cs="Calibri" w:eastAsia="Calibri" w:hAnsi="Calibri"/>
                <w:sz w:val="17"/>
                <w:szCs w:val="17"/>
                <w:color w:val="333333"/>
              </w:rPr>
              <w:t>0.4%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Calibri" w:cs="Calibri" w:eastAsia="Calibri" w:hAnsi="Calibri"/>
                <w:sz w:val="17"/>
                <w:szCs w:val="17"/>
                <w:color w:val="333333"/>
              </w:rPr>
              <w:t>(0.3)%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alibri" w:cs="Calibri" w:eastAsia="Calibri" w:hAnsi="Calibri"/>
                <w:sz w:val="17"/>
                <w:szCs w:val="17"/>
                <w:color w:val="333333"/>
              </w:rPr>
              <w:t>(0.5)%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Borders>
              <w:bottom w:val="single" w:sz="8" w:color="333333"/>
            </w:tcBorders>
            <w:gridSpan w:val="2"/>
          </w:tcPr>
          <w:p>
            <w:pPr>
              <w:spacing w:after="0"/>
              <w:rPr>
                <w:sz w:val="5"/>
                <w:szCs w:val="5"/>
                <w:color w:val="auto"/>
              </w:rPr>
            </w:pPr>
          </w:p>
        </w:tc>
        <w:tc>
          <w:tcPr>
            <w:tcW w:w="20" w:type="dxa"/>
            <w:vAlign w:val="bottom"/>
            <w:tcBorders>
              <w:bottom w:val="single" w:sz="8" w:color="333333"/>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bottom w:val="single" w:sz="8" w:color="333333"/>
            </w:tcBorders>
            <w:gridSpan w:val="3"/>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333333"/>
            </w:tcBorders>
            <w:gridSpan w:val="2"/>
          </w:tcPr>
          <w:p>
            <w:pPr>
              <w:spacing w:after="0"/>
              <w:rPr>
                <w:sz w:val="5"/>
                <w:szCs w:val="5"/>
                <w:color w:val="auto"/>
              </w:rPr>
            </w:pPr>
          </w:p>
        </w:tc>
        <w:tc>
          <w:tcPr>
            <w:tcW w:w="500" w:type="dxa"/>
            <w:vAlign w:val="bottom"/>
            <w:tcBorders>
              <w:bottom w:val="single" w:sz="8" w:color="333333"/>
            </w:tcBorders>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333333"/>
            </w:tcBorders>
            <w:gridSpan w:val="2"/>
          </w:tcPr>
          <w:p>
            <w:pPr>
              <w:spacing w:after="0"/>
              <w:rPr>
                <w:sz w:val="5"/>
                <w:szCs w:val="5"/>
                <w:color w:val="auto"/>
              </w:rPr>
            </w:pPr>
          </w:p>
        </w:tc>
        <w:tc>
          <w:tcPr>
            <w:tcW w:w="680" w:type="dxa"/>
            <w:vAlign w:val="bottom"/>
            <w:tcBorders>
              <w:bottom w:val="single" w:sz="8" w:color="333333"/>
            </w:tcBorders>
            <w:gridSpan w:val="2"/>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333333"/>
            </w:tcBorders>
          </w:tcPr>
          <w:p>
            <w:pPr>
              <w:spacing w:after="0"/>
              <w:rPr>
                <w:sz w:val="5"/>
                <w:szCs w:val="5"/>
                <w:color w:val="auto"/>
              </w:rPr>
            </w:pPr>
          </w:p>
        </w:tc>
        <w:tc>
          <w:tcPr>
            <w:tcW w:w="120" w:type="dxa"/>
            <w:vAlign w:val="bottom"/>
            <w:tcBorders>
              <w:bottom w:val="single" w:sz="8" w:color="333333"/>
            </w:tcBorders>
          </w:tcPr>
          <w:p>
            <w:pPr>
              <w:spacing w:after="0"/>
              <w:rPr>
                <w:sz w:val="5"/>
                <w:szCs w:val="5"/>
                <w:color w:val="auto"/>
              </w:rPr>
            </w:pPr>
          </w:p>
        </w:tc>
        <w:tc>
          <w:tcPr>
            <w:tcW w:w="200" w:type="dxa"/>
            <w:vAlign w:val="bottom"/>
            <w:tcBorders>
              <w:bottom w:val="single" w:sz="8" w:color="333333"/>
            </w:tcBorders>
            <w:gridSpan w:val="2"/>
          </w:tcPr>
          <w:p>
            <w:pPr>
              <w:spacing w:after="0"/>
              <w:rPr>
                <w:sz w:val="5"/>
                <w:szCs w:val="5"/>
                <w:color w:val="auto"/>
              </w:rPr>
            </w:pPr>
          </w:p>
        </w:tc>
        <w:tc>
          <w:tcPr>
            <w:tcW w:w="160" w:type="dxa"/>
            <w:vAlign w:val="bottom"/>
            <w:tcBorders>
              <w:bottom w:val="single" w:sz="8" w:color="333333"/>
            </w:tcBorders>
            <w:gridSpan w:val="2"/>
          </w:tcPr>
          <w:p>
            <w:pPr>
              <w:spacing w:after="0"/>
              <w:rPr>
                <w:sz w:val="5"/>
                <w:szCs w:val="5"/>
                <w:color w:val="auto"/>
              </w:rPr>
            </w:pPr>
          </w:p>
        </w:tc>
        <w:tc>
          <w:tcPr>
            <w:tcW w:w="480" w:type="dxa"/>
            <w:vAlign w:val="bottom"/>
            <w:tcBorders>
              <w:bottom w:val="single" w:sz="8" w:color="333333"/>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60" w:type="dxa"/>
            <w:vAlign w:val="bottom"/>
            <w:tcBorders>
              <w:left w:val="single" w:sz="8" w:color="EFF2EF"/>
              <w:bottom w:val="single" w:sz="8" w:color="EFF2EF"/>
            </w:tcBorders>
            <w:gridSpan w:val="2"/>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Organic revenue growth</w:t>
            </w:r>
          </w:p>
        </w:tc>
        <w:tc>
          <w:tcPr>
            <w:tcW w:w="84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1.8%</w:t>
            </w:r>
          </w:p>
        </w:tc>
        <w:tc>
          <w:tcPr>
            <w:tcW w:w="20" w:type="dxa"/>
            <w:vAlign w:val="bottom"/>
            <w:tcBorders>
              <w:bottom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4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860" w:type="dxa"/>
            <w:vAlign w:val="bottom"/>
            <w:tcBorders>
              <w:bottom w:val="single" w:sz="8" w:color="EFF2EF"/>
            </w:tcBorders>
            <w:gridSpan w:val="3"/>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 xml:space="preserve">      </w:t>
            </w:r>
            <w:r>
              <w:rPr>
                <w:rFonts w:ascii="Calibri" w:cs="Calibri" w:eastAsia="Calibri" w:hAnsi="Calibri"/>
                <w:sz w:val="17"/>
                <w:szCs w:val="17"/>
                <w:b w:val="1"/>
                <w:bCs w:val="1"/>
                <w:color w:val="333333"/>
              </w:rPr>
              <w:t>5.5%</w:t>
            </w:r>
          </w:p>
        </w:tc>
        <w:tc>
          <w:tcPr>
            <w:tcW w:w="80" w:type="dxa"/>
            <w:vAlign w:val="bottom"/>
            <w:tcBorders>
              <w:bottom w:val="single" w:sz="8" w:color="EFF2EF"/>
            </w:tcBorders>
            <w:shd w:val="clear" w:color="auto" w:fill="EFF2EF"/>
          </w:tcPr>
          <w:p>
            <w:pPr>
              <w:spacing w:after="0"/>
              <w:rPr>
                <w:sz w:val="22"/>
                <w:szCs w:val="22"/>
                <w:color w:val="auto"/>
              </w:rPr>
            </w:pPr>
          </w:p>
        </w:tc>
        <w:tc>
          <w:tcPr>
            <w:tcW w:w="100" w:type="dxa"/>
            <w:vAlign w:val="bottom"/>
            <w:tcBorders>
              <w:bottom w:val="single" w:sz="8" w:color="EFF2EF"/>
            </w:tcBorders>
            <w:shd w:val="clear" w:color="auto" w:fill="EFF2EF"/>
          </w:tcPr>
          <w:p>
            <w:pPr>
              <w:spacing w:after="0"/>
              <w:rPr>
                <w:sz w:val="22"/>
                <w:szCs w:val="22"/>
                <w:color w:val="auto"/>
              </w:rPr>
            </w:pPr>
          </w:p>
        </w:tc>
        <w:tc>
          <w:tcPr>
            <w:tcW w:w="6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460" w:type="dxa"/>
            <w:vAlign w:val="bottom"/>
            <w:tcBorders>
              <w:bottom w:val="single" w:sz="8" w:color="EFF2EF"/>
              <w:right w:val="single" w:sz="8" w:color="EFF2EF"/>
            </w:tcBorders>
            <w:gridSpan w:val="2"/>
            <w:shd w:val="clear" w:color="auto" w:fill="EFF2EF"/>
          </w:tcPr>
          <w:p>
            <w:pPr>
              <w:jc w:val="right"/>
              <w:ind w:right="60"/>
              <w:spacing w:after="0" w:line="203" w:lineRule="exact"/>
              <w:rPr>
                <w:sz w:val="20"/>
                <w:szCs w:val="20"/>
                <w:color w:val="auto"/>
              </w:rPr>
            </w:pPr>
            <w:r>
              <w:rPr>
                <w:rFonts w:ascii="Calibri" w:cs="Calibri" w:eastAsia="Calibri" w:hAnsi="Calibri"/>
                <w:sz w:val="17"/>
                <w:szCs w:val="17"/>
                <w:color w:val="333333"/>
              </w:rPr>
              <w:t xml:space="preserve">    </w:t>
            </w:r>
          </w:p>
        </w:tc>
        <w:tc>
          <w:tcPr>
            <w:tcW w:w="50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15.4%</w:t>
            </w:r>
          </w:p>
        </w:tc>
        <w:tc>
          <w:tcPr>
            <w:tcW w:w="40" w:type="dxa"/>
            <w:vAlign w:val="bottom"/>
            <w:tcBorders>
              <w:bottom w:val="single" w:sz="8" w:color="EFF2EF"/>
            </w:tcBorders>
            <w:shd w:val="clear" w:color="auto" w:fill="EFF2EF"/>
          </w:tcPr>
          <w:p>
            <w:pPr>
              <w:spacing w:after="0"/>
              <w:rPr>
                <w:sz w:val="22"/>
                <w:szCs w:val="22"/>
                <w:color w:val="auto"/>
              </w:rPr>
            </w:pPr>
          </w:p>
        </w:tc>
        <w:tc>
          <w:tcPr>
            <w:tcW w:w="20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300" w:type="dxa"/>
            <w:vAlign w:val="bottom"/>
            <w:tcBorders>
              <w:bottom w:val="single" w:sz="8" w:color="EFF2EF"/>
              <w:right w:val="single" w:sz="8" w:color="EFF2EF"/>
            </w:tcBorders>
            <w:gridSpan w:val="2"/>
            <w:shd w:val="clear" w:color="auto" w:fill="EFF2EF"/>
          </w:tcPr>
          <w:p>
            <w:pPr>
              <w:ind w:left="200"/>
              <w:spacing w:after="0"/>
              <w:rPr>
                <w:sz w:val="20"/>
                <w:szCs w:val="20"/>
                <w:color w:val="auto"/>
              </w:rPr>
            </w:pPr>
            <w:r>
              <w:rPr>
                <w:rFonts w:ascii="Calibri" w:cs="Calibri" w:eastAsia="Calibri" w:hAnsi="Calibri"/>
                <w:sz w:val="8"/>
                <w:szCs w:val="8"/>
                <w:color w:val="333333"/>
                <w:w w:val="74"/>
              </w:rPr>
              <w:t> </w:t>
            </w:r>
          </w:p>
        </w:tc>
        <w:tc>
          <w:tcPr>
            <w:tcW w:w="68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color w:val="333333"/>
                <w:w w:val="97"/>
              </w:rPr>
              <w:t xml:space="preserve">   </w:t>
            </w:r>
            <w:r>
              <w:rPr>
                <w:rFonts w:ascii="Calibri" w:cs="Calibri" w:eastAsia="Calibri" w:hAnsi="Calibri"/>
                <w:sz w:val="17"/>
                <w:szCs w:val="17"/>
                <w:b w:val="1"/>
                <w:bCs w:val="1"/>
                <w:color w:val="333333"/>
                <w:w w:val="97"/>
              </w:rPr>
              <w:t>11.9%</w:t>
            </w:r>
          </w:p>
        </w:tc>
        <w:tc>
          <w:tcPr>
            <w:tcW w:w="240" w:type="dxa"/>
            <w:vAlign w:val="bottom"/>
            <w:tcBorders>
              <w:bottom w:val="single" w:sz="8" w:color="EFF2EF"/>
              <w:right w:val="single" w:sz="8" w:color="EFF2EF"/>
            </w:tcBorders>
            <w:shd w:val="clear" w:color="auto" w:fill="EFF2EF"/>
          </w:tcPr>
          <w:p>
            <w:pPr>
              <w:spacing w:after="0"/>
              <w:rPr>
                <w:sz w:val="22"/>
                <w:szCs w:val="22"/>
                <w:color w:val="auto"/>
              </w:rPr>
            </w:pPr>
          </w:p>
        </w:tc>
        <w:tc>
          <w:tcPr>
            <w:tcW w:w="80" w:type="dxa"/>
            <w:vAlign w:val="bottom"/>
            <w:tcBorders>
              <w:bottom w:val="single" w:sz="8" w:color="EFF2EF"/>
            </w:tcBorders>
            <w:shd w:val="clear" w:color="auto" w:fill="EFF2EF"/>
          </w:tcPr>
          <w:p>
            <w:pPr>
              <w:spacing w:after="0"/>
              <w:rPr>
                <w:sz w:val="22"/>
                <w:szCs w:val="22"/>
                <w:color w:val="auto"/>
              </w:rPr>
            </w:pPr>
          </w:p>
        </w:tc>
        <w:tc>
          <w:tcPr>
            <w:tcW w:w="40" w:type="dxa"/>
            <w:vAlign w:val="bottom"/>
            <w:tcBorders>
              <w:bottom w:val="single" w:sz="8" w:color="EFF2EF"/>
              <w:right w:val="single" w:sz="8" w:color="EFF2EF"/>
            </w:tcBorders>
            <w:shd w:val="clear" w:color="auto" w:fill="EFF2EF"/>
          </w:tcPr>
          <w:p>
            <w:pPr>
              <w:spacing w:after="0"/>
              <w:rPr>
                <w:sz w:val="22"/>
                <w:szCs w:val="22"/>
                <w:color w:val="auto"/>
              </w:rPr>
            </w:pPr>
          </w:p>
        </w:tc>
        <w:tc>
          <w:tcPr>
            <w:tcW w:w="120" w:type="dxa"/>
            <w:vAlign w:val="bottom"/>
            <w:tcBorders>
              <w:bottom w:val="single" w:sz="8" w:color="EFF2EF"/>
              <w:right w:val="single" w:sz="8" w:color="EFF2EF"/>
            </w:tcBorders>
            <w:shd w:val="clear" w:color="auto" w:fill="EFF2EF"/>
          </w:tcPr>
          <w:p>
            <w:pPr>
              <w:spacing w:after="0"/>
              <w:rPr>
                <w:sz w:val="22"/>
                <w:szCs w:val="22"/>
                <w:color w:val="auto"/>
              </w:rPr>
            </w:pPr>
          </w:p>
        </w:tc>
        <w:tc>
          <w:tcPr>
            <w:tcW w:w="200" w:type="dxa"/>
            <w:vAlign w:val="bottom"/>
            <w:tcBorders>
              <w:bottom w:val="single" w:sz="8" w:color="EFF2EF"/>
            </w:tcBorders>
            <w:gridSpan w:val="2"/>
            <w:shd w:val="clear" w:color="auto" w:fill="EFF2EF"/>
          </w:tcPr>
          <w:p>
            <w:pPr>
              <w:jc w:val="right"/>
              <w:ind w:right="21"/>
              <w:spacing w:after="0"/>
              <w:rPr>
                <w:sz w:val="20"/>
                <w:szCs w:val="20"/>
                <w:color w:val="auto"/>
              </w:rPr>
            </w:pPr>
            <w:r>
              <w:rPr>
                <w:rFonts w:ascii="Calibri" w:cs="Calibri" w:eastAsia="Calibri" w:hAnsi="Calibri"/>
                <w:sz w:val="11"/>
                <w:szCs w:val="11"/>
                <w:color w:val="333333"/>
                <w:w w:val="72"/>
              </w:rPr>
              <w:t> </w:t>
            </w:r>
          </w:p>
        </w:tc>
        <w:tc>
          <w:tcPr>
            <w:tcW w:w="160" w:type="dxa"/>
            <w:vAlign w:val="bottom"/>
            <w:tcBorders>
              <w:bottom w:val="single" w:sz="8" w:color="EFF2EF"/>
            </w:tcBorders>
            <w:gridSpan w:val="2"/>
            <w:shd w:val="clear" w:color="auto" w:fill="EFF2EF"/>
          </w:tcPr>
          <w:p>
            <w:pPr>
              <w:jc w:val="right"/>
              <w:ind w:right="80"/>
              <w:spacing w:after="0"/>
              <w:rPr>
                <w:sz w:val="20"/>
                <w:szCs w:val="20"/>
                <w:color w:val="auto"/>
              </w:rPr>
            </w:pPr>
            <w:r>
              <w:rPr>
                <w:rFonts w:ascii="Calibri" w:cs="Calibri" w:eastAsia="Calibri" w:hAnsi="Calibri"/>
                <w:sz w:val="8"/>
                <w:szCs w:val="8"/>
                <w:color w:val="333333"/>
                <w:w w:val="74"/>
              </w:rPr>
              <w:t> </w:t>
            </w:r>
          </w:p>
        </w:tc>
        <w:tc>
          <w:tcPr>
            <w:tcW w:w="48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10.3%</w:t>
            </w:r>
          </w:p>
        </w:tc>
        <w:tc>
          <w:tcPr>
            <w:tcW w:w="20" w:type="dxa"/>
            <w:vAlign w:val="bottom"/>
            <w:tcBorders>
              <w:bottom w:val="single" w:sz="8" w:color="EFF2EF"/>
            </w:tcBorders>
            <w:shd w:val="clear" w:color="auto" w:fill="EFF2EF"/>
          </w:tcPr>
          <w:p>
            <w:pPr>
              <w:spacing w:after="0"/>
              <w:rPr>
                <w:sz w:val="22"/>
                <w:szCs w:val="22"/>
                <w:color w:val="auto"/>
              </w:rPr>
            </w:pPr>
          </w:p>
        </w:tc>
        <w:tc>
          <w:tcPr>
            <w:tcW w:w="200" w:type="dxa"/>
            <w:vAlign w:val="bottom"/>
            <w:tcBorders>
              <w:bottom w:val="single" w:sz="8" w:color="EFF2EF"/>
            </w:tcBorders>
            <w:shd w:val="clear" w:color="auto" w:fill="EFF2E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333333"/>
              <w:bottom w:val="single" w:sz="8" w:color="333333"/>
            </w:tcBorders>
          </w:tcPr>
          <w:p>
            <w:pPr>
              <w:spacing w:after="0" w:line="20" w:lineRule="exact"/>
              <w:rPr>
                <w:sz w:val="1"/>
                <w:szCs w:val="1"/>
                <w:color w:val="auto"/>
              </w:rPr>
            </w:pPr>
          </w:p>
        </w:tc>
        <w:tc>
          <w:tcPr>
            <w:tcW w:w="440" w:type="dxa"/>
            <w:vAlign w:val="bottom"/>
            <w:tcBorders>
              <w:top w:val="single" w:sz="8" w:color="333333"/>
              <w:bottom w:val="single" w:sz="8" w:color="333333"/>
            </w:tcBorders>
          </w:tcPr>
          <w:p>
            <w:pPr>
              <w:spacing w:after="0" w:line="20" w:lineRule="exact"/>
              <w:rPr>
                <w:sz w:val="1"/>
                <w:szCs w:val="1"/>
                <w:color w:val="auto"/>
              </w:rPr>
            </w:pPr>
          </w:p>
        </w:tc>
        <w:tc>
          <w:tcPr>
            <w:tcW w:w="2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333333"/>
              <w:bottom w:val="single" w:sz="8" w:color="333333"/>
            </w:tcBorders>
          </w:tcPr>
          <w:p>
            <w:pPr>
              <w:spacing w:after="0" w:line="20" w:lineRule="exact"/>
              <w:rPr>
                <w:sz w:val="1"/>
                <w:szCs w:val="1"/>
                <w:color w:val="auto"/>
              </w:rPr>
            </w:pPr>
          </w:p>
        </w:tc>
        <w:tc>
          <w:tcPr>
            <w:tcW w:w="120" w:type="dxa"/>
            <w:vAlign w:val="bottom"/>
            <w:tcBorders>
              <w:top w:val="single" w:sz="8" w:color="333333"/>
              <w:bottom w:val="single" w:sz="8" w:color="333333"/>
            </w:tcBorders>
          </w:tcPr>
          <w:p>
            <w:pPr>
              <w:spacing w:after="0" w:line="20" w:lineRule="exact"/>
              <w:rPr>
                <w:sz w:val="1"/>
                <w:szCs w:val="1"/>
                <w:color w:val="auto"/>
              </w:rPr>
            </w:pPr>
          </w:p>
        </w:tc>
        <w:tc>
          <w:tcPr>
            <w:tcW w:w="36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333333"/>
              <w:bottom w:val="single" w:sz="8" w:color="333333"/>
            </w:tcBorders>
          </w:tcPr>
          <w:p>
            <w:pPr>
              <w:spacing w:after="0" w:line="20" w:lineRule="exact"/>
              <w:rPr>
                <w:sz w:val="1"/>
                <w:szCs w:val="1"/>
                <w:color w:val="auto"/>
              </w:rPr>
            </w:pPr>
          </w:p>
        </w:tc>
        <w:tc>
          <w:tcPr>
            <w:tcW w:w="100" w:type="dxa"/>
            <w:vAlign w:val="bottom"/>
            <w:tcBorders>
              <w:top w:val="single" w:sz="8" w:color="333333"/>
              <w:bottom w:val="single" w:sz="8" w:color="333333"/>
            </w:tcBorders>
          </w:tcPr>
          <w:p>
            <w:pPr>
              <w:spacing w:after="0" w:line="20" w:lineRule="exact"/>
              <w:rPr>
                <w:sz w:val="1"/>
                <w:szCs w:val="1"/>
                <w:color w:val="auto"/>
              </w:rPr>
            </w:pPr>
          </w:p>
        </w:tc>
        <w:tc>
          <w:tcPr>
            <w:tcW w:w="460" w:type="dxa"/>
            <w:vAlign w:val="bottom"/>
            <w:tcBorders>
              <w:top w:val="single" w:sz="8" w:color="333333"/>
              <w:bottom w:val="single" w:sz="8" w:color="333333"/>
            </w:tcBorders>
          </w:tcPr>
          <w:p>
            <w:pPr>
              <w:spacing w:after="0" w:line="20" w:lineRule="exact"/>
              <w:rPr>
                <w:sz w:val="1"/>
                <w:szCs w:val="1"/>
                <w:color w:val="auto"/>
              </w:rPr>
            </w:pPr>
          </w:p>
        </w:tc>
        <w:tc>
          <w:tcPr>
            <w:tcW w:w="40" w:type="dxa"/>
            <w:vAlign w:val="bottom"/>
            <w:tcBorders>
              <w:top w:val="single" w:sz="8" w:color="333333"/>
              <w:bottom w:val="single" w:sz="8" w:color="3333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460" w:type="dxa"/>
            <w:vAlign w:val="bottom"/>
            <w:tcBorders>
              <w:top w:val="single" w:sz="8" w:color="333333"/>
              <w:bottom w:val="single" w:sz="8" w:color="333333"/>
            </w:tcBorders>
          </w:tcPr>
          <w:p>
            <w:pPr>
              <w:spacing w:after="0" w:line="20" w:lineRule="exact"/>
              <w:rPr>
                <w:sz w:val="1"/>
                <w:szCs w:val="1"/>
                <w:color w:val="auto"/>
              </w:rPr>
            </w:pPr>
          </w:p>
        </w:tc>
        <w:tc>
          <w:tcPr>
            <w:tcW w:w="220" w:type="dxa"/>
            <w:vAlign w:val="bottom"/>
            <w:tcBorders>
              <w:top w:val="single" w:sz="8" w:color="333333"/>
              <w:bottom w:val="single" w:sz="8" w:color="33333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333333"/>
              <w:bottom w:val="single" w:sz="8" w:color="333333"/>
            </w:tcBorders>
          </w:tcPr>
          <w:p>
            <w:pPr>
              <w:spacing w:after="0" w:line="20" w:lineRule="exact"/>
              <w:rPr>
                <w:sz w:val="1"/>
                <w:szCs w:val="1"/>
                <w:color w:val="auto"/>
              </w:rPr>
            </w:pPr>
          </w:p>
        </w:tc>
        <w:tc>
          <w:tcPr>
            <w:tcW w:w="12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12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80" w:type="dxa"/>
            <w:vAlign w:val="bottom"/>
            <w:tcBorders>
              <w:top w:val="single" w:sz="8" w:color="333333"/>
              <w:bottom w:val="single" w:sz="8" w:color="333333"/>
            </w:tcBorders>
          </w:tcPr>
          <w:p>
            <w:pPr>
              <w:spacing w:after="0" w:line="20" w:lineRule="exact"/>
              <w:rPr>
                <w:sz w:val="1"/>
                <w:szCs w:val="1"/>
                <w:color w:val="auto"/>
              </w:rPr>
            </w:pPr>
          </w:p>
        </w:tc>
        <w:tc>
          <w:tcPr>
            <w:tcW w:w="480" w:type="dxa"/>
            <w:vAlign w:val="bottom"/>
            <w:tcBorders>
              <w:top w:val="single" w:sz="8" w:color="333333"/>
              <w:bottom w:val="single" w:sz="8" w:color="33333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jc w:val="right"/>
              <w:ind w:right="55"/>
              <w:spacing w:after="0"/>
              <w:rPr>
                <w:sz w:val="20"/>
                <w:szCs w:val="20"/>
                <w:color w:val="auto"/>
              </w:rPr>
            </w:pPr>
            <w:r>
              <w:rPr>
                <w:rFonts w:ascii="Calibri" w:cs="Calibri" w:eastAsia="Calibri" w:hAnsi="Calibri"/>
                <w:sz w:val="17"/>
                <w:szCs w:val="17"/>
                <w:color w:val="333333"/>
              </w:rPr>
              <w:t>A-3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0591DB"/>
        </w:rPr>
        <w:t>Appendix B</w:t>
      </w:r>
    </w:p>
    <w:p>
      <w:pPr>
        <w:spacing w:after="0" w:line="224" w:lineRule="exact"/>
        <w:rPr>
          <w:sz w:val="20"/>
          <w:szCs w:val="20"/>
          <w:color w:val="auto"/>
        </w:rPr>
      </w:pPr>
    </w:p>
    <w:p>
      <w:pPr>
        <w:ind w:left="240" w:right="40" w:hanging="27"/>
        <w:spacing w:after="0" w:line="248" w:lineRule="auto"/>
        <w:rPr>
          <w:sz w:val="20"/>
          <w:szCs w:val="20"/>
          <w:color w:val="auto"/>
        </w:rPr>
      </w:pPr>
      <w:r>
        <w:rPr>
          <w:rFonts w:ascii="Calibri" w:cs="Calibri" w:eastAsia="Calibri" w:hAnsi="Calibri"/>
          <w:sz w:val="21"/>
          <w:szCs w:val="21"/>
          <w:b w:val="1"/>
          <w:bCs w:val="1"/>
          <w:color w:val="0591DB"/>
        </w:rPr>
        <w:t>DEFINITIONS OF ADJUSTED EPS AND ADJUSTED EBITDA FOR PURPOSES OF CALCULATING ANNUAL INCENTIVE PAY FOR THE BONUS YEAR ENDED DECEMBER 31, 2025 AND RECONCILIATIONS TO THE MOST DIRECTLY COMPARABLE GAAP MEASURES</w:t>
      </w:r>
    </w:p>
    <w:p>
      <w:pPr>
        <w:spacing w:after="0" w:line="207" w:lineRule="exact"/>
        <w:rPr>
          <w:sz w:val="20"/>
          <w:szCs w:val="20"/>
          <w:color w:val="auto"/>
        </w:rPr>
      </w:pPr>
    </w:p>
    <w:p>
      <w:pPr>
        <w:ind w:left="160" w:right="40"/>
        <w:spacing w:after="0" w:line="232" w:lineRule="auto"/>
        <w:rPr>
          <w:sz w:val="20"/>
          <w:szCs w:val="20"/>
          <w:color w:val="auto"/>
        </w:rPr>
      </w:pPr>
      <w:r>
        <w:rPr>
          <w:rFonts w:ascii="Calibri" w:cs="Calibri" w:eastAsia="Calibri" w:hAnsi="Calibri"/>
          <w:sz w:val="17"/>
          <w:szCs w:val="17"/>
          <w:color w:val="333333"/>
        </w:rPr>
        <w:t>Certain fnancial measures presented in our Proxy Statement have not been presented or prepared in accordance with generally accepted accountng principles in the United States (“GAAP”). Certain of these fnancial measures are considered not in conformity with GAAP (“non-GAAP fnancial measures”) under the rules promulgated by the Securites and Exchange Commission. Certain of the non-GAAP fnancial measures used to determine annual incentve pay for the year ended December 31, 2025 (“2025 AIP”) are defned diferently from the defnitons of the similarly named non-GAAP fnancial measures used for fnancial reportng purposes. The defnitons and calculatons of non-GAAP fnancial measures used for 2025 AIP purposes are as follows:</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ADJUSTED EARNINGS PER DILUTED SHARE (“ADJUSTED EPS”)</w:t>
      </w:r>
    </w:p>
    <w:p>
      <w:pPr>
        <w:spacing w:after="0" w:line="212" w:lineRule="exact"/>
        <w:rPr>
          <w:sz w:val="20"/>
          <w:szCs w:val="20"/>
          <w:color w:val="auto"/>
        </w:rPr>
      </w:pPr>
    </w:p>
    <w:p>
      <w:pPr>
        <w:ind w:left="160" w:right="140"/>
        <w:spacing w:after="0" w:line="233" w:lineRule="auto"/>
        <w:rPr>
          <w:sz w:val="20"/>
          <w:szCs w:val="20"/>
          <w:color w:val="auto"/>
        </w:rPr>
      </w:pPr>
      <w:r>
        <w:rPr>
          <w:rFonts w:ascii="Calibri" w:cs="Calibri" w:eastAsia="Calibri" w:hAnsi="Calibri"/>
          <w:sz w:val="17"/>
          <w:szCs w:val="17"/>
          <w:color w:val="333333"/>
        </w:rPr>
        <w:t>We defne Adjusted EPS, a non-GAAP fnancial measure, as earnings per diluted share, excluding the impact of remeasurement of acquisiton-related contngent consideraton, special charges, goodwill impairment charges, the gain or loss on sale of a business and losses on early extnguishment of debt.</w:t>
      </w:r>
    </w:p>
    <w:p>
      <w:pPr>
        <w:spacing w:after="0" w:line="208"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Compensaton Commitee may, at its discreton, further adjust Adjusted EPS for the following items:</w:t>
      </w:r>
    </w:p>
    <w:p>
      <w:pPr>
        <w:spacing w:after="0" w:line="113" w:lineRule="exact"/>
        <w:rPr>
          <w:sz w:val="20"/>
          <w:szCs w:val="20"/>
          <w:color w:val="auto"/>
        </w:rPr>
      </w:pPr>
    </w:p>
    <w:p>
      <w:pPr>
        <w:ind w:left="1020" w:hanging="425"/>
        <w:spacing w:after="0"/>
        <w:tabs>
          <w:tab w:leader="none" w:pos="1020" w:val="left"/>
        </w:tabs>
        <w:numPr>
          <w:ilvl w:val="0"/>
          <w:numId w:val="122"/>
        </w:numPr>
        <w:rPr>
          <w:rFonts w:ascii="Calibri" w:cs="Calibri" w:eastAsia="Calibri" w:hAnsi="Calibri"/>
          <w:sz w:val="17"/>
          <w:szCs w:val="17"/>
          <w:color w:val="333333"/>
        </w:rPr>
      </w:pPr>
      <w:r>
        <w:rPr>
          <w:rFonts w:ascii="Calibri" w:cs="Calibri" w:eastAsia="Calibri" w:hAnsi="Calibri"/>
          <w:sz w:val="17"/>
          <w:szCs w:val="17"/>
          <w:color w:val="333333"/>
        </w:rPr>
        <w:t>each of the potental further adjustments included in the 2025 Adjusted EBITDA defniton;</w:t>
      </w:r>
    </w:p>
    <w:p>
      <w:pPr>
        <w:spacing w:after="0" w:line="117" w:lineRule="exact"/>
        <w:rPr>
          <w:rFonts w:ascii="Calibri" w:cs="Calibri" w:eastAsia="Calibri" w:hAnsi="Calibri"/>
          <w:sz w:val="17"/>
          <w:szCs w:val="17"/>
          <w:color w:val="333333"/>
        </w:rPr>
      </w:pPr>
    </w:p>
    <w:p>
      <w:pPr>
        <w:jc w:val="both"/>
        <w:ind w:left="1020" w:right="240" w:hanging="425"/>
        <w:spacing w:after="0" w:line="232" w:lineRule="auto"/>
        <w:tabs>
          <w:tab w:leader="none" w:pos="1020" w:val="left"/>
        </w:tabs>
        <w:numPr>
          <w:ilvl w:val="0"/>
          <w:numId w:val="122"/>
        </w:numPr>
        <w:rPr>
          <w:rFonts w:ascii="Calibri" w:cs="Calibri" w:eastAsia="Calibri" w:hAnsi="Calibri"/>
          <w:sz w:val="17"/>
          <w:szCs w:val="17"/>
          <w:color w:val="333333"/>
        </w:rPr>
      </w:pPr>
      <w:r>
        <w:rPr>
          <w:rFonts w:ascii="Calibri" w:cs="Calibri" w:eastAsia="Calibri" w:hAnsi="Calibri"/>
          <w:sz w:val="17"/>
          <w:szCs w:val="17"/>
          <w:color w:val="333333"/>
        </w:rPr>
        <w:t>exclusion of any gain or loss refected in the Company’s Consolidated Statement of Income as a result of any sale or other dispositon of any business or business segment of the Company in part or in its entrety completed in 2025, to the extent that such gain or loss is not already excluded from Adjusted EPS; and</w:t>
      </w:r>
    </w:p>
    <w:p>
      <w:pPr>
        <w:spacing w:after="0" w:line="120" w:lineRule="exact"/>
        <w:rPr>
          <w:rFonts w:ascii="Calibri" w:cs="Calibri" w:eastAsia="Calibri" w:hAnsi="Calibri"/>
          <w:sz w:val="17"/>
          <w:szCs w:val="17"/>
          <w:color w:val="333333"/>
        </w:rPr>
      </w:pPr>
    </w:p>
    <w:p>
      <w:pPr>
        <w:ind w:left="1020" w:right="40" w:hanging="425"/>
        <w:spacing w:after="0" w:line="232" w:lineRule="auto"/>
        <w:tabs>
          <w:tab w:leader="none" w:pos="1020" w:val="left"/>
        </w:tabs>
        <w:numPr>
          <w:ilvl w:val="0"/>
          <w:numId w:val="122"/>
        </w:numPr>
        <w:rPr>
          <w:rFonts w:ascii="Calibri" w:cs="Calibri" w:eastAsia="Calibri" w:hAnsi="Calibri"/>
          <w:sz w:val="17"/>
          <w:szCs w:val="17"/>
          <w:color w:val="333333"/>
        </w:rPr>
      </w:pPr>
      <w:r>
        <w:rPr>
          <w:rFonts w:ascii="Calibri" w:cs="Calibri" w:eastAsia="Calibri" w:hAnsi="Calibri"/>
          <w:sz w:val="17"/>
          <w:szCs w:val="17"/>
          <w:color w:val="333333"/>
        </w:rPr>
        <w:t>inclusion of, in the event of a sale or dispositon of part of any business or business segment of the Company completed in 2025, the minority interest of such business or business segment subsequent to the closing of the sale or dispositon. In the event of any sale or other dispositon of any business or business segment of the Company in its entrety completed in 2025, the Adjusted EPS performance metrics may be reduced by an amount equal to the budgeted operatng income for such business or business segment for the porton of 2025 subsequent to the closing of such transacton.</w:t>
      </w:r>
    </w:p>
    <w:p>
      <w:pPr>
        <w:spacing w:after="0" w:line="14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color w:val="333333"/>
        </w:rPr>
        <w:t>B-1</w:t>
      </w:r>
    </w:p>
    <w:p>
      <w:pPr>
        <w:sectPr>
          <w:pgSz w:w="11900" w:h="16838" w:orient="portrait"/>
          <w:cols w:equalWidth="0" w:num="1">
            <w:col w:w="11080"/>
          </w:cols>
          <w:pgMar w:left="320" w:top="478"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Reconciliatons of Net Income and EPS to Adjusted Net Income and Adjusted EPS for the Year Ended December 31, 2025</w:t>
      </w:r>
    </w:p>
    <w:p>
      <w:pPr>
        <w:spacing w:after="0" w:line="212" w:lineRule="exact"/>
        <w:rPr>
          <w:sz w:val="20"/>
          <w:szCs w:val="20"/>
          <w:color w:val="auto"/>
        </w:rPr>
      </w:pPr>
    </w:p>
    <w:p>
      <w:pPr>
        <w:ind w:left="160" w:right="260"/>
        <w:spacing w:after="0" w:line="233" w:lineRule="auto"/>
        <w:rPr>
          <w:sz w:val="20"/>
          <w:szCs w:val="20"/>
          <w:color w:val="auto"/>
        </w:rPr>
      </w:pPr>
      <w:r>
        <w:rPr>
          <w:rFonts w:ascii="Calibri" w:cs="Calibri" w:eastAsia="Calibri" w:hAnsi="Calibri"/>
          <w:sz w:val="17"/>
          <w:szCs w:val="17"/>
          <w:color w:val="333333"/>
        </w:rPr>
        <w:t>For purposes of 2025 AIP, the Compensaton Commitee determined not to further adjust Adjusted EPS. Any further adjustments to Adjusted EPS would not have negatvely impacted achievement of the 2025 Adjusted EPS performance metric at 119.2% of target, as illustrated below:</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9720" w:type="dxa"/>
            <w:vAlign w:val="bottom"/>
            <w:tcBorders>
              <w:top w:val="single" w:sz="8" w:color="0591DB"/>
              <w:left w:val="single" w:sz="8" w:color="0591DB"/>
              <w:bottom w:val="single" w:sz="8" w:color="0591DB"/>
              <w:right w:val="single" w:sz="8" w:color="0591DB"/>
            </w:tcBorders>
          </w:tcPr>
          <w:p>
            <w:pPr>
              <w:ind w:left="140"/>
              <w:spacing w:after="0" w:line="254" w:lineRule="exact"/>
              <w:rPr>
                <w:sz w:val="20"/>
                <w:szCs w:val="20"/>
                <w:color w:val="auto"/>
              </w:rPr>
            </w:pPr>
            <w:r>
              <w:rPr>
                <w:rFonts w:ascii="Calibri" w:cs="Calibri" w:eastAsia="Calibri" w:hAnsi="Calibri"/>
                <w:sz w:val="21"/>
                <w:szCs w:val="21"/>
                <w:b w:val="1"/>
                <w:bCs w:val="1"/>
                <w:color w:val="0591DB"/>
              </w:rPr>
              <w:t>(AMOUNTS IN THOUSANDS, EXCEPT PER SHARE DATA)</w:t>
            </w:r>
          </w:p>
        </w:tc>
        <w:tc>
          <w:tcPr>
            <w:tcW w:w="200" w:type="dxa"/>
            <w:vAlign w:val="bottom"/>
            <w:tcBorders>
              <w:top w:val="single" w:sz="8" w:color="0591DB"/>
              <w:bottom w:val="single" w:sz="8" w:color="0591DB"/>
            </w:tcBorders>
          </w:tcPr>
          <w:p>
            <w:pPr>
              <w:spacing w:after="0"/>
              <w:rPr>
                <w:sz w:val="22"/>
                <w:szCs w:val="22"/>
                <w:color w:val="auto"/>
              </w:rPr>
            </w:pPr>
          </w:p>
        </w:tc>
        <w:tc>
          <w:tcPr>
            <w:tcW w:w="120" w:type="dxa"/>
            <w:vAlign w:val="bottom"/>
            <w:tcBorders>
              <w:top w:val="single" w:sz="8" w:color="0591DB"/>
              <w:bottom w:val="single" w:sz="8" w:color="0591DB"/>
            </w:tcBorders>
          </w:tcPr>
          <w:p>
            <w:pPr>
              <w:spacing w:after="0"/>
              <w:rPr>
                <w:sz w:val="22"/>
                <w:szCs w:val="22"/>
                <w:color w:val="auto"/>
              </w:rPr>
            </w:pPr>
          </w:p>
        </w:tc>
        <w:tc>
          <w:tcPr>
            <w:tcW w:w="640" w:type="dxa"/>
            <w:vAlign w:val="bottom"/>
            <w:tcBorders>
              <w:top w:val="single" w:sz="8" w:color="0591DB"/>
              <w:bottom w:val="single" w:sz="8" w:color="0591DB"/>
            </w:tcBorders>
          </w:tcPr>
          <w:p>
            <w:pPr>
              <w:jc w:val="right"/>
              <w:ind w:right="94"/>
              <w:spacing w:after="0" w:line="254" w:lineRule="exact"/>
              <w:rPr>
                <w:sz w:val="20"/>
                <w:szCs w:val="20"/>
                <w:color w:val="auto"/>
              </w:rPr>
            </w:pPr>
            <w:r>
              <w:rPr>
                <w:rFonts w:ascii="Calibri" w:cs="Calibri" w:eastAsia="Calibri" w:hAnsi="Calibri"/>
                <w:sz w:val="21"/>
                <w:szCs w:val="21"/>
                <w:b w:val="1"/>
                <w:bCs w:val="1"/>
                <w:color w:val="0591DB"/>
              </w:rPr>
              <w:t>2025</w:t>
            </w:r>
          </w:p>
        </w:tc>
        <w:tc>
          <w:tcPr>
            <w:tcW w:w="220" w:type="dxa"/>
            <w:vAlign w:val="bottom"/>
            <w:tcBorders>
              <w:top w:val="single" w:sz="8" w:color="0591DB"/>
              <w:bottom w:val="single" w:sz="8" w:color="0591DB"/>
            </w:tcBorders>
          </w:tcPr>
          <w:p>
            <w:pPr>
              <w:spacing w:after="0"/>
              <w:rPr>
                <w:sz w:val="22"/>
                <w:szCs w:val="22"/>
                <w:color w:val="auto"/>
              </w:rPr>
            </w:pPr>
          </w:p>
        </w:tc>
        <w:tc>
          <w:tcPr>
            <w:tcW w:w="20" w:type="dxa"/>
            <w:vAlign w:val="bottom"/>
            <w:tcBorders>
              <w:top w:val="single" w:sz="8" w:color="0591DB"/>
              <w:bottom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20" w:type="dxa"/>
            <w:vAlign w:val="bottom"/>
          </w:tcPr>
          <w:p>
            <w:pPr>
              <w:spacing w:after="0" w:line="197" w:lineRule="exact"/>
              <w:rPr>
                <w:sz w:val="20"/>
                <w:szCs w:val="20"/>
                <w:color w:val="auto"/>
              </w:rPr>
            </w:pPr>
            <w:r>
              <w:rPr>
                <w:rFonts w:ascii="Calibri" w:cs="Calibri" w:eastAsia="Calibri" w:hAnsi="Calibri"/>
                <w:sz w:val="17"/>
                <w:szCs w:val="17"/>
                <w:b w:val="1"/>
                <w:bCs w:val="1"/>
                <w:color w:val="333333"/>
              </w:rPr>
              <w:t>Net income</w:t>
            </w:r>
          </w:p>
        </w:tc>
        <w:tc>
          <w:tcPr>
            <w:tcW w:w="320" w:type="dxa"/>
            <w:vAlign w:val="bottom"/>
            <w:gridSpan w:val="2"/>
          </w:tcPr>
          <w:p>
            <w:pPr>
              <w:jc w:val="right"/>
              <w:spacing w:after="0" w:line="197" w:lineRule="exact"/>
              <w:rPr>
                <w:sz w:val="20"/>
                <w:szCs w:val="20"/>
                <w:color w:val="auto"/>
              </w:rPr>
            </w:pPr>
            <w:r>
              <w:rPr>
                <w:rFonts w:ascii="Calibri" w:cs="Calibri" w:eastAsia="Calibri" w:hAnsi="Calibri"/>
                <w:sz w:val="17"/>
                <w:szCs w:val="17"/>
                <w:b w:val="1"/>
                <w:bCs w:val="1"/>
                <w:color w:val="333333"/>
              </w:rPr>
              <w:t>$</w:t>
            </w:r>
          </w:p>
        </w:tc>
        <w:tc>
          <w:tcPr>
            <w:tcW w:w="64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rPr>
              <w:t>270,871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9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720" w:type="dxa"/>
            <w:vAlign w:val="bottom"/>
            <w:tcBorders>
              <w:left w:val="single" w:sz="8" w:color="EFF2EF"/>
              <w:bottom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Add back:</w:t>
            </w:r>
          </w:p>
        </w:tc>
        <w:tc>
          <w:tcPr>
            <w:tcW w:w="20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64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20" w:type="dxa"/>
            <w:vAlign w:val="bottom"/>
          </w:tcPr>
          <w:p>
            <w:pPr>
              <w:spacing w:after="0" w:line="203" w:lineRule="exact"/>
              <w:rPr>
                <w:sz w:val="20"/>
                <w:szCs w:val="20"/>
                <w:color w:val="auto"/>
              </w:rPr>
            </w:pPr>
            <w:r>
              <w:rPr>
                <w:rFonts w:ascii="Calibri" w:cs="Calibri" w:eastAsia="Calibri" w:hAnsi="Calibri"/>
                <w:sz w:val="17"/>
                <w:szCs w:val="17"/>
                <w:color w:val="333333"/>
              </w:rPr>
              <w:t>Special charges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alibri" w:cs="Calibri" w:eastAsia="Calibri" w:hAnsi="Calibri"/>
                <w:sz w:val="17"/>
                <w:szCs w:val="17"/>
                <w:color w:val="333333"/>
              </w:rPr>
              <w:t>25,295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9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9720" w:type="dxa"/>
            <w:vAlign w:val="bottom"/>
            <w:tcBorders>
              <w:left w:val="single" w:sz="8" w:color="EFF2EF"/>
              <w:bottom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Tax impact of special charges</w:t>
            </w:r>
          </w:p>
        </w:tc>
        <w:tc>
          <w:tcPr>
            <w:tcW w:w="200" w:type="dxa"/>
            <w:vAlign w:val="bottom"/>
            <w:tcBorders>
              <w:bottom w:val="single" w:sz="8" w:color="EFF2EF"/>
            </w:tcBorders>
            <w:shd w:val="clear" w:color="auto" w:fill="EFF2EF"/>
          </w:tcPr>
          <w:p>
            <w:pPr>
              <w:spacing w:after="0"/>
              <w:rPr>
                <w:sz w:val="22"/>
                <w:szCs w:val="22"/>
                <w:color w:val="auto"/>
              </w:rPr>
            </w:pPr>
          </w:p>
        </w:tc>
        <w:tc>
          <w:tcPr>
            <w:tcW w:w="120" w:type="dxa"/>
            <w:vAlign w:val="bottom"/>
            <w:tcBorders>
              <w:bottom w:val="single" w:sz="8" w:color="EFF2EF"/>
            </w:tcBorders>
            <w:shd w:val="clear" w:color="auto" w:fill="EFF2EF"/>
          </w:tcPr>
          <w:p>
            <w:pPr>
              <w:spacing w:after="0"/>
              <w:rPr>
                <w:sz w:val="22"/>
                <w:szCs w:val="22"/>
                <w:color w:val="auto"/>
              </w:rPr>
            </w:pPr>
          </w:p>
        </w:tc>
        <w:tc>
          <w:tcPr>
            <w:tcW w:w="860" w:type="dxa"/>
            <w:vAlign w:val="bottom"/>
            <w:tcBorders>
              <w:bottom w:val="single" w:sz="8" w:color="EFF2EF"/>
            </w:tcBorders>
            <w:gridSpan w:val="2"/>
            <w:shd w:val="clear" w:color="auto" w:fill="EFF2EF"/>
          </w:tcPr>
          <w:p>
            <w:pPr>
              <w:jc w:val="right"/>
              <w:ind w:right="160"/>
              <w:spacing w:after="0" w:line="203" w:lineRule="exact"/>
              <w:rPr>
                <w:sz w:val="20"/>
                <w:szCs w:val="20"/>
                <w:color w:val="auto"/>
              </w:rPr>
            </w:pPr>
            <w:r>
              <w:rPr>
                <w:rFonts w:ascii="Calibri" w:cs="Calibri" w:eastAsia="Calibri" w:hAnsi="Calibri"/>
                <w:sz w:val="17"/>
                <w:szCs w:val="17"/>
                <w:color w:val="333333"/>
              </w:rPr>
              <w:t>(5,799)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20" w:type="dxa"/>
            <w:vAlign w:val="bottom"/>
          </w:tcPr>
          <w:p>
            <w:pPr>
              <w:spacing w:after="0" w:line="183" w:lineRule="exact"/>
              <w:rPr>
                <w:sz w:val="20"/>
                <w:szCs w:val="20"/>
                <w:color w:val="auto"/>
              </w:rPr>
            </w:pPr>
            <w:r>
              <w:rPr>
                <w:rFonts w:ascii="Calibri" w:cs="Calibri" w:eastAsia="Calibri" w:hAnsi="Calibri"/>
                <w:sz w:val="17"/>
                <w:szCs w:val="17"/>
                <w:b w:val="1"/>
                <w:bCs w:val="1"/>
                <w:color w:val="333333"/>
              </w:rPr>
              <w:t>Adjusted Net Income</w:t>
            </w:r>
          </w:p>
        </w:tc>
        <w:tc>
          <w:tcPr>
            <w:tcW w:w="200" w:type="dxa"/>
            <w:vAlign w:val="bottom"/>
          </w:tcPr>
          <w:p>
            <w:pPr>
              <w:spacing w:after="0"/>
              <w:rPr>
                <w:sz w:val="17"/>
                <w:szCs w:val="17"/>
                <w:color w:val="auto"/>
              </w:rPr>
            </w:pPr>
          </w:p>
        </w:tc>
        <w:tc>
          <w:tcPr>
            <w:tcW w:w="120" w:type="dxa"/>
            <w:vAlign w:val="bottom"/>
            <w:tcBorders>
              <w:top w:val="single" w:sz="8" w:color="333333"/>
            </w:tcBorders>
          </w:tcPr>
          <w:p>
            <w:pPr>
              <w:jc w:val="right"/>
              <w:spacing w:after="0"/>
              <w:rPr>
                <w:sz w:val="20"/>
                <w:szCs w:val="20"/>
                <w:color w:val="auto"/>
              </w:rPr>
            </w:pPr>
            <w:r>
              <w:rPr>
                <w:rFonts w:ascii="Calibri" w:cs="Calibri" w:eastAsia="Calibri" w:hAnsi="Calibri"/>
                <w:sz w:val="16"/>
                <w:szCs w:val="16"/>
                <w:b w:val="1"/>
                <w:bCs w:val="1"/>
                <w:color w:val="333333"/>
                <w:w w:val="73"/>
              </w:rPr>
              <w:t>$</w:t>
            </w:r>
          </w:p>
        </w:tc>
        <w:tc>
          <w:tcPr>
            <w:tcW w:w="640" w:type="dxa"/>
            <w:vAlign w:val="bottom"/>
            <w:tcBorders>
              <w:top w:val="single" w:sz="8" w:color="333333"/>
            </w:tcBorders>
          </w:tcPr>
          <w:p>
            <w:pPr>
              <w:jc w:val="right"/>
              <w:spacing w:after="0" w:line="197" w:lineRule="exact"/>
              <w:rPr>
                <w:sz w:val="20"/>
                <w:szCs w:val="20"/>
                <w:color w:val="auto"/>
              </w:rPr>
            </w:pPr>
            <w:r>
              <w:rPr>
                <w:rFonts w:ascii="Calibri" w:cs="Calibri" w:eastAsia="Calibri" w:hAnsi="Calibri"/>
                <w:sz w:val="17"/>
                <w:szCs w:val="17"/>
                <w:b w:val="1"/>
                <w:bCs w:val="1"/>
                <w:color w:val="333333"/>
              </w:rPr>
              <w:t>290,367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333333"/>
            </w:tcBorders>
          </w:tcPr>
          <w:p>
            <w:pPr>
              <w:spacing w:after="0"/>
              <w:rPr>
                <w:sz w:val="5"/>
                <w:szCs w:val="5"/>
                <w:color w:val="auto"/>
              </w:rPr>
            </w:pPr>
          </w:p>
        </w:tc>
        <w:tc>
          <w:tcPr>
            <w:tcW w:w="640" w:type="dxa"/>
            <w:vAlign w:val="bottom"/>
            <w:tcBorders>
              <w:bottom w:val="single" w:sz="8" w:color="333333"/>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333333"/>
            </w:tcBorders>
          </w:tcPr>
          <w:p>
            <w:pPr>
              <w:spacing w:after="0" w:line="20" w:lineRule="exact"/>
              <w:rPr>
                <w:sz w:val="1"/>
                <w:szCs w:val="1"/>
                <w:color w:val="auto"/>
              </w:rPr>
            </w:pPr>
          </w:p>
        </w:tc>
        <w:tc>
          <w:tcPr>
            <w:tcW w:w="640" w:type="dxa"/>
            <w:vAlign w:val="bottom"/>
            <w:tcBorders>
              <w:bottom w:val="single" w:sz="8" w:color="33333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720" w:type="dxa"/>
            <w:vAlign w:val="bottom"/>
            <w:tcBorders>
              <w:left w:val="single" w:sz="8" w:color="EFF2EF"/>
              <w:bottom w:val="single" w:sz="8" w:color="EFF2EF"/>
              <w:right w:val="single" w:sz="8" w:color="EFF2EF"/>
            </w:tcBorders>
            <w:shd w:val="clear" w:color="auto" w:fill="EFF2EF"/>
          </w:tcPr>
          <w:p>
            <w:pPr>
              <w:spacing w:after="0" w:line="197" w:lineRule="exact"/>
              <w:rPr>
                <w:sz w:val="20"/>
                <w:szCs w:val="20"/>
                <w:color w:val="auto"/>
              </w:rPr>
            </w:pPr>
            <w:r>
              <w:rPr>
                <w:rFonts w:ascii="Calibri" w:cs="Calibri" w:eastAsia="Calibri" w:hAnsi="Calibri"/>
                <w:sz w:val="17"/>
                <w:szCs w:val="17"/>
                <w:b w:val="1"/>
                <w:bCs w:val="1"/>
                <w:color w:val="333333"/>
              </w:rPr>
              <w:t>Earnings per common share — diluted</w:t>
            </w:r>
          </w:p>
        </w:tc>
        <w:tc>
          <w:tcPr>
            <w:tcW w:w="320" w:type="dxa"/>
            <w:vAlign w:val="bottom"/>
            <w:tcBorders>
              <w:bottom w:val="single" w:sz="8" w:color="EFF2EF"/>
            </w:tcBorders>
            <w:gridSpan w:val="2"/>
            <w:shd w:val="clear" w:color="auto" w:fill="EFF2EF"/>
          </w:tcPr>
          <w:p>
            <w:pPr>
              <w:jc w:val="right"/>
              <w:spacing w:after="0" w:line="197" w:lineRule="exact"/>
              <w:rPr>
                <w:sz w:val="20"/>
                <w:szCs w:val="20"/>
                <w:color w:val="auto"/>
              </w:rPr>
            </w:pPr>
            <w:r>
              <w:rPr>
                <w:rFonts w:ascii="Calibri" w:cs="Calibri" w:eastAsia="Calibri" w:hAnsi="Calibri"/>
                <w:sz w:val="17"/>
                <w:szCs w:val="17"/>
                <w:b w:val="1"/>
                <w:bCs w:val="1"/>
                <w:color w:val="333333"/>
              </w:rPr>
              <w:t>$</w:t>
            </w:r>
          </w:p>
        </w:tc>
        <w:tc>
          <w:tcPr>
            <w:tcW w:w="640" w:type="dxa"/>
            <w:vAlign w:val="bottom"/>
            <w:tcBorders>
              <w:bottom w:val="single" w:sz="8" w:color="EFF2EF"/>
            </w:tcBorders>
            <w:shd w:val="clear" w:color="auto" w:fill="EFF2EF"/>
          </w:tcPr>
          <w:p>
            <w:pPr>
              <w:jc w:val="right"/>
              <w:spacing w:after="0" w:line="197" w:lineRule="exact"/>
              <w:rPr>
                <w:sz w:val="20"/>
                <w:szCs w:val="20"/>
                <w:color w:val="auto"/>
              </w:rPr>
            </w:pPr>
            <w:r>
              <w:rPr>
                <w:rFonts w:ascii="Calibri" w:cs="Calibri" w:eastAsia="Calibri" w:hAnsi="Calibri"/>
                <w:sz w:val="17"/>
                <w:szCs w:val="17"/>
                <w:b w:val="1"/>
                <w:bCs w:val="1"/>
                <w:color w:val="333333"/>
              </w:rPr>
              <w:t>8.24</w:t>
            </w:r>
          </w:p>
        </w:tc>
        <w:tc>
          <w:tcPr>
            <w:tcW w:w="220" w:type="dxa"/>
            <w:vAlign w:val="bottom"/>
            <w:tcBorders>
              <w:bottom w:val="single" w:sz="8" w:color="EFF2EF"/>
            </w:tcBorders>
            <w:shd w:val="clear" w:color="auto" w:fill="EFF2E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20" w:type="dxa"/>
            <w:vAlign w:val="bottom"/>
          </w:tcPr>
          <w:p>
            <w:pPr>
              <w:spacing w:after="0" w:line="203" w:lineRule="exact"/>
              <w:rPr>
                <w:sz w:val="20"/>
                <w:szCs w:val="20"/>
                <w:color w:val="auto"/>
              </w:rPr>
            </w:pPr>
            <w:r>
              <w:rPr>
                <w:rFonts w:ascii="Calibri" w:cs="Calibri" w:eastAsia="Calibri" w:hAnsi="Calibri"/>
                <w:sz w:val="17"/>
                <w:szCs w:val="17"/>
                <w:color w:val="333333"/>
              </w:rPr>
              <w:t>Add back: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9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720" w:type="dxa"/>
            <w:vAlign w:val="bottom"/>
            <w:tcBorders>
              <w:left w:val="single" w:sz="8" w:color="EFF2EF"/>
              <w:bottom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Special charges</w:t>
            </w:r>
          </w:p>
        </w:tc>
        <w:tc>
          <w:tcPr>
            <w:tcW w:w="20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64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0.77</w:t>
            </w:r>
          </w:p>
        </w:tc>
        <w:tc>
          <w:tcPr>
            <w:tcW w:w="22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20" w:type="dxa"/>
            <w:vAlign w:val="bottom"/>
          </w:tcPr>
          <w:p>
            <w:pPr>
              <w:spacing w:after="0" w:line="203" w:lineRule="exact"/>
              <w:rPr>
                <w:sz w:val="20"/>
                <w:szCs w:val="20"/>
                <w:color w:val="auto"/>
              </w:rPr>
            </w:pPr>
            <w:r>
              <w:rPr>
                <w:rFonts w:ascii="Calibri" w:cs="Calibri" w:eastAsia="Calibri" w:hAnsi="Calibri"/>
                <w:sz w:val="17"/>
                <w:szCs w:val="17"/>
                <w:color w:val="333333"/>
              </w:rPr>
              <w:t>Tax impact of special charges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3" w:lineRule="exact"/>
              <w:rPr>
                <w:sz w:val="20"/>
                <w:szCs w:val="20"/>
                <w:color w:val="auto"/>
              </w:rPr>
            </w:pPr>
            <w:r>
              <w:rPr>
                <w:rFonts w:ascii="Calibri" w:cs="Calibri" w:eastAsia="Calibri" w:hAnsi="Calibri"/>
                <w:sz w:val="17"/>
                <w:szCs w:val="17"/>
                <w:color w:val="333333"/>
              </w:rPr>
              <w:t>(0.18)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333333"/>
            </w:tcBorders>
          </w:tcPr>
          <w:p>
            <w:pPr>
              <w:spacing w:after="0"/>
              <w:rPr>
                <w:sz w:val="5"/>
                <w:szCs w:val="5"/>
                <w:color w:val="auto"/>
              </w:rPr>
            </w:pPr>
          </w:p>
        </w:tc>
        <w:tc>
          <w:tcPr>
            <w:tcW w:w="640" w:type="dxa"/>
            <w:vAlign w:val="bottom"/>
            <w:tcBorders>
              <w:bottom w:val="single" w:sz="8" w:color="333333"/>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9720" w:type="dxa"/>
            <w:vAlign w:val="bottom"/>
            <w:tcBorders>
              <w:left w:val="single" w:sz="8" w:color="EFF2EF"/>
              <w:bottom w:val="single" w:sz="8" w:color="EFF2EF"/>
              <w:right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b w:val="1"/>
                <w:bCs w:val="1"/>
                <w:color w:val="333333"/>
              </w:rPr>
              <w:t>Adjusted earnings per common share — diluted</w:t>
            </w:r>
          </w:p>
        </w:tc>
        <w:tc>
          <w:tcPr>
            <w:tcW w:w="320" w:type="dxa"/>
            <w:vAlign w:val="bottom"/>
            <w:tcBorders>
              <w:bottom w:val="single" w:sz="8" w:color="EFF2EF"/>
            </w:tcBorders>
            <w:gridSpan w:val="2"/>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w:t>
            </w:r>
          </w:p>
        </w:tc>
        <w:tc>
          <w:tcPr>
            <w:tcW w:w="64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b w:val="1"/>
                <w:bCs w:val="1"/>
                <w:color w:val="333333"/>
              </w:rPr>
              <w:t>8.83</w:t>
            </w:r>
          </w:p>
        </w:tc>
        <w:tc>
          <w:tcPr>
            <w:tcW w:w="220" w:type="dxa"/>
            <w:vAlign w:val="bottom"/>
            <w:tcBorders>
              <w:bottom w:val="single" w:sz="8" w:color="EFF2EF"/>
            </w:tcBorders>
            <w:shd w:val="clear" w:color="auto" w:fill="EFF2E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Calibri" w:cs="Calibri" w:eastAsia="Calibri" w:hAnsi="Calibri"/>
                <w:sz w:val="17"/>
                <w:szCs w:val="17"/>
                <w:color w:val="333333"/>
              </w:rPr>
              <w:t>Weighted average number of common shares outstanding — diluted</w:t>
            </w:r>
          </w:p>
        </w:tc>
        <w:tc>
          <w:tcPr>
            <w:tcW w:w="200" w:type="dxa"/>
            <w:vAlign w:val="bottom"/>
          </w:tcPr>
          <w:p>
            <w:pPr>
              <w:spacing w:after="0" w:line="20" w:lineRule="exact"/>
              <w:rPr>
                <w:sz w:val="1"/>
                <w:szCs w:val="1"/>
                <w:color w:val="auto"/>
              </w:rPr>
            </w:pPr>
          </w:p>
        </w:tc>
        <w:tc>
          <w:tcPr>
            <w:tcW w:w="120" w:type="dxa"/>
            <w:vAlign w:val="bottom"/>
            <w:tcBorders>
              <w:top w:val="single" w:sz="8" w:color="333333"/>
              <w:bottom w:val="single" w:sz="8" w:color="333333"/>
            </w:tcBorders>
          </w:tcPr>
          <w:p>
            <w:pPr>
              <w:spacing w:after="0" w:line="20" w:lineRule="exact"/>
              <w:rPr>
                <w:sz w:val="1"/>
                <w:szCs w:val="1"/>
                <w:color w:val="auto"/>
              </w:rPr>
            </w:pPr>
          </w:p>
        </w:tc>
        <w:tc>
          <w:tcPr>
            <w:tcW w:w="640" w:type="dxa"/>
            <w:vAlign w:val="bottom"/>
            <w:tcBorders>
              <w:top w:val="single" w:sz="8" w:color="333333"/>
              <w:bottom w:val="single" w:sz="8" w:color="33333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Calibri" w:cs="Calibri" w:eastAsia="Calibri" w:hAnsi="Calibri"/>
                <w:sz w:val="17"/>
                <w:szCs w:val="17"/>
                <w:color w:val="333333"/>
              </w:rPr>
              <w:t>32,881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C3A68"/>
        </w:rPr>
        <w:t>ADJUSTED EBITDA</w:t>
      </w:r>
    </w:p>
    <w:p>
      <w:pPr>
        <w:spacing w:after="0" w:line="212" w:lineRule="exact"/>
        <w:rPr>
          <w:sz w:val="20"/>
          <w:szCs w:val="20"/>
          <w:color w:val="auto"/>
        </w:rPr>
      </w:pPr>
    </w:p>
    <w:p>
      <w:pPr>
        <w:ind w:left="160" w:right="520"/>
        <w:spacing w:after="0" w:line="232" w:lineRule="auto"/>
        <w:rPr>
          <w:sz w:val="20"/>
          <w:szCs w:val="20"/>
          <w:color w:val="auto"/>
        </w:rPr>
      </w:pPr>
      <w:r>
        <w:rPr>
          <w:rFonts w:ascii="Calibri" w:cs="Calibri" w:eastAsia="Calibri" w:hAnsi="Calibri"/>
          <w:sz w:val="17"/>
          <w:szCs w:val="17"/>
          <w:color w:val="333333"/>
        </w:rPr>
        <w:t>We defne Adjusted EBITDA, a non-GAAP fnancial measure, as consolidated net income before income tax provision, other non-operatng income (expense), depreciaton, amortzaton of intangible assets, remeasurement of acquisiton-related contngent consideraton, special charges, goodwill impairment charges, gain or loss on sale of a business and losses on early extnguishment of debt.</w:t>
      </w:r>
    </w:p>
    <w:p>
      <w:pPr>
        <w:spacing w:after="0" w:line="209"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The Compensaton Commitee may, at its discreton, further adjust Adjusted EBITDA to exclude the following items:</w:t>
      </w:r>
    </w:p>
    <w:p>
      <w:pPr>
        <w:spacing w:after="0" w:line="113" w:lineRule="exact"/>
        <w:rPr>
          <w:sz w:val="20"/>
          <w:szCs w:val="20"/>
          <w:color w:val="auto"/>
        </w:rPr>
      </w:pPr>
    </w:p>
    <w:p>
      <w:pPr>
        <w:ind w:left="1020" w:hanging="425"/>
        <w:spacing w:after="0"/>
        <w:tabs>
          <w:tab w:leader="none" w:pos="1020" w:val="left"/>
        </w:tabs>
        <w:numPr>
          <w:ilvl w:val="0"/>
          <w:numId w:val="123"/>
        </w:numPr>
        <w:rPr>
          <w:rFonts w:ascii="Calibri" w:cs="Calibri" w:eastAsia="Calibri" w:hAnsi="Calibri"/>
          <w:sz w:val="17"/>
          <w:szCs w:val="17"/>
          <w:color w:val="333333"/>
        </w:rPr>
      </w:pPr>
      <w:r>
        <w:rPr>
          <w:rFonts w:ascii="Calibri" w:cs="Calibri" w:eastAsia="Calibri" w:hAnsi="Calibri"/>
          <w:sz w:val="17"/>
          <w:szCs w:val="17"/>
          <w:color w:val="333333"/>
        </w:rPr>
        <w:t>operatng results, including costs and expenses, of operatons (including minority interest) discontnued, sold or acquired;</w:t>
      </w:r>
    </w:p>
    <w:p>
      <w:pPr>
        <w:spacing w:after="0" w:line="113" w:lineRule="exact"/>
        <w:rPr>
          <w:rFonts w:ascii="Calibri" w:cs="Calibri" w:eastAsia="Calibri" w:hAnsi="Calibri"/>
          <w:sz w:val="17"/>
          <w:szCs w:val="17"/>
          <w:color w:val="333333"/>
        </w:rPr>
      </w:pPr>
    </w:p>
    <w:p>
      <w:pPr>
        <w:ind w:left="1020" w:hanging="425"/>
        <w:spacing w:after="0"/>
        <w:tabs>
          <w:tab w:leader="none" w:pos="1020" w:val="left"/>
        </w:tabs>
        <w:numPr>
          <w:ilvl w:val="0"/>
          <w:numId w:val="123"/>
        </w:numPr>
        <w:rPr>
          <w:rFonts w:ascii="Calibri" w:cs="Calibri" w:eastAsia="Calibri" w:hAnsi="Calibri"/>
          <w:sz w:val="17"/>
          <w:szCs w:val="17"/>
          <w:color w:val="333333"/>
        </w:rPr>
      </w:pPr>
      <w:r>
        <w:rPr>
          <w:rFonts w:ascii="Calibri" w:cs="Calibri" w:eastAsia="Calibri" w:hAnsi="Calibri"/>
          <w:sz w:val="17"/>
          <w:szCs w:val="17"/>
          <w:color w:val="333333"/>
        </w:rPr>
        <w:t>impact of foreign exchange rates diferent from budget (i.e. – constant currency);</w:t>
      </w:r>
    </w:p>
    <w:p>
      <w:pPr>
        <w:spacing w:after="0" w:line="113" w:lineRule="exact"/>
        <w:rPr>
          <w:rFonts w:ascii="Calibri" w:cs="Calibri" w:eastAsia="Calibri" w:hAnsi="Calibri"/>
          <w:sz w:val="17"/>
          <w:szCs w:val="17"/>
          <w:color w:val="333333"/>
        </w:rPr>
      </w:pPr>
    </w:p>
    <w:p>
      <w:pPr>
        <w:ind w:left="1020" w:hanging="425"/>
        <w:spacing w:after="0"/>
        <w:tabs>
          <w:tab w:leader="none" w:pos="1020" w:val="left"/>
        </w:tabs>
        <w:numPr>
          <w:ilvl w:val="0"/>
          <w:numId w:val="123"/>
        </w:numPr>
        <w:rPr>
          <w:rFonts w:ascii="Calibri" w:cs="Calibri" w:eastAsia="Calibri" w:hAnsi="Calibri"/>
          <w:sz w:val="17"/>
          <w:szCs w:val="17"/>
          <w:color w:val="333333"/>
        </w:rPr>
      </w:pPr>
      <w:r>
        <w:rPr>
          <w:rFonts w:ascii="Calibri" w:cs="Calibri" w:eastAsia="Calibri" w:hAnsi="Calibri"/>
          <w:sz w:val="17"/>
          <w:szCs w:val="17"/>
          <w:color w:val="333333"/>
        </w:rPr>
        <w:t>costs and expenses related to fnancing actvity and gains or losses related to fnancing actvity;</w:t>
      </w:r>
    </w:p>
    <w:p>
      <w:pPr>
        <w:spacing w:after="0" w:line="113" w:lineRule="exact"/>
        <w:rPr>
          <w:rFonts w:ascii="Calibri" w:cs="Calibri" w:eastAsia="Calibri" w:hAnsi="Calibri"/>
          <w:sz w:val="17"/>
          <w:szCs w:val="17"/>
          <w:color w:val="333333"/>
        </w:rPr>
      </w:pPr>
    </w:p>
    <w:p>
      <w:pPr>
        <w:ind w:left="1020" w:hanging="425"/>
        <w:spacing w:after="0"/>
        <w:tabs>
          <w:tab w:leader="none" w:pos="1020" w:val="left"/>
        </w:tabs>
        <w:numPr>
          <w:ilvl w:val="0"/>
          <w:numId w:val="123"/>
        </w:numPr>
        <w:rPr>
          <w:rFonts w:ascii="Calibri" w:cs="Calibri" w:eastAsia="Calibri" w:hAnsi="Calibri"/>
          <w:sz w:val="17"/>
          <w:szCs w:val="17"/>
          <w:color w:val="333333"/>
        </w:rPr>
      </w:pPr>
      <w:r>
        <w:rPr>
          <w:rFonts w:ascii="Calibri" w:cs="Calibri" w:eastAsia="Calibri" w:hAnsi="Calibri"/>
          <w:sz w:val="17"/>
          <w:szCs w:val="17"/>
          <w:color w:val="333333"/>
        </w:rPr>
        <w:t>unplanned severance costs; and</w:t>
      </w:r>
    </w:p>
    <w:p>
      <w:pPr>
        <w:spacing w:after="0" w:line="113" w:lineRule="exact"/>
        <w:rPr>
          <w:rFonts w:ascii="Calibri" w:cs="Calibri" w:eastAsia="Calibri" w:hAnsi="Calibri"/>
          <w:sz w:val="17"/>
          <w:szCs w:val="17"/>
          <w:color w:val="333333"/>
        </w:rPr>
      </w:pPr>
    </w:p>
    <w:p>
      <w:pPr>
        <w:ind w:left="1020" w:hanging="425"/>
        <w:spacing w:after="0"/>
        <w:tabs>
          <w:tab w:leader="none" w:pos="1020" w:val="left"/>
        </w:tabs>
        <w:numPr>
          <w:ilvl w:val="0"/>
          <w:numId w:val="123"/>
        </w:numPr>
        <w:rPr>
          <w:rFonts w:ascii="Calibri" w:cs="Calibri" w:eastAsia="Calibri" w:hAnsi="Calibri"/>
          <w:sz w:val="17"/>
          <w:szCs w:val="17"/>
          <w:color w:val="333333"/>
        </w:rPr>
      </w:pPr>
      <w:r>
        <w:rPr>
          <w:rFonts w:ascii="Calibri" w:cs="Calibri" w:eastAsia="Calibri" w:hAnsi="Calibri"/>
          <w:sz w:val="17"/>
          <w:szCs w:val="17"/>
          <w:color w:val="333333"/>
        </w:rPr>
        <w:t>litgaton setlements and costs.</w:t>
      </w:r>
    </w:p>
    <w:p>
      <w:pPr>
        <w:spacing w:after="0" w:line="14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333333"/>
        </w:rPr>
        <w:t>B-2</w:t>
      </w:r>
    </w:p>
    <w:p>
      <w:pPr>
        <w:sectPr>
          <w:pgSz w:w="11900" w:h="16838" w:orient="portrait"/>
          <w:cols w:equalWidth="0" w:num="1">
            <w:col w:w="11100"/>
          </w:cols>
          <w:pgMar w:left="320" w:top="478"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b w:val="1"/>
          <w:bCs w:val="1"/>
          <w:color w:val="0591DB"/>
        </w:rPr>
        <w:t>Reconciliaton of Net Income to Adjusted EBITDA for the Year Ended December 31, 2025</w:t>
      </w:r>
    </w:p>
    <w:p>
      <w:pPr>
        <w:spacing w:after="0" w:line="212" w:lineRule="exact"/>
        <w:rPr>
          <w:sz w:val="20"/>
          <w:szCs w:val="20"/>
          <w:color w:val="auto"/>
        </w:rPr>
      </w:pPr>
    </w:p>
    <w:p>
      <w:pPr>
        <w:ind w:left="160" w:right="220"/>
        <w:spacing w:after="0" w:line="233" w:lineRule="auto"/>
        <w:rPr>
          <w:sz w:val="20"/>
          <w:szCs w:val="20"/>
          <w:color w:val="auto"/>
        </w:rPr>
      </w:pPr>
      <w:r>
        <w:rPr>
          <w:rFonts w:ascii="Calibri" w:cs="Calibri" w:eastAsia="Calibri" w:hAnsi="Calibri"/>
          <w:sz w:val="17"/>
          <w:szCs w:val="17"/>
          <w:color w:val="333333"/>
        </w:rPr>
        <w:t>For purposes of 2025 AIP, the Compensaton Commitee determined not to further adjust Adjusted EBITDA. Any further adjustments to Adjusted EBITDA would not have negatvely impacted achievement of the 2025 Adjusted EBITDA performance metric at 118.4% of target, as illustrated below:</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tcBorders>
              <w:top w:val="single" w:sz="8" w:color="0591DB"/>
              <w:left w:val="single" w:sz="8" w:color="0591DB"/>
              <w:bottom w:val="single" w:sz="8" w:color="0591DB"/>
            </w:tcBorders>
          </w:tcPr>
          <w:p>
            <w:pPr>
              <w:ind w:left="140"/>
              <w:spacing w:after="0" w:line="254" w:lineRule="exact"/>
              <w:rPr>
                <w:sz w:val="20"/>
                <w:szCs w:val="20"/>
                <w:color w:val="auto"/>
              </w:rPr>
            </w:pPr>
            <w:r>
              <w:rPr>
                <w:rFonts w:ascii="Calibri" w:cs="Calibri" w:eastAsia="Calibri" w:hAnsi="Calibri"/>
                <w:sz w:val="21"/>
                <w:szCs w:val="21"/>
                <w:b w:val="1"/>
                <w:bCs w:val="1"/>
                <w:color w:val="0591DB"/>
              </w:rPr>
              <w:t>(AMOUNTS IN THOUSANDS)</w:t>
            </w:r>
          </w:p>
        </w:tc>
        <w:tc>
          <w:tcPr>
            <w:tcW w:w="5640" w:type="dxa"/>
            <w:vAlign w:val="bottom"/>
            <w:tcBorders>
              <w:top w:val="single" w:sz="8" w:color="0591DB"/>
              <w:bottom w:val="single" w:sz="8" w:color="0591DB"/>
              <w:right w:val="single" w:sz="8" w:color="0591DB"/>
            </w:tcBorders>
          </w:tcPr>
          <w:p>
            <w:pPr>
              <w:spacing w:after="0"/>
              <w:rPr>
                <w:sz w:val="22"/>
                <w:szCs w:val="22"/>
                <w:color w:val="auto"/>
              </w:rPr>
            </w:pPr>
          </w:p>
        </w:tc>
        <w:tc>
          <w:tcPr>
            <w:tcW w:w="200" w:type="dxa"/>
            <w:vAlign w:val="bottom"/>
            <w:tcBorders>
              <w:top w:val="single" w:sz="8" w:color="0591DB"/>
              <w:bottom w:val="single" w:sz="8" w:color="0591DB"/>
            </w:tcBorders>
          </w:tcPr>
          <w:p>
            <w:pPr>
              <w:spacing w:after="0"/>
              <w:rPr>
                <w:sz w:val="22"/>
                <w:szCs w:val="22"/>
                <w:color w:val="auto"/>
              </w:rPr>
            </w:pPr>
          </w:p>
        </w:tc>
        <w:tc>
          <w:tcPr>
            <w:tcW w:w="120" w:type="dxa"/>
            <w:vAlign w:val="bottom"/>
            <w:tcBorders>
              <w:top w:val="single" w:sz="8" w:color="0591DB"/>
              <w:bottom w:val="single" w:sz="8" w:color="0591DB"/>
            </w:tcBorders>
          </w:tcPr>
          <w:p>
            <w:pPr>
              <w:spacing w:after="0"/>
              <w:rPr>
                <w:sz w:val="22"/>
                <w:szCs w:val="22"/>
                <w:color w:val="auto"/>
              </w:rPr>
            </w:pPr>
          </w:p>
        </w:tc>
        <w:tc>
          <w:tcPr>
            <w:tcW w:w="640" w:type="dxa"/>
            <w:vAlign w:val="bottom"/>
            <w:tcBorders>
              <w:top w:val="single" w:sz="8" w:color="0591DB"/>
              <w:bottom w:val="single" w:sz="8" w:color="0591DB"/>
            </w:tcBorders>
          </w:tcPr>
          <w:p>
            <w:pPr>
              <w:jc w:val="right"/>
              <w:ind w:right="93"/>
              <w:spacing w:after="0" w:line="254" w:lineRule="exact"/>
              <w:rPr>
                <w:sz w:val="20"/>
                <w:szCs w:val="20"/>
                <w:color w:val="auto"/>
              </w:rPr>
            </w:pPr>
            <w:r>
              <w:rPr>
                <w:rFonts w:ascii="Calibri" w:cs="Calibri" w:eastAsia="Calibri" w:hAnsi="Calibri"/>
                <w:sz w:val="21"/>
                <w:szCs w:val="21"/>
                <w:b w:val="1"/>
                <w:bCs w:val="1"/>
                <w:color w:val="0591DB"/>
              </w:rPr>
              <w:t>2025</w:t>
            </w:r>
          </w:p>
        </w:tc>
        <w:tc>
          <w:tcPr>
            <w:tcW w:w="220" w:type="dxa"/>
            <w:vAlign w:val="bottom"/>
            <w:tcBorders>
              <w:top w:val="single" w:sz="8" w:color="0591DB"/>
              <w:bottom w:val="single" w:sz="8" w:color="0591DB"/>
            </w:tcBorders>
          </w:tcPr>
          <w:p>
            <w:pPr>
              <w:spacing w:after="0"/>
              <w:rPr>
                <w:sz w:val="22"/>
                <w:szCs w:val="22"/>
                <w:color w:val="auto"/>
              </w:rPr>
            </w:pPr>
          </w:p>
        </w:tc>
        <w:tc>
          <w:tcPr>
            <w:tcW w:w="20" w:type="dxa"/>
            <w:vAlign w:val="bottom"/>
            <w:tcBorders>
              <w:top w:val="single" w:sz="8" w:color="0591DB"/>
              <w:bottom w:val="single" w:sz="8" w:color="0591DB"/>
            </w:tcBorders>
            <w:shd w:val="clear" w:color="auto" w:fill="0591DB"/>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line="197" w:lineRule="exact"/>
              <w:rPr>
                <w:sz w:val="20"/>
                <w:szCs w:val="20"/>
                <w:color w:val="auto"/>
              </w:rPr>
            </w:pPr>
            <w:r>
              <w:rPr>
                <w:rFonts w:ascii="Calibri" w:cs="Calibri" w:eastAsia="Calibri" w:hAnsi="Calibri"/>
                <w:sz w:val="17"/>
                <w:szCs w:val="17"/>
                <w:b w:val="1"/>
                <w:bCs w:val="1"/>
                <w:color w:val="333333"/>
              </w:rPr>
              <w:t>Net income</w:t>
            </w:r>
          </w:p>
        </w:tc>
        <w:tc>
          <w:tcPr>
            <w:tcW w:w="596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333333"/>
              </w:rPr>
              <w:t>$</w:t>
            </w:r>
          </w:p>
        </w:tc>
        <w:tc>
          <w:tcPr>
            <w:tcW w:w="640" w:type="dxa"/>
            <w:vAlign w:val="bottom"/>
          </w:tcPr>
          <w:p>
            <w:pPr>
              <w:jc w:val="right"/>
              <w:spacing w:after="0" w:line="197" w:lineRule="exact"/>
              <w:rPr>
                <w:sz w:val="20"/>
                <w:szCs w:val="20"/>
                <w:color w:val="auto"/>
              </w:rPr>
            </w:pPr>
            <w:r>
              <w:rPr>
                <w:rFonts w:ascii="Calibri" w:cs="Calibri" w:eastAsia="Calibri" w:hAnsi="Calibri"/>
                <w:sz w:val="17"/>
                <w:szCs w:val="17"/>
                <w:b w:val="1"/>
                <w:bCs w:val="1"/>
                <w:color w:val="333333"/>
              </w:rPr>
              <w:t>270,871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0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Add back:</w:t>
            </w:r>
          </w:p>
        </w:tc>
        <w:tc>
          <w:tcPr>
            <w:tcW w:w="564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640" w:type="dxa"/>
            <w:vAlign w:val="bottom"/>
            <w:tcBorders>
              <w:bottom w:val="single" w:sz="8" w:color="EFF2EF"/>
            </w:tcBorders>
            <w:shd w:val="clear" w:color="auto" w:fill="EFF2EF"/>
          </w:tcPr>
          <w:p>
            <w:pPr>
              <w:spacing w:after="0"/>
              <w:rPr>
                <w:sz w:val="20"/>
                <w:szCs w:val="20"/>
                <w:color w:val="auto"/>
              </w:rPr>
            </w:pPr>
          </w:p>
        </w:tc>
        <w:tc>
          <w:tcPr>
            <w:tcW w:w="22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3" w:lineRule="exact"/>
              <w:rPr>
                <w:sz w:val="20"/>
                <w:szCs w:val="20"/>
                <w:color w:val="auto"/>
              </w:rPr>
            </w:pPr>
            <w:r>
              <w:rPr>
                <w:rFonts w:ascii="Calibri" w:cs="Calibri" w:eastAsia="Calibri" w:hAnsi="Calibri"/>
                <w:sz w:val="17"/>
                <w:szCs w:val="17"/>
                <w:color w:val="333333"/>
              </w:rPr>
              <w:t>Income tax provision</w:t>
            </w:r>
          </w:p>
        </w:tc>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alibri" w:cs="Calibri" w:eastAsia="Calibri" w:hAnsi="Calibri"/>
                <w:sz w:val="17"/>
                <w:szCs w:val="17"/>
                <w:color w:val="333333"/>
              </w:rPr>
              <w:t>100,140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0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Interest income and other</w:t>
            </w:r>
          </w:p>
        </w:tc>
        <w:tc>
          <w:tcPr>
            <w:tcW w:w="564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860" w:type="dxa"/>
            <w:vAlign w:val="bottom"/>
            <w:tcBorders>
              <w:bottom w:val="single" w:sz="8" w:color="EFF2EF"/>
            </w:tcBorders>
            <w:gridSpan w:val="2"/>
            <w:shd w:val="clear" w:color="auto" w:fill="EFF2EF"/>
          </w:tcPr>
          <w:p>
            <w:pPr>
              <w:jc w:val="right"/>
              <w:ind w:right="160"/>
              <w:spacing w:after="0" w:line="203" w:lineRule="exact"/>
              <w:rPr>
                <w:sz w:val="20"/>
                <w:szCs w:val="20"/>
                <w:color w:val="auto"/>
              </w:rPr>
            </w:pPr>
            <w:r>
              <w:rPr>
                <w:rFonts w:ascii="Calibri" w:cs="Calibri" w:eastAsia="Calibri" w:hAnsi="Calibri"/>
                <w:sz w:val="17"/>
                <w:szCs w:val="17"/>
                <w:color w:val="333333"/>
              </w:rPr>
              <w:t>(3,330)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3" w:lineRule="exact"/>
              <w:rPr>
                <w:sz w:val="20"/>
                <w:szCs w:val="20"/>
                <w:color w:val="auto"/>
              </w:rPr>
            </w:pPr>
            <w:r>
              <w:rPr>
                <w:rFonts w:ascii="Calibri" w:cs="Calibri" w:eastAsia="Calibri" w:hAnsi="Calibri"/>
                <w:sz w:val="17"/>
                <w:szCs w:val="17"/>
                <w:color w:val="333333"/>
              </w:rPr>
              <w:t>Interest expense</w:t>
            </w:r>
          </w:p>
        </w:tc>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alibri" w:cs="Calibri" w:eastAsia="Calibri" w:hAnsi="Calibri"/>
                <w:sz w:val="17"/>
                <w:szCs w:val="17"/>
                <w:color w:val="333333"/>
              </w:rPr>
              <w:t>21,396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0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Depreciaton of property and equipment</w:t>
            </w:r>
          </w:p>
        </w:tc>
        <w:tc>
          <w:tcPr>
            <w:tcW w:w="5640" w:type="dxa"/>
            <w:vAlign w:val="bottom"/>
            <w:tcBorders>
              <w:bottom w:val="single" w:sz="8" w:color="EFF2EF"/>
              <w:right w:val="single" w:sz="8" w:color="EFF2EF"/>
            </w:tcBorders>
            <w:shd w:val="clear" w:color="auto" w:fill="EFF2EF"/>
          </w:tcPr>
          <w:p>
            <w:pPr>
              <w:spacing w:after="0"/>
              <w:rPr>
                <w:sz w:val="20"/>
                <w:szCs w:val="20"/>
                <w:color w:val="auto"/>
              </w:rPr>
            </w:pPr>
          </w:p>
        </w:tc>
        <w:tc>
          <w:tcPr>
            <w:tcW w:w="200" w:type="dxa"/>
            <w:vAlign w:val="bottom"/>
            <w:tcBorders>
              <w:bottom w:val="single" w:sz="8" w:color="EFF2EF"/>
            </w:tcBorders>
            <w:shd w:val="clear" w:color="auto" w:fill="EFF2EF"/>
          </w:tcPr>
          <w:p>
            <w:pPr>
              <w:spacing w:after="0"/>
              <w:rPr>
                <w:sz w:val="20"/>
                <w:szCs w:val="20"/>
                <w:color w:val="auto"/>
              </w:rPr>
            </w:pPr>
          </w:p>
        </w:tc>
        <w:tc>
          <w:tcPr>
            <w:tcW w:w="120" w:type="dxa"/>
            <w:vAlign w:val="bottom"/>
            <w:tcBorders>
              <w:bottom w:val="single" w:sz="8" w:color="EFF2EF"/>
            </w:tcBorders>
            <w:shd w:val="clear" w:color="auto" w:fill="EFF2EF"/>
          </w:tcPr>
          <w:p>
            <w:pPr>
              <w:spacing w:after="0"/>
              <w:rPr>
                <w:sz w:val="20"/>
                <w:szCs w:val="20"/>
                <w:color w:val="auto"/>
              </w:rPr>
            </w:pPr>
          </w:p>
        </w:tc>
        <w:tc>
          <w:tcPr>
            <w:tcW w:w="64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45,764</w:t>
            </w:r>
          </w:p>
        </w:tc>
        <w:tc>
          <w:tcPr>
            <w:tcW w:w="220" w:type="dxa"/>
            <w:vAlign w:val="bottom"/>
            <w:tcBorders>
              <w:bottom w:val="single" w:sz="8" w:color="EFF2EF"/>
            </w:tcBorders>
            <w:shd w:val="clear" w:color="auto" w:fill="EFF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3" w:lineRule="exact"/>
              <w:rPr>
                <w:sz w:val="20"/>
                <w:szCs w:val="20"/>
                <w:color w:val="auto"/>
              </w:rPr>
            </w:pPr>
            <w:r>
              <w:rPr>
                <w:rFonts w:ascii="Calibri" w:cs="Calibri" w:eastAsia="Calibri" w:hAnsi="Calibri"/>
                <w:sz w:val="17"/>
                <w:szCs w:val="17"/>
                <w:color w:val="333333"/>
              </w:rPr>
              <w:t>Amortzaton of intangible assets</w:t>
            </w:r>
          </w:p>
        </w:tc>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alibri" w:cs="Calibri" w:eastAsia="Calibri" w:hAnsi="Calibri"/>
                <w:sz w:val="17"/>
                <w:szCs w:val="17"/>
                <w:color w:val="333333"/>
              </w:rPr>
              <w:t>3,479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0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080" w:type="dxa"/>
            <w:vAlign w:val="bottom"/>
            <w:tcBorders>
              <w:left w:val="single" w:sz="8" w:color="EFF2EF"/>
              <w:bottom w:val="single" w:sz="8" w:color="EFF2EF"/>
            </w:tcBorders>
            <w:shd w:val="clear" w:color="auto" w:fill="EFF2EF"/>
          </w:tcPr>
          <w:p>
            <w:pPr>
              <w:spacing w:after="0" w:line="203" w:lineRule="exact"/>
              <w:rPr>
                <w:sz w:val="20"/>
                <w:szCs w:val="20"/>
                <w:color w:val="auto"/>
              </w:rPr>
            </w:pPr>
            <w:r>
              <w:rPr>
                <w:rFonts w:ascii="Calibri" w:cs="Calibri" w:eastAsia="Calibri" w:hAnsi="Calibri"/>
                <w:sz w:val="17"/>
                <w:szCs w:val="17"/>
                <w:color w:val="333333"/>
              </w:rPr>
              <w:t>Special charges</w:t>
            </w:r>
          </w:p>
        </w:tc>
        <w:tc>
          <w:tcPr>
            <w:tcW w:w="5640" w:type="dxa"/>
            <w:vAlign w:val="bottom"/>
            <w:tcBorders>
              <w:bottom w:val="single" w:sz="8" w:color="EFF2EF"/>
              <w:right w:val="single" w:sz="8" w:color="EFF2EF"/>
            </w:tcBorders>
            <w:shd w:val="clear" w:color="auto" w:fill="EFF2EF"/>
          </w:tcPr>
          <w:p>
            <w:pPr>
              <w:spacing w:after="0"/>
              <w:rPr>
                <w:sz w:val="22"/>
                <w:szCs w:val="22"/>
                <w:color w:val="auto"/>
              </w:rPr>
            </w:pPr>
          </w:p>
        </w:tc>
        <w:tc>
          <w:tcPr>
            <w:tcW w:w="200" w:type="dxa"/>
            <w:vAlign w:val="bottom"/>
            <w:tcBorders>
              <w:bottom w:val="single" w:sz="8" w:color="EFF2EF"/>
            </w:tcBorders>
            <w:shd w:val="clear" w:color="auto" w:fill="EFF2EF"/>
          </w:tcPr>
          <w:p>
            <w:pPr>
              <w:spacing w:after="0"/>
              <w:rPr>
                <w:sz w:val="22"/>
                <w:szCs w:val="22"/>
                <w:color w:val="auto"/>
              </w:rPr>
            </w:pPr>
          </w:p>
        </w:tc>
        <w:tc>
          <w:tcPr>
            <w:tcW w:w="120" w:type="dxa"/>
            <w:vAlign w:val="bottom"/>
            <w:tcBorders>
              <w:bottom w:val="single" w:sz="8" w:color="EFF2EF"/>
            </w:tcBorders>
            <w:shd w:val="clear" w:color="auto" w:fill="EFF2EF"/>
          </w:tcPr>
          <w:p>
            <w:pPr>
              <w:spacing w:after="0"/>
              <w:rPr>
                <w:sz w:val="22"/>
                <w:szCs w:val="22"/>
                <w:color w:val="auto"/>
              </w:rPr>
            </w:pPr>
          </w:p>
        </w:tc>
        <w:tc>
          <w:tcPr>
            <w:tcW w:w="640" w:type="dxa"/>
            <w:vAlign w:val="bottom"/>
            <w:tcBorders>
              <w:bottom w:val="single" w:sz="8" w:color="EFF2EF"/>
            </w:tcBorders>
            <w:shd w:val="clear" w:color="auto" w:fill="EFF2EF"/>
          </w:tcPr>
          <w:p>
            <w:pPr>
              <w:jc w:val="right"/>
              <w:spacing w:after="0" w:line="203" w:lineRule="exact"/>
              <w:rPr>
                <w:sz w:val="20"/>
                <w:szCs w:val="20"/>
                <w:color w:val="auto"/>
              </w:rPr>
            </w:pPr>
            <w:r>
              <w:rPr>
                <w:rFonts w:ascii="Calibri" w:cs="Calibri" w:eastAsia="Calibri" w:hAnsi="Calibri"/>
                <w:sz w:val="17"/>
                <w:szCs w:val="17"/>
                <w:color w:val="333333"/>
              </w:rPr>
              <w:t>25,295</w:t>
            </w:r>
          </w:p>
        </w:tc>
        <w:tc>
          <w:tcPr>
            <w:tcW w:w="220" w:type="dxa"/>
            <w:vAlign w:val="bottom"/>
            <w:tcBorders>
              <w:bottom w:val="single" w:sz="8" w:color="EFF2EF"/>
            </w:tcBorders>
            <w:shd w:val="clear" w:color="auto" w:fill="EFF2E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line="183" w:lineRule="exact"/>
              <w:rPr>
                <w:sz w:val="20"/>
                <w:szCs w:val="20"/>
                <w:color w:val="auto"/>
              </w:rPr>
            </w:pPr>
            <w:r>
              <w:rPr>
                <w:rFonts w:ascii="Calibri" w:cs="Calibri" w:eastAsia="Calibri" w:hAnsi="Calibri"/>
                <w:sz w:val="17"/>
                <w:szCs w:val="17"/>
                <w:b w:val="1"/>
                <w:bCs w:val="1"/>
                <w:color w:val="333333"/>
              </w:rPr>
              <w:t>Adjusted EBITDA</w:t>
            </w:r>
          </w:p>
        </w:tc>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333333"/>
            </w:tcBorders>
          </w:tcPr>
          <w:p>
            <w:pPr>
              <w:jc w:val="right"/>
              <w:spacing w:after="0"/>
              <w:rPr>
                <w:sz w:val="20"/>
                <w:szCs w:val="20"/>
                <w:color w:val="auto"/>
              </w:rPr>
            </w:pPr>
            <w:r>
              <w:rPr>
                <w:rFonts w:ascii="Calibri" w:cs="Calibri" w:eastAsia="Calibri" w:hAnsi="Calibri"/>
                <w:sz w:val="16"/>
                <w:szCs w:val="16"/>
                <w:b w:val="1"/>
                <w:bCs w:val="1"/>
                <w:color w:val="333333"/>
                <w:w w:val="73"/>
              </w:rPr>
              <w:t>$</w:t>
            </w:r>
          </w:p>
        </w:tc>
        <w:tc>
          <w:tcPr>
            <w:tcW w:w="640" w:type="dxa"/>
            <w:vAlign w:val="bottom"/>
            <w:tcBorders>
              <w:top w:val="single" w:sz="8" w:color="333333"/>
            </w:tcBorders>
          </w:tcPr>
          <w:p>
            <w:pPr>
              <w:jc w:val="right"/>
              <w:spacing w:after="0" w:line="197" w:lineRule="exact"/>
              <w:rPr>
                <w:sz w:val="20"/>
                <w:szCs w:val="20"/>
                <w:color w:val="auto"/>
              </w:rPr>
            </w:pPr>
            <w:r>
              <w:rPr>
                <w:rFonts w:ascii="Calibri" w:cs="Calibri" w:eastAsia="Calibri" w:hAnsi="Calibri"/>
                <w:sz w:val="17"/>
                <w:szCs w:val="17"/>
                <w:b w:val="1"/>
                <w:bCs w:val="1"/>
                <w:color w:val="333333"/>
              </w:rPr>
              <w:t>463,615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333333"/>
            </w:tcBorders>
          </w:tcPr>
          <w:p>
            <w:pPr>
              <w:spacing w:after="0"/>
              <w:rPr>
                <w:sz w:val="5"/>
                <w:szCs w:val="5"/>
                <w:color w:val="auto"/>
              </w:rPr>
            </w:pPr>
          </w:p>
        </w:tc>
        <w:tc>
          <w:tcPr>
            <w:tcW w:w="640" w:type="dxa"/>
            <w:vAlign w:val="bottom"/>
            <w:tcBorders>
              <w:bottom w:val="single" w:sz="8" w:color="333333"/>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333333"/>
            </w:tcBorders>
          </w:tcPr>
          <w:p>
            <w:pPr>
              <w:spacing w:after="0" w:line="20" w:lineRule="exact"/>
              <w:rPr>
                <w:sz w:val="1"/>
                <w:szCs w:val="1"/>
                <w:color w:val="auto"/>
              </w:rPr>
            </w:pPr>
          </w:p>
        </w:tc>
        <w:tc>
          <w:tcPr>
            <w:tcW w:w="640" w:type="dxa"/>
            <w:vAlign w:val="bottom"/>
            <w:tcBorders>
              <w:bottom w:val="single" w:sz="8" w:color="33333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960" w:type="dxa"/>
            <w:vAlign w:val="bottom"/>
            <w:gridSpan w:val="3"/>
          </w:tcPr>
          <w:p>
            <w:pPr>
              <w:jc w:val="right"/>
              <w:ind w:right="4401"/>
              <w:spacing w:after="0"/>
              <w:rPr>
                <w:sz w:val="20"/>
                <w:szCs w:val="20"/>
                <w:color w:val="auto"/>
              </w:rPr>
            </w:pPr>
            <w:r>
              <w:rPr>
                <w:rFonts w:ascii="Calibri" w:cs="Calibri" w:eastAsia="Calibri" w:hAnsi="Calibri"/>
                <w:sz w:val="17"/>
                <w:szCs w:val="17"/>
                <w:color w:val="333333"/>
              </w:rPr>
              <w:t>B-3</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0260"/>
        <w:spacing w:after="0"/>
        <w:rPr>
          <w:sz w:val="20"/>
          <w:szCs w:val="20"/>
          <w:color w:val="auto"/>
        </w:rPr>
      </w:pPr>
      <w:r>
        <w:rPr>
          <w:rFonts w:ascii="Calibri" w:cs="Calibri" w:eastAsia="Calibri" w:hAnsi="Calibri"/>
          <w:sz w:val="17"/>
          <w:szCs w:val="17"/>
          <w:b w:val="1"/>
          <w:bCs w:val="1"/>
          <w:color w:val="0591DB"/>
        </w:rPr>
        <w:t>Appendix C</w:t>
      </w:r>
    </w:p>
    <w:p>
      <w:pPr>
        <w:spacing w:after="0" w:line="224" w:lineRule="exact"/>
        <w:rPr>
          <w:sz w:val="20"/>
          <w:szCs w:val="20"/>
          <w:color w:val="auto"/>
        </w:rPr>
      </w:pPr>
    </w:p>
    <w:p>
      <w:pPr>
        <w:jc w:val="center"/>
        <w:ind w:left="460" w:right="260"/>
        <w:spacing w:after="0" w:line="248" w:lineRule="auto"/>
        <w:rPr>
          <w:sz w:val="20"/>
          <w:szCs w:val="20"/>
          <w:color w:val="auto"/>
        </w:rPr>
      </w:pPr>
      <w:r>
        <w:rPr>
          <w:rFonts w:ascii="Calibri" w:cs="Calibri" w:eastAsia="Calibri" w:hAnsi="Calibri"/>
          <w:sz w:val="21"/>
          <w:szCs w:val="21"/>
          <w:b w:val="1"/>
          <w:bCs w:val="1"/>
          <w:color w:val="0591DB"/>
        </w:rPr>
        <w:t>RECONCILIATIONS OF THE NUMBER OF “EMPLOYEES, EXCLUDING INDEPENDENT CONTRACTORS,” TO THE NUMBER OF “FULL-TIME EQUIVALENT EMPLOYEES”</w:t>
      </w:r>
    </w:p>
    <w:p>
      <w:pPr>
        <w:spacing w:after="0" w:line="207" w:lineRule="exact"/>
        <w:rPr>
          <w:sz w:val="20"/>
          <w:szCs w:val="20"/>
          <w:color w:val="auto"/>
        </w:rPr>
      </w:pPr>
    </w:p>
    <w:p>
      <w:pPr>
        <w:ind w:left="160" w:right="500"/>
        <w:spacing w:after="0" w:line="233" w:lineRule="auto"/>
        <w:rPr>
          <w:sz w:val="20"/>
          <w:szCs w:val="20"/>
          <w:color w:val="auto"/>
        </w:rPr>
      </w:pPr>
      <w:r>
        <w:rPr>
          <w:rFonts w:ascii="Calibri" w:cs="Calibri" w:eastAsia="Calibri" w:hAnsi="Calibri"/>
          <w:sz w:val="17"/>
          <w:szCs w:val="17"/>
          <w:b w:val="1"/>
          <w:bCs w:val="1"/>
          <w:color w:val="0C3A68"/>
        </w:rPr>
        <w:t>RECONCILIATIONS OF THE NUMBER OF EMPLOYEES, EXCLUDING INDEPENDENT CONTRACTORS, TO FULL-TIME EQUIVALENT EMPLOYEES, FOR THE YEARS PRESENTED IN THE PROXY STATEMENT:</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4560" w:type="dxa"/>
            <w:vAlign w:val="bottom"/>
          </w:tcPr>
          <w:p>
            <w:pPr>
              <w:spacing w:after="0"/>
              <w:rPr>
                <w:sz w:val="22"/>
                <w:szCs w:val="22"/>
                <w:color w:val="auto"/>
              </w:rPr>
            </w:pPr>
          </w:p>
        </w:tc>
        <w:tc>
          <w:tcPr>
            <w:tcW w:w="1360" w:type="dxa"/>
            <w:vAlign w:val="bottom"/>
            <w:tcBorders>
              <w:right w:val="single" w:sz="8" w:color="0591DB"/>
            </w:tcBorders>
          </w:tcPr>
          <w:p>
            <w:pPr>
              <w:spacing w:after="0"/>
              <w:rPr>
                <w:sz w:val="22"/>
                <w:szCs w:val="22"/>
                <w:color w:val="auto"/>
              </w:rPr>
            </w:pPr>
          </w:p>
        </w:tc>
        <w:tc>
          <w:tcPr>
            <w:tcW w:w="620" w:type="dxa"/>
            <w:vAlign w:val="bottom"/>
            <w:tcBorders>
              <w:top w:val="single" w:sz="8" w:color="0591DB"/>
              <w:bottom w:val="single" w:sz="8" w:color="0591DB"/>
            </w:tcBorders>
            <w:gridSpan w:val="2"/>
          </w:tcPr>
          <w:p>
            <w:pPr>
              <w:jc w:val="right"/>
              <w:spacing w:after="0" w:line="254" w:lineRule="exact"/>
              <w:rPr>
                <w:sz w:val="20"/>
                <w:szCs w:val="20"/>
                <w:color w:val="auto"/>
              </w:rPr>
            </w:pPr>
            <w:r>
              <w:rPr>
                <w:rFonts w:ascii="Calibri" w:cs="Calibri" w:eastAsia="Calibri" w:hAnsi="Calibri"/>
                <w:sz w:val="21"/>
                <w:szCs w:val="21"/>
                <w:b w:val="1"/>
                <w:bCs w:val="1"/>
                <w:color w:val="0591DB"/>
              </w:rPr>
              <w:t>2025</w:t>
            </w:r>
          </w:p>
        </w:tc>
        <w:tc>
          <w:tcPr>
            <w:tcW w:w="120" w:type="dxa"/>
            <w:vAlign w:val="bottom"/>
            <w:tcBorders>
              <w:top w:val="single" w:sz="8" w:color="0591DB"/>
              <w:bottom w:val="single" w:sz="8" w:color="0591DB"/>
              <w:right w:val="single" w:sz="8" w:color="0591DB"/>
            </w:tcBorders>
          </w:tcPr>
          <w:p>
            <w:pPr>
              <w:spacing w:after="0"/>
              <w:rPr>
                <w:sz w:val="22"/>
                <w:szCs w:val="22"/>
                <w:color w:val="auto"/>
              </w:rPr>
            </w:pPr>
          </w:p>
        </w:tc>
        <w:tc>
          <w:tcPr>
            <w:tcW w:w="620" w:type="dxa"/>
            <w:vAlign w:val="bottom"/>
            <w:tcBorders>
              <w:top w:val="single" w:sz="8" w:color="0591DB"/>
              <w:bottom w:val="single" w:sz="8" w:color="0591DB"/>
            </w:tcBorders>
            <w:gridSpan w:val="2"/>
          </w:tcPr>
          <w:p>
            <w:pPr>
              <w:jc w:val="right"/>
              <w:spacing w:after="0" w:line="254" w:lineRule="exact"/>
              <w:rPr>
                <w:sz w:val="20"/>
                <w:szCs w:val="20"/>
                <w:color w:val="auto"/>
              </w:rPr>
            </w:pPr>
            <w:r>
              <w:rPr>
                <w:rFonts w:ascii="Calibri" w:cs="Calibri" w:eastAsia="Calibri" w:hAnsi="Calibri"/>
                <w:sz w:val="21"/>
                <w:szCs w:val="21"/>
                <w:b w:val="1"/>
                <w:bCs w:val="1"/>
                <w:color w:val="0591DB"/>
              </w:rPr>
              <w:t>2024</w:t>
            </w:r>
          </w:p>
        </w:tc>
        <w:tc>
          <w:tcPr>
            <w:tcW w:w="120" w:type="dxa"/>
            <w:vAlign w:val="bottom"/>
            <w:tcBorders>
              <w:top w:val="single" w:sz="8" w:color="0591DB"/>
              <w:bottom w:val="single" w:sz="8" w:color="0591DB"/>
              <w:right w:val="single" w:sz="8" w:color="0591DB"/>
            </w:tcBorders>
          </w:tcPr>
          <w:p>
            <w:pPr>
              <w:spacing w:after="0"/>
              <w:rPr>
                <w:sz w:val="22"/>
                <w:szCs w:val="22"/>
                <w:color w:val="auto"/>
              </w:rPr>
            </w:pPr>
          </w:p>
        </w:tc>
        <w:tc>
          <w:tcPr>
            <w:tcW w:w="640" w:type="dxa"/>
            <w:vAlign w:val="bottom"/>
            <w:tcBorders>
              <w:top w:val="single" w:sz="8" w:color="0591DB"/>
              <w:bottom w:val="single" w:sz="8" w:color="0591DB"/>
            </w:tcBorders>
            <w:gridSpan w:val="2"/>
          </w:tcPr>
          <w:p>
            <w:pPr>
              <w:jc w:val="right"/>
              <w:ind w:right="15"/>
              <w:spacing w:after="0" w:line="254" w:lineRule="exact"/>
              <w:rPr>
                <w:sz w:val="20"/>
                <w:szCs w:val="20"/>
                <w:color w:val="auto"/>
              </w:rPr>
            </w:pPr>
            <w:r>
              <w:rPr>
                <w:rFonts w:ascii="Calibri" w:cs="Calibri" w:eastAsia="Calibri" w:hAnsi="Calibri"/>
                <w:sz w:val="21"/>
                <w:szCs w:val="21"/>
                <w:b w:val="1"/>
                <w:bCs w:val="1"/>
                <w:color w:val="0591DB"/>
              </w:rPr>
              <w:t>2023</w:t>
            </w:r>
          </w:p>
        </w:tc>
        <w:tc>
          <w:tcPr>
            <w:tcW w:w="120" w:type="dxa"/>
            <w:vAlign w:val="bottom"/>
            <w:tcBorders>
              <w:top w:val="single" w:sz="8" w:color="0591DB"/>
              <w:bottom w:val="single" w:sz="8" w:color="0591DB"/>
              <w:right w:val="single" w:sz="8" w:color="0591DB"/>
            </w:tcBorders>
          </w:tcPr>
          <w:p>
            <w:pPr>
              <w:spacing w:after="0"/>
              <w:rPr>
                <w:sz w:val="22"/>
                <w:szCs w:val="22"/>
                <w:color w:val="auto"/>
              </w:rPr>
            </w:pPr>
          </w:p>
        </w:tc>
        <w:tc>
          <w:tcPr>
            <w:tcW w:w="640" w:type="dxa"/>
            <w:vAlign w:val="bottom"/>
            <w:tcBorders>
              <w:top w:val="single" w:sz="8" w:color="0591DB"/>
              <w:bottom w:val="single" w:sz="8" w:color="0591DB"/>
            </w:tcBorders>
            <w:gridSpan w:val="2"/>
          </w:tcPr>
          <w:p>
            <w:pPr>
              <w:jc w:val="right"/>
              <w:ind w:right="15"/>
              <w:spacing w:after="0" w:line="254" w:lineRule="exact"/>
              <w:rPr>
                <w:sz w:val="20"/>
                <w:szCs w:val="20"/>
                <w:color w:val="auto"/>
              </w:rPr>
            </w:pPr>
            <w:r>
              <w:rPr>
                <w:rFonts w:ascii="Calibri" w:cs="Calibri" w:eastAsia="Calibri" w:hAnsi="Calibri"/>
                <w:sz w:val="21"/>
                <w:szCs w:val="21"/>
                <w:b w:val="1"/>
                <w:bCs w:val="1"/>
                <w:color w:val="0591DB"/>
              </w:rPr>
              <w:t>2022</w:t>
            </w:r>
          </w:p>
        </w:tc>
        <w:tc>
          <w:tcPr>
            <w:tcW w:w="120" w:type="dxa"/>
            <w:vAlign w:val="bottom"/>
            <w:tcBorders>
              <w:top w:val="single" w:sz="8" w:color="0591DB"/>
              <w:bottom w:val="single" w:sz="8" w:color="0591DB"/>
              <w:right w:val="single" w:sz="8" w:color="0591DB"/>
            </w:tcBorders>
          </w:tcPr>
          <w:p>
            <w:pPr>
              <w:spacing w:after="0"/>
              <w:rPr>
                <w:sz w:val="22"/>
                <w:szCs w:val="22"/>
                <w:color w:val="auto"/>
              </w:rPr>
            </w:pPr>
          </w:p>
        </w:tc>
        <w:tc>
          <w:tcPr>
            <w:tcW w:w="520" w:type="dxa"/>
            <w:vAlign w:val="bottom"/>
            <w:tcBorders>
              <w:top w:val="single" w:sz="8" w:color="0591DB"/>
              <w:bottom w:val="single" w:sz="8" w:color="0591DB"/>
            </w:tcBorders>
            <w:gridSpan w:val="2"/>
          </w:tcPr>
          <w:p>
            <w:pPr>
              <w:jc w:val="right"/>
              <w:spacing w:after="0" w:line="254" w:lineRule="exact"/>
              <w:rPr>
                <w:sz w:val="20"/>
                <w:szCs w:val="20"/>
                <w:color w:val="auto"/>
              </w:rPr>
            </w:pPr>
            <w:r>
              <w:rPr>
                <w:rFonts w:ascii="Calibri" w:cs="Calibri" w:eastAsia="Calibri" w:hAnsi="Calibri"/>
                <w:sz w:val="21"/>
                <w:szCs w:val="21"/>
                <w:b w:val="1"/>
                <w:bCs w:val="1"/>
                <w:color w:val="0591DB"/>
              </w:rPr>
              <w:t>2021</w:t>
            </w:r>
          </w:p>
        </w:tc>
        <w:tc>
          <w:tcPr>
            <w:tcW w:w="140" w:type="dxa"/>
            <w:vAlign w:val="bottom"/>
            <w:tcBorders>
              <w:top w:val="single" w:sz="8" w:color="0591DB"/>
              <w:bottom w:val="single" w:sz="8" w:color="0591DB"/>
              <w:right w:val="single" w:sz="8" w:color="0591DB"/>
            </w:tcBorders>
          </w:tcPr>
          <w:p>
            <w:pPr>
              <w:spacing w:after="0"/>
              <w:rPr>
                <w:sz w:val="22"/>
                <w:szCs w:val="22"/>
                <w:color w:val="auto"/>
              </w:rPr>
            </w:pPr>
          </w:p>
        </w:tc>
        <w:tc>
          <w:tcPr>
            <w:tcW w:w="540" w:type="dxa"/>
            <w:vAlign w:val="bottom"/>
            <w:tcBorders>
              <w:top w:val="single" w:sz="8" w:color="0591DB"/>
              <w:bottom w:val="single" w:sz="8" w:color="0591DB"/>
            </w:tcBorders>
            <w:gridSpan w:val="2"/>
          </w:tcPr>
          <w:p>
            <w:pPr>
              <w:jc w:val="right"/>
              <w:spacing w:after="0" w:line="254" w:lineRule="exact"/>
              <w:rPr>
                <w:sz w:val="20"/>
                <w:szCs w:val="20"/>
                <w:color w:val="auto"/>
              </w:rPr>
            </w:pPr>
            <w:r>
              <w:rPr>
                <w:rFonts w:ascii="Calibri" w:cs="Calibri" w:eastAsia="Calibri" w:hAnsi="Calibri"/>
                <w:sz w:val="21"/>
                <w:szCs w:val="21"/>
                <w:b w:val="1"/>
                <w:bCs w:val="1"/>
                <w:color w:val="0591DB"/>
              </w:rPr>
              <w:t>2020</w:t>
            </w:r>
          </w:p>
        </w:tc>
        <w:tc>
          <w:tcPr>
            <w:tcW w:w="120" w:type="dxa"/>
            <w:vAlign w:val="bottom"/>
            <w:tcBorders>
              <w:top w:val="single" w:sz="8" w:color="0591DB"/>
              <w:bottom w:val="single" w:sz="8" w:color="0591DB"/>
              <w:right w:val="single" w:sz="8" w:color="0591DB"/>
            </w:tcBorders>
          </w:tcPr>
          <w:p>
            <w:pPr>
              <w:spacing w:after="0"/>
              <w:rPr>
                <w:sz w:val="22"/>
                <w:szCs w:val="22"/>
                <w:color w:val="auto"/>
              </w:rPr>
            </w:pPr>
          </w:p>
        </w:tc>
        <w:tc>
          <w:tcPr>
            <w:tcW w:w="580" w:type="dxa"/>
            <w:vAlign w:val="bottom"/>
            <w:tcBorders>
              <w:top w:val="single" w:sz="8" w:color="0591DB"/>
              <w:bottom w:val="single" w:sz="8" w:color="0591DB"/>
            </w:tcBorders>
            <w:gridSpan w:val="2"/>
          </w:tcPr>
          <w:p>
            <w:pPr>
              <w:jc w:val="right"/>
              <w:spacing w:after="0" w:line="254" w:lineRule="exact"/>
              <w:rPr>
                <w:sz w:val="20"/>
                <w:szCs w:val="20"/>
                <w:color w:val="auto"/>
              </w:rPr>
            </w:pPr>
            <w:r>
              <w:rPr>
                <w:rFonts w:ascii="Calibri" w:cs="Calibri" w:eastAsia="Calibri" w:hAnsi="Calibri"/>
                <w:sz w:val="21"/>
                <w:szCs w:val="21"/>
                <w:b w:val="1"/>
                <w:bCs w:val="1"/>
                <w:color w:val="0591DB"/>
              </w:rPr>
              <w:t>2019</w:t>
            </w:r>
          </w:p>
        </w:tc>
        <w:tc>
          <w:tcPr>
            <w:tcW w:w="100" w:type="dxa"/>
            <w:vAlign w:val="bottom"/>
            <w:tcBorders>
              <w:top w:val="single" w:sz="8" w:color="0591DB"/>
              <w:bottom w:val="single" w:sz="8" w:color="0591DB"/>
            </w:tcBorders>
          </w:tcPr>
          <w:p>
            <w:pPr>
              <w:spacing w:after="0"/>
              <w:rPr>
                <w:sz w:val="22"/>
                <w:szCs w:val="22"/>
                <w:color w:val="auto"/>
              </w:rPr>
            </w:pPr>
          </w:p>
        </w:tc>
        <w:tc>
          <w:tcPr>
            <w:tcW w:w="20" w:type="dxa"/>
            <w:vAlign w:val="bottom"/>
            <w:tcBorders>
              <w:top w:val="single" w:sz="8" w:color="0591DB"/>
              <w:bottom w:val="single" w:sz="8" w:color="0591DB"/>
            </w:tcBorders>
            <w:shd w:val="clear" w:color="auto" w:fill="0591DB"/>
          </w:tcPr>
          <w:p>
            <w:pPr>
              <w:spacing w:after="0"/>
              <w:rPr>
                <w:sz w:val="22"/>
                <w:szCs w:val="22"/>
                <w:color w:val="auto"/>
              </w:rPr>
            </w:pPr>
          </w:p>
        </w:tc>
      </w:tr>
      <w:tr>
        <w:trPr>
          <w:trHeight w:val="194"/>
        </w:trPr>
        <w:tc>
          <w:tcPr>
            <w:tcW w:w="4560" w:type="dxa"/>
            <w:vAlign w:val="bottom"/>
          </w:tcPr>
          <w:p>
            <w:pPr>
              <w:spacing w:after="0" w:line="183" w:lineRule="exact"/>
              <w:rPr>
                <w:sz w:val="20"/>
                <w:szCs w:val="20"/>
                <w:color w:val="auto"/>
              </w:rPr>
            </w:pPr>
            <w:r>
              <w:rPr>
                <w:rFonts w:ascii="Calibri" w:cs="Calibri" w:eastAsia="Calibri" w:hAnsi="Calibri"/>
                <w:sz w:val="17"/>
                <w:szCs w:val="17"/>
                <w:b w:val="1"/>
                <w:bCs w:val="1"/>
                <w:color w:val="333333"/>
              </w:rPr>
              <w:t>Total employees, excluding independent contractors</w:t>
            </w:r>
          </w:p>
        </w:tc>
        <w:tc>
          <w:tcPr>
            <w:tcW w:w="1360" w:type="dxa"/>
            <w:vAlign w:val="bottom"/>
          </w:tcPr>
          <w:p>
            <w:pPr>
              <w:spacing w:after="0"/>
              <w:rPr>
                <w:sz w:val="16"/>
                <w:szCs w:val="16"/>
                <w:color w:val="auto"/>
              </w:rPr>
            </w:pPr>
          </w:p>
        </w:tc>
        <w:tc>
          <w:tcPr>
            <w:tcW w:w="620" w:type="dxa"/>
            <w:vAlign w:val="bottom"/>
            <w:gridSpan w:val="2"/>
          </w:tcPr>
          <w:p>
            <w:pPr>
              <w:jc w:val="right"/>
              <w:spacing w:after="0" w:line="194" w:lineRule="exact"/>
              <w:rPr>
                <w:sz w:val="20"/>
                <w:szCs w:val="20"/>
                <w:color w:val="auto"/>
              </w:rPr>
            </w:pPr>
            <w:r>
              <w:rPr>
                <w:rFonts w:ascii="Calibri" w:cs="Calibri" w:eastAsia="Calibri" w:hAnsi="Calibri"/>
                <w:sz w:val="17"/>
                <w:szCs w:val="17"/>
                <w:b w:val="1"/>
                <w:bCs w:val="1"/>
                <w:color w:val="333333"/>
              </w:rPr>
              <w:t>8,118</w:t>
            </w:r>
          </w:p>
        </w:tc>
        <w:tc>
          <w:tcPr>
            <w:tcW w:w="740" w:type="dxa"/>
            <w:vAlign w:val="bottom"/>
            <w:gridSpan w:val="3"/>
          </w:tcPr>
          <w:p>
            <w:pPr>
              <w:jc w:val="right"/>
              <w:spacing w:after="0" w:line="194" w:lineRule="exact"/>
              <w:rPr>
                <w:sz w:val="20"/>
                <w:szCs w:val="20"/>
                <w:color w:val="auto"/>
              </w:rPr>
            </w:pPr>
            <w:r>
              <w:rPr>
                <w:rFonts w:ascii="Calibri" w:cs="Calibri" w:eastAsia="Calibri" w:hAnsi="Calibri"/>
                <w:sz w:val="17"/>
                <w:szCs w:val="17"/>
                <w:b w:val="1"/>
                <w:bCs w:val="1"/>
                <w:color w:val="333333"/>
              </w:rPr>
              <w:t>8,374</w:t>
            </w:r>
          </w:p>
        </w:tc>
        <w:tc>
          <w:tcPr>
            <w:tcW w:w="760" w:type="dxa"/>
            <w:vAlign w:val="bottom"/>
            <w:gridSpan w:val="3"/>
          </w:tcPr>
          <w:p>
            <w:pPr>
              <w:jc w:val="right"/>
              <w:spacing w:after="0" w:line="194" w:lineRule="exact"/>
              <w:rPr>
                <w:sz w:val="20"/>
                <w:szCs w:val="20"/>
                <w:color w:val="auto"/>
              </w:rPr>
            </w:pPr>
            <w:r>
              <w:rPr>
                <w:rFonts w:ascii="Calibri" w:cs="Calibri" w:eastAsia="Calibri" w:hAnsi="Calibri"/>
                <w:sz w:val="17"/>
                <w:szCs w:val="17"/>
                <w:b w:val="1"/>
                <w:bCs w:val="1"/>
                <w:color w:val="333333"/>
              </w:rPr>
              <w:t>7,990</w:t>
            </w:r>
          </w:p>
        </w:tc>
        <w:tc>
          <w:tcPr>
            <w:tcW w:w="760" w:type="dxa"/>
            <w:vAlign w:val="bottom"/>
            <w:gridSpan w:val="3"/>
          </w:tcPr>
          <w:p>
            <w:pPr>
              <w:jc w:val="right"/>
              <w:spacing w:after="0" w:line="194" w:lineRule="exact"/>
              <w:rPr>
                <w:sz w:val="20"/>
                <w:szCs w:val="20"/>
                <w:color w:val="auto"/>
              </w:rPr>
            </w:pPr>
            <w:r>
              <w:rPr>
                <w:rFonts w:ascii="Calibri" w:cs="Calibri" w:eastAsia="Calibri" w:hAnsi="Calibri"/>
                <w:sz w:val="17"/>
                <w:szCs w:val="17"/>
                <w:b w:val="1"/>
                <w:bCs w:val="1"/>
                <w:color w:val="333333"/>
              </w:rPr>
              <w:t>7,635</w:t>
            </w:r>
          </w:p>
        </w:tc>
        <w:tc>
          <w:tcPr>
            <w:tcW w:w="640" w:type="dxa"/>
            <w:vAlign w:val="bottom"/>
            <w:gridSpan w:val="3"/>
          </w:tcPr>
          <w:p>
            <w:pPr>
              <w:jc w:val="right"/>
              <w:spacing w:after="0" w:line="194" w:lineRule="exact"/>
              <w:rPr>
                <w:sz w:val="20"/>
                <w:szCs w:val="20"/>
                <w:color w:val="auto"/>
              </w:rPr>
            </w:pPr>
            <w:r>
              <w:rPr>
                <w:rFonts w:ascii="Calibri" w:cs="Calibri" w:eastAsia="Calibri" w:hAnsi="Calibri"/>
                <w:sz w:val="17"/>
                <w:szCs w:val="17"/>
                <w:b w:val="1"/>
                <w:bCs w:val="1"/>
                <w:color w:val="333333"/>
              </w:rPr>
              <w:t>6,780</w:t>
            </w:r>
          </w:p>
        </w:tc>
        <w:tc>
          <w:tcPr>
            <w:tcW w:w="680" w:type="dxa"/>
            <w:vAlign w:val="bottom"/>
            <w:gridSpan w:val="3"/>
          </w:tcPr>
          <w:p>
            <w:pPr>
              <w:jc w:val="right"/>
              <w:spacing w:after="0" w:line="194" w:lineRule="exact"/>
              <w:rPr>
                <w:sz w:val="20"/>
                <w:szCs w:val="20"/>
                <w:color w:val="auto"/>
              </w:rPr>
            </w:pPr>
            <w:r>
              <w:rPr>
                <w:rFonts w:ascii="Calibri" w:cs="Calibri" w:eastAsia="Calibri" w:hAnsi="Calibri"/>
                <w:sz w:val="17"/>
                <w:szCs w:val="17"/>
                <w:b w:val="1"/>
                <w:bCs w:val="1"/>
                <w:color w:val="333333"/>
              </w:rPr>
              <w:t>6,321</w:t>
            </w:r>
          </w:p>
        </w:tc>
        <w:tc>
          <w:tcPr>
            <w:tcW w:w="700" w:type="dxa"/>
            <w:vAlign w:val="bottom"/>
            <w:gridSpan w:val="3"/>
          </w:tcPr>
          <w:p>
            <w:pPr>
              <w:jc w:val="right"/>
              <w:spacing w:after="0" w:line="194" w:lineRule="exact"/>
              <w:rPr>
                <w:sz w:val="20"/>
                <w:szCs w:val="20"/>
                <w:color w:val="auto"/>
              </w:rPr>
            </w:pPr>
            <w:r>
              <w:rPr>
                <w:rFonts w:ascii="Calibri" w:cs="Calibri" w:eastAsia="Calibri" w:hAnsi="Calibri"/>
                <w:sz w:val="17"/>
                <w:szCs w:val="17"/>
                <w:b w:val="1"/>
                <w:bCs w:val="1"/>
                <w:color w:val="333333"/>
              </w:rPr>
              <w:t>5,567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4560" w:type="dxa"/>
            <w:vAlign w:val="bottom"/>
            <w:shd w:val="clear" w:color="auto" w:fill="EFF2EF"/>
          </w:tcPr>
          <w:p>
            <w:pPr>
              <w:spacing w:after="0" w:line="201" w:lineRule="exact"/>
              <w:rPr>
                <w:sz w:val="20"/>
                <w:szCs w:val="20"/>
                <w:color w:val="auto"/>
              </w:rPr>
            </w:pPr>
            <w:r>
              <w:rPr>
                <w:rFonts w:ascii="Calibri" w:cs="Calibri" w:eastAsia="Calibri" w:hAnsi="Calibri"/>
                <w:sz w:val="17"/>
                <w:szCs w:val="17"/>
                <w:color w:val="333333"/>
              </w:rPr>
              <w:t>Independent contractors</w:t>
            </w:r>
          </w:p>
        </w:tc>
        <w:tc>
          <w:tcPr>
            <w:tcW w:w="198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2,265</w:t>
            </w:r>
          </w:p>
        </w:tc>
        <w:tc>
          <w:tcPr>
            <w:tcW w:w="74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2,400</w:t>
            </w:r>
          </w:p>
        </w:tc>
        <w:tc>
          <w:tcPr>
            <w:tcW w:w="76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2,685</w:t>
            </w:r>
          </w:p>
        </w:tc>
        <w:tc>
          <w:tcPr>
            <w:tcW w:w="76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2,534</w:t>
            </w:r>
          </w:p>
        </w:tc>
        <w:tc>
          <w:tcPr>
            <w:tcW w:w="64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1,965</w:t>
            </w:r>
          </w:p>
        </w:tc>
        <w:tc>
          <w:tcPr>
            <w:tcW w:w="68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1,606</w:t>
            </w:r>
          </w:p>
        </w:tc>
        <w:tc>
          <w:tcPr>
            <w:tcW w:w="700" w:type="dxa"/>
            <w:vAlign w:val="bottom"/>
            <w:gridSpan w:val="3"/>
            <w:shd w:val="clear" w:color="auto" w:fill="EFF2EF"/>
          </w:tcPr>
          <w:p>
            <w:pPr>
              <w:jc w:val="right"/>
              <w:spacing w:after="0" w:line="201" w:lineRule="exact"/>
              <w:rPr>
                <w:sz w:val="20"/>
                <w:szCs w:val="20"/>
                <w:color w:val="auto"/>
              </w:rPr>
            </w:pPr>
            <w:r>
              <w:rPr>
                <w:rFonts w:ascii="Calibri" w:cs="Calibri" w:eastAsia="Calibri" w:hAnsi="Calibri"/>
                <w:sz w:val="17"/>
                <w:szCs w:val="17"/>
                <w:color w:val="333333"/>
              </w:rPr>
              <w:t>1,858</w:t>
            </w:r>
          </w:p>
        </w:tc>
        <w:tc>
          <w:tcPr>
            <w:tcW w:w="100" w:type="dxa"/>
            <w:vAlign w:val="bottom"/>
            <w:shd w:val="clear" w:color="auto" w:fill="EFF2E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4560" w:type="dxa"/>
            <w:vAlign w:val="bottom"/>
          </w:tcPr>
          <w:p>
            <w:pPr>
              <w:spacing w:after="0" w:line="183" w:lineRule="exact"/>
              <w:rPr>
                <w:sz w:val="20"/>
                <w:szCs w:val="20"/>
                <w:color w:val="auto"/>
              </w:rPr>
            </w:pPr>
            <w:r>
              <w:rPr>
                <w:rFonts w:ascii="Calibri" w:cs="Calibri" w:eastAsia="Calibri" w:hAnsi="Calibri"/>
                <w:sz w:val="17"/>
                <w:szCs w:val="17"/>
                <w:b w:val="1"/>
                <w:bCs w:val="1"/>
                <w:color w:val="333333"/>
              </w:rPr>
              <w:t>Total full-tme equivalent employees</w:t>
            </w: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10,383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10,774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10,675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10,169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8,745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7,927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333333"/>
              <w:bottom w:val="single" w:sz="8" w:color="333333"/>
            </w:tcBorders>
          </w:tcPr>
          <w:p>
            <w:pPr>
              <w:jc w:val="right"/>
              <w:spacing w:after="0" w:line="202" w:lineRule="exact"/>
              <w:rPr>
                <w:sz w:val="20"/>
                <w:szCs w:val="20"/>
                <w:color w:val="auto"/>
              </w:rPr>
            </w:pPr>
            <w:r>
              <w:rPr>
                <w:rFonts w:ascii="Calibri" w:cs="Calibri" w:eastAsia="Calibri" w:hAnsi="Calibri"/>
                <w:sz w:val="17"/>
                <w:szCs w:val="17"/>
                <w:b w:val="1"/>
                <w:bCs w:val="1"/>
                <w:color w:val="333333"/>
              </w:rPr>
              <w:t>7,425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33333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33333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33333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4560" w:type="dxa"/>
            <w:vAlign w:val="bottom"/>
          </w:tcPr>
          <w:p>
            <w:pPr>
              <w:spacing w:after="0"/>
              <w:rPr>
                <w:sz w:val="24"/>
                <w:szCs w:val="24"/>
                <w:color w:val="auto"/>
              </w:rPr>
            </w:pPr>
          </w:p>
        </w:tc>
        <w:tc>
          <w:tcPr>
            <w:tcW w:w="1980" w:type="dxa"/>
            <w:vAlign w:val="bottom"/>
            <w:gridSpan w:val="3"/>
          </w:tcPr>
          <w:p>
            <w:pPr>
              <w:jc w:val="right"/>
              <w:ind w:right="875"/>
              <w:spacing w:after="0"/>
              <w:rPr>
                <w:sz w:val="20"/>
                <w:szCs w:val="20"/>
                <w:color w:val="auto"/>
              </w:rPr>
            </w:pPr>
            <w:r>
              <w:rPr>
                <w:rFonts w:ascii="Calibri" w:cs="Calibri" w:eastAsia="Calibri" w:hAnsi="Calibri"/>
                <w:sz w:val="17"/>
                <w:szCs w:val="17"/>
                <w:color w:val="333333"/>
              </w:rPr>
              <w:t>C-1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78"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555 12th Street NW</w:t>
      </w:r>
    </w:p>
    <w:p>
      <w:pPr>
        <w:ind w:left="160"/>
        <w:spacing w:after="0" w:line="232" w:lineRule="auto"/>
        <w:rPr>
          <w:sz w:val="20"/>
          <w:szCs w:val="20"/>
          <w:color w:val="auto"/>
        </w:rPr>
      </w:pPr>
      <w:r>
        <w:rPr>
          <w:rFonts w:ascii="Calibri" w:cs="Calibri" w:eastAsia="Calibri" w:hAnsi="Calibri"/>
          <w:sz w:val="17"/>
          <w:szCs w:val="17"/>
          <w:color w:val="333333"/>
        </w:rPr>
        <w:t>Suite 700</w:t>
      </w:r>
    </w:p>
    <w:p>
      <w:pPr>
        <w:ind w:left="160"/>
        <w:spacing w:after="0" w:line="232" w:lineRule="auto"/>
        <w:rPr>
          <w:sz w:val="20"/>
          <w:szCs w:val="20"/>
          <w:color w:val="auto"/>
        </w:rPr>
      </w:pPr>
      <w:r>
        <w:rPr>
          <w:rFonts w:ascii="Calibri" w:cs="Calibri" w:eastAsia="Calibri" w:hAnsi="Calibri"/>
          <w:sz w:val="17"/>
          <w:szCs w:val="17"/>
          <w:color w:val="333333"/>
        </w:rPr>
        <w:t>Washington, D.C. 20004</w:t>
      </w:r>
    </w:p>
    <w:p>
      <w:pPr>
        <w:ind w:left="160"/>
        <w:spacing w:after="0" w:line="232" w:lineRule="auto"/>
        <w:rPr>
          <w:sz w:val="20"/>
          <w:szCs w:val="20"/>
          <w:color w:val="auto"/>
        </w:rPr>
      </w:pPr>
      <w:r>
        <w:rPr>
          <w:rFonts w:ascii="Calibri" w:cs="Calibri" w:eastAsia="Calibri" w:hAnsi="Calibri"/>
          <w:sz w:val="17"/>
          <w:szCs w:val="17"/>
          <w:color w:val="333333"/>
        </w:rPr>
        <w:t>+1.202.312.9100</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www.ficonsultng.com</w:t>
      </w:r>
    </w:p>
    <w:p>
      <w:pPr>
        <w:spacing w:after="0" w:line="207" w:lineRule="exact"/>
        <w:rPr>
          <w:sz w:val="20"/>
          <w:szCs w:val="20"/>
          <w:color w:val="auto"/>
        </w:rPr>
      </w:pPr>
    </w:p>
    <w:p>
      <w:pPr>
        <w:ind w:left="160"/>
        <w:spacing w:after="0"/>
        <w:rPr>
          <w:sz w:val="20"/>
          <w:szCs w:val="20"/>
          <w:color w:val="auto"/>
        </w:rPr>
      </w:pPr>
      <w:r>
        <w:rPr>
          <w:rFonts w:ascii="Calibri" w:cs="Calibri" w:eastAsia="Calibri" w:hAnsi="Calibri"/>
          <w:sz w:val="17"/>
          <w:szCs w:val="17"/>
          <w:color w:val="333333"/>
        </w:rPr>
        <w:t>NYSE: FCN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5527040</wp:posOffset>
            </wp:positionV>
            <wp:extent cx="1485900" cy="288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8590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Calibri" w:cs="Calibri" w:eastAsia="Calibri" w:hAnsi="Calibri"/>
          <w:sz w:val="11"/>
          <w:szCs w:val="11"/>
          <w:color w:val="333333"/>
        </w:rPr>
        <w:t>Copyright</w:t>
      </w:r>
      <w:r>
        <w:rPr>
          <w:rFonts w:ascii="Calibri" w:cs="Calibri" w:eastAsia="Calibri" w:hAnsi="Calibri"/>
          <w:sz w:val="16"/>
          <w:szCs w:val="16"/>
          <w:color w:val="333333"/>
          <w:vertAlign w:val="superscript"/>
        </w:rPr>
        <w:t>©</w:t>
      </w:r>
      <w:r>
        <w:rPr>
          <w:rFonts w:ascii="Calibri" w:cs="Calibri" w:eastAsia="Calibri" w:hAnsi="Calibri"/>
          <w:sz w:val="11"/>
          <w:szCs w:val="11"/>
          <w:color w:val="333333"/>
        </w:rPr>
        <w:t>2026 FTI Consultng, Inc. All Rights Reserved.</w:t>
      </w:r>
    </w:p>
    <w:p>
      <w:pPr>
        <w:spacing w:after="0" w:line="72" w:lineRule="exact"/>
        <w:rPr>
          <w:sz w:val="20"/>
          <w:szCs w:val="20"/>
          <w:color w:val="auto"/>
        </w:rPr>
      </w:pPr>
    </w:p>
    <w:p>
      <w:pPr>
        <w:jc w:val="right"/>
        <w:ind w:right="4399"/>
        <w:spacing w:after="0"/>
        <w:rPr>
          <w:sz w:val="20"/>
          <w:szCs w:val="20"/>
          <w:color w:val="auto"/>
        </w:rPr>
      </w:pPr>
      <w:r>
        <w:rPr>
          <w:rFonts w:ascii="Calibri" w:cs="Calibri" w:eastAsia="Calibri" w:hAnsi="Calibri"/>
          <w:sz w:val="17"/>
          <w:szCs w:val="17"/>
          <w:color w:val="333333"/>
        </w:rPr>
        <w:t>C-2</w:t>
      </w:r>
    </w:p>
    <w:p>
      <w:pPr>
        <w:sectPr>
          <w:pgSz w:w="11900" w:h="16838" w:orient="portrait"/>
          <w:cols w:equalWidth="0" w:num="1">
            <w:col w:w="10139"/>
          </w:cols>
          <w:pgMar w:left="320" w:top="478"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221615</wp:posOffset>
            </wp:positionV>
            <wp:extent cx="5774690" cy="74733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221615</wp:posOffset>
            </wp:positionV>
            <wp:extent cx="5774690" cy="74733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sectPr>
      <w:pgSz w:w="11900" w:h="16838" w:orient="portrait"/>
      <w:cols w:equalWidth="0" w:num="1">
        <w:col w:w="10139"/>
      </w:cols>
      <w:pgMar w:left="3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1"/>
      <w:numFmt w:val="decimal"/>
      <w:start w:val="555"/>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1)"/>
      <w:numFmt w:val="decimal"/>
      <w:start w:val="1"/>
    </w:lvl>
  </w:abstractNum>
  <w:abstractNum w:abstractNumId="9">
    <w:nsid w:val="4AD084E9"/>
    <w:multiLevelType w:val="hybridMultilevel"/>
    <w:lvl w:ilvl="0">
      <w:lvlJc w:val="left"/>
      <w:lvlText w:val="∎"/>
      <w:numFmt w:val="bullet"/>
      <w:start w:val="1"/>
    </w:lvl>
    <w:lvl w:ilvl="1">
      <w:lvlJc w:val="left"/>
      <w:lvlText w:val="∎"/>
      <w:numFmt w:val="bullet"/>
      <w:start w:val="1"/>
    </w:lvl>
  </w:abstractNum>
  <w:abstractNum w:abstractNumId="10">
    <w:nsid w:val="1F48EAA1"/>
    <w:multiLevelType w:val="hybridMultilevel"/>
    <w:lvl w:ilvl="0">
      <w:lvlJc w:val="left"/>
      <w:lvlText w:val="(%1)"/>
      <w:numFmt w:val="decimal"/>
      <w:start w:val="1"/>
    </w:lvl>
  </w:abstractNum>
  <w:abstractNum w:abstractNumId="11">
    <w:nsid w:val="1381823A"/>
    <w:multiLevelType w:val="hybridMultilevel"/>
    <w:lvl w:ilvl="0">
      <w:lvlJc w:val="left"/>
      <w:lvlText w:val="(%1)"/>
      <w:numFmt w:val="decimal"/>
    </w:lvl>
    <w:lvl w:ilvl="1">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64"/>
    </w:lvl>
  </w:abstractNum>
  <w:abstractNum w:abstractNumId="17">
    <w:nsid w:val="98A3148"/>
    <w:multiLevelType w:val="hybridMultilevel"/>
    <w:lvl w:ilvl="0">
      <w:lvlJc w:val="left"/>
      <w:lvlText w:val="%1"/>
      <w:numFmt w:val="decimal"/>
      <w:start w:val="64"/>
    </w:lvl>
  </w:abstractNum>
  <w:abstractNum w:abstractNumId="18">
    <w:nsid w:val="799D0247"/>
    <w:multiLevelType w:val="hybridMultilevel"/>
    <w:lvl w:ilvl="0">
      <w:lvlJc w:val="left"/>
      <w:lvlText w:val="%1"/>
      <w:numFmt w:val="decimal"/>
      <w:start w:val="67"/>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C"/>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decimal"/>
      <w:start w:val="555"/>
    </w:lvl>
  </w:abstractNum>
  <w:abstractNum w:abstractNumId="23">
    <w:nsid w:val="661E3F1E"/>
    <w:multiLevelType w:val="hybridMultilevel"/>
    <w:lvl w:ilvl="0">
      <w:lvlJc w:val="left"/>
      <w:lvlText w:val="(%1)"/>
      <w:numFmt w:val="lowerRoman"/>
      <w:start w:val="5"/>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6"/>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2"/>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1)"/>
      <w:numFmt w:val="lowerRoman"/>
      <w:start w:val="4"/>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10"/>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1)"/>
      <w:numFmt w:val="decimal"/>
      <w:start w:val="1"/>
    </w:lvl>
  </w:abstractNum>
  <w:abstractNum w:abstractNumId="81">
    <w:nsid w:val="555C55B5"/>
    <w:multiLevelType w:val="hybridMultilevel"/>
    <w:lvl w:ilvl="0">
      <w:lvlJc w:val="left"/>
      <w:lvlText w:val="(%1)"/>
      <w:numFmt w:val="decimal"/>
      <w:start w:val="1"/>
    </w:lvl>
  </w:abstractNum>
  <w:abstractNum w:abstractNumId="82">
    <w:nsid w:val="3FA62ACA"/>
    <w:multiLevelType w:val="hybridMultilevel"/>
    <w:lvl w:ilvl="0">
      <w:lvlJc w:val="left"/>
      <w:lvlText w:val="∎"/>
      <w:numFmt w:val="bullet"/>
      <w:start w:val="1"/>
    </w:lvl>
    <w:lvl w:ilvl="1">
      <w:lvlJc w:val="left"/>
      <w:lvlText w:val="(%2)"/>
      <w:numFmt w:val="decimal"/>
      <w:start w:val="4"/>
    </w:lvl>
  </w:abstractNum>
  <w:abstractNum w:abstractNumId="83">
    <w:nsid w:val="14FCE74E"/>
    <w:multiLevelType w:val="hybridMultilevel"/>
    <w:lvl w:ilvl="0">
      <w:lvlJc w:val="left"/>
      <w:lvlText w:val="∎"/>
      <w:numFmt w:val="bullet"/>
      <w:start w:val="1"/>
    </w:lvl>
    <w:lvl w:ilvl="1">
      <w:lvlJc w:val="left"/>
      <w:lvlText w:val="(%2)"/>
      <w:numFmt w:val="decimal"/>
      <w:start w:val="5"/>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decimal"/>
      <w:start w:val="1"/>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1)"/>
      <w:numFmt w:val="decimal"/>
      <w:start w:val="1"/>
    </w:lvl>
  </w:abstractNum>
  <w:abstractNum w:abstractNumId="94">
    <w:nsid w:val="1D9F6E5F"/>
    <w:multiLevelType w:val="hybridMultilevel"/>
    <w:lvl w:ilvl="0">
      <w:lvlJc w:val="left"/>
      <w:lvlText w:val=" "/>
      <w:numFmt w:val="bullet"/>
      <w:start w:val="1"/>
    </w:lvl>
  </w:abstractNum>
  <w:abstractNum w:abstractNumId="95">
    <w:nsid w:val="97E1B4E"/>
    <w:multiLevelType w:val="hybridMultilevel"/>
    <w:lvl w:ilvl="0">
      <w:lvlJc w:val="left"/>
      <w:lvlText w:val="(%1)"/>
      <w:numFmt w:val="decimal"/>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1)"/>
      <w:numFmt w:val="lowerRoman"/>
      <w:start w:val="1"/>
    </w:lvl>
  </w:abstractNum>
  <w:abstractNum w:abstractNumId="98">
    <w:nsid w:val="53584BCB"/>
    <w:multiLevelType w:val="hybridMultilevel"/>
    <w:lvl w:ilvl="0">
      <w:lvlJc w:val="left"/>
      <w:lvlText w:val="(%1)"/>
      <w:numFmt w:val="lowerRoman"/>
      <w:start w:val="4"/>
    </w:lvl>
  </w:abstractNum>
  <w:abstractNum w:abstractNumId="99">
    <w:nsid w:val="415E286C"/>
    <w:multiLevelType w:val="hybridMultilevel"/>
    <w:lvl w:ilvl="0">
      <w:lvlJc w:val="left"/>
      <w:lvlText w:val="(%1)"/>
      <w:numFmt w:val="decimal"/>
      <w:start w:val="1"/>
    </w:lvl>
  </w:abstractNum>
  <w:abstractNum w:abstractNumId="100">
    <w:nsid w:val="7C58FD05"/>
    <w:multiLevelType w:val="hybridMultilevel"/>
    <w:lvl w:ilvl="0">
      <w:lvlJc w:val="left"/>
      <w:lvlText w:val="(%1)"/>
      <w:numFmt w:val="decimal"/>
      <w:start w:val="3"/>
    </w:lvl>
  </w:abstractNum>
  <w:abstractNum w:abstractNumId="101">
    <w:nsid w:val="23D86AAC"/>
    <w:multiLevelType w:val="hybridMultilevel"/>
    <w:lvl w:ilvl="0">
      <w:lvlJc w:val="left"/>
      <w:lvlText w:val="(%1)"/>
      <w:numFmt w:val="decimal"/>
      <w:start w:val="4"/>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1"/>
      <w:numFmt w:val="decimal"/>
      <w:start w:val="1"/>
    </w:lvl>
    <w:lvl w:ilvl="1">
      <w:lvlJc w:val="left"/>
      <w:lvlText w:val="(%2)"/>
      <w:numFmt w:val="lowerRoman"/>
      <w:start w:val="1"/>
    </w:lvl>
  </w:abstractNum>
  <w:abstractNum w:abstractNumId="104">
    <w:nsid w:val="E7FFA2B"/>
    <w:multiLevelType w:val="hybridMultilevel"/>
    <w:lvl w:ilvl="0">
      <w:lvlJc w:val="left"/>
      <w:lvlText w:val="(%1)"/>
      <w:numFmt w:val="decimal"/>
      <w:start w:val="2"/>
    </w:lvl>
    <w:lvl w:ilvl="1">
      <w:lvlJc w:val="left"/>
      <w:lvlText w:val="%2"/>
      <w:numFmt w:val="lowerRoman"/>
      <w:start w:val="1"/>
    </w:lvl>
  </w:abstractNum>
  <w:abstractNum w:abstractNumId="105">
    <w:nsid w:val="3C5991AA"/>
    <w:multiLevelType w:val="hybridMultilevel"/>
    <w:lvl w:ilvl="0">
      <w:lvlJc w:val="left"/>
      <w:lvlText w:val="(%1)"/>
      <w:numFmt w:val="decimal"/>
      <w:start w:val="1"/>
    </w:lvl>
  </w:abstractNum>
  <w:abstractNum w:abstractNumId="106">
    <w:nsid w:val="4BD8591A"/>
    <w:multiLevelType w:val="hybridMultilevel"/>
    <w:lvl w:ilvl="0">
      <w:lvlJc w:val="left"/>
      <w:lvlText w:val="(%1)"/>
      <w:numFmt w:val="decimal"/>
      <w:start w:val="11"/>
    </w:lvl>
  </w:abstractNum>
  <w:abstractNum w:abstractNumId="107">
    <w:nsid w:val="78DF6A55"/>
    <w:multiLevelType w:val="hybridMultilevel"/>
    <w:lvl w:ilvl="0">
      <w:lvlJc w:val="left"/>
      <w:lvlText w:val="(%1)"/>
      <w:numFmt w:val="decimal"/>
      <w:start w:val="12"/>
    </w:lvl>
  </w:abstractNum>
  <w:abstractNum w:abstractNumId="108">
    <w:nsid w:val="39B7AAA2"/>
    <w:multiLevelType w:val="hybridMultilevel"/>
    <w:lvl w:ilvl="0">
      <w:lvlJc w:val="left"/>
      <w:lvlText w:val="(%1)"/>
      <w:numFmt w:val="decimal"/>
      <w:start w:val="13"/>
    </w:lvl>
  </w:abstractNum>
  <w:abstractNum w:abstractNumId="109">
    <w:nsid w:val="2B0D8DBE"/>
    <w:multiLevelType w:val="hybridMultilevel"/>
    <w:lvl w:ilvl="0">
      <w:lvlJc w:val="left"/>
      <w:lvlText w:val="(%1)"/>
      <w:numFmt w:val="decimal"/>
      <w:start w:val="17"/>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decimal"/>
      <w:start w:val="3"/>
    </w:lvl>
  </w:abstractNum>
  <w:abstractNum w:abstractNumId="113">
    <w:nsid w:val="2C27173B"/>
    <w:multiLevelType w:val="hybridMultilevel"/>
    <w:lvl w:ilvl="0">
      <w:lvlJc w:val="left"/>
      <w:lvlText w:val="(%1)"/>
      <w:numFmt w:val="decimal"/>
      <w:start w:val="5"/>
    </w:lvl>
  </w:abstractNum>
  <w:abstractNum w:abstractNumId="114">
    <w:nsid w:val="4C9B0904"/>
    <w:multiLevelType w:val="hybridMultilevel"/>
    <w:lvl w:ilvl="0">
      <w:lvlJc w:val="left"/>
      <w:lvlText w:val="(%1)"/>
      <w:numFmt w:val="decimal"/>
      <w:start w:val="7"/>
    </w:lvl>
  </w:abstractNum>
  <w:abstractNum w:abstractNumId="115">
    <w:nsid w:val="6AA7B75C"/>
    <w:multiLevelType w:val="hybridMultilevel"/>
    <w:lvl w:ilvl="0">
      <w:lvlJc w:val="left"/>
      <w:lvlText w:val="(%1)"/>
      <w:numFmt w:val="decimal"/>
      <w:start w:val="8"/>
    </w:lvl>
  </w:abstractNum>
  <w:abstractNum w:abstractNumId="116">
    <w:nsid w:val="1DF029D3"/>
    <w:multiLevelType w:val="hybridMultilevel"/>
    <w:lvl w:ilvl="0">
      <w:lvlJc w:val="left"/>
      <w:lvlText w:val="(%1)"/>
      <w:numFmt w:val="decimal"/>
      <w:start w:val="1"/>
    </w:lvl>
  </w:abstractNum>
  <w:abstractNum w:abstractNumId="117">
    <w:nsid w:val="5675FF36"/>
    <w:multiLevelType w:val="hybridMultilevel"/>
    <w:lvl w:ilvl="0">
      <w:lvlJc w:val="left"/>
      <w:lvlText w:val="(%1)"/>
      <w:numFmt w:val="decimal"/>
      <w:start w:val="1"/>
    </w:lvl>
  </w:abstractNum>
  <w:abstractNum w:abstractNumId="118">
    <w:nsid w:val="3DD15094"/>
    <w:multiLevelType w:val="hybridMultilevel"/>
    <w:lvl w:ilvl="0">
      <w:lvlJc w:val="left"/>
      <w:lvlText w:val="(%1)"/>
      <w:numFmt w:val="decimal"/>
      <w:start w:val="3"/>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2026-04-21T07:04:34Z</dcterms:created>
  <dcterms:modified xsi:type="dcterms:W3CDTF">2026-04-21T07:04:34Z</dcterms:modified>
</cp:coreProperties>
</file>