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FTI CONSULTING,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Victory Capital Management, Inc.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1,461,479.00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1,489,979.00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1,489,979.00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FTI CONSULTING,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State Street Boston, MA 02109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Victory Capital Management,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15935 La Cantera Pkwy San Antonio, TX 78256</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New York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1,489,979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1,461,479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1,489,979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Item 10.</w:t>
            </w:r>
          </w:p>
        </w:tc>
        <w:tc>
          <w:tcPr>
            <w:tcW w:w="9029" w:type="dxa"/>
            <w:tcBorders/>
            <w:vAlign w:val="center"/>
          </w:tcPr>
          <w:p>
            <w:pPr>
              <w:pStyle w:val="TableContents"/>
              <w:bidi w:val="0"/>
              <w:spacing w:before="0" w:after="283"/>
              <w:jc w:val="left"/>
              <w:rPr/>
            </w:pPr>
            <w:r>
              <w:rPr/>
              <w:t>Certifications:</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Victory Capital Management, Inc.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Victory Capital Management, Inc.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Sean Fox</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4465</Characters>
  <CharactersWithSpaces>5330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