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FTI Consulting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302941109</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12/31/2006</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39" w:firstLine="632"/>
        <w:spacing w:after="0" w:line="25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171"/>
        </w:trPr>
        <w:tc>
          <w:tcPr>
            <w:tcW w:w="1520" w:type="dxa"/>
            <w:vAlign w:val="bottom"/>
            <w:gridSpan w:val="3"/>
          </w:tcPr>
          <w:p>
            <w:pPr>
              <w:spacing w:after="0" w:line="171" w:lineRule="exact"/>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96"/>
        </w:trPr>
        <w:tc>
          <w:tcPr>
            <w:tcW w:w="36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(d)</w:t>
            </w:r>
          </w:p>
        </w:tc>
      </w:tr>
    </w:tbl>
    <w:p>
      <w:pPr>
        <w:spacing w:after="0" w:line="109"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right="2199" w:firstLine="632"/>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90" w:lineRule="exact"/>
        <w:rPr>
          <w:sz w:val="24"/>
          <w:szCs w:val="24"/>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302941109</w:t>
      </w:r>
    </w:p>
    <w:p>
      <w:pPr>
        <w:spacing w:after="0" w:line="3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and I.R.S. Identification Nos.(entities only) of reporting persons.</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Inc.</w:t>
      </w:r>
    </w:p>
    <w:p>
      <w:pPr>
        <w:spacing w:after="0" w:line="2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061523639</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279400</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339520</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ectPr>
          <w:pgSz w:w="11900" w:h="16838" w:orient="portrait"/>
          <w:cols w:equalWidth="0" w:num="1">
            <w:col w:w="10219"/>
          </w:cols>
          <w:pgMar w:left="240" w:top="218"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339520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|X| (see instructions).</w:t>
      </w:r>
    </w:p>
    <w:p>
      <w:pPr>
        <w:spacing w:after="0" w:line="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0.817%</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302941109</w:t>
      </w:r>
    </w:p>
    <w:p>
      <w:pPr>
        <w:spacing w:after="0" w:line="3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and I.R.S. Identification Nos.(entities only) of reporting persons.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135521910</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279400</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339520</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339520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|X| (see instructions).</w:t>
      </w:r>
    </w:p>
    <w:p>
      <w:pPr>
        <w:spacing w:after="0" w:line="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0.817%</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691" w:right="1440" w:bottom="1440" w:gutter="0" w:footer="0" w:header="0"/>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FTI Consulting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500 East Pratt Street</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Ste. 1400</w:t>
      </w:r>
    </w:p>
    <w:p>
      <w:pPr>
        <w:ind w:left="1160"/>
        <w:spacing w:after="0"/>
        <w:rPr>
          <w:sz w:val="20"/>
          <w:szCs w:val="20"/>
          <w:color w:val="auto"/>
        </w:rPr>
      </w:pPr>
      <w:r>
        <w:rPr>
          <w:rFonts w:ascii="Courier New" w:cs="Courier New" w:eastAsia="Courier New" w:hAnsi="Courier New"/>
          <w:sz w:val="18"/>
          <w:szCs w:val="18"/>
          <w:color w:val="auto"/>
        </w:rPr>
        <w:t>Baltimore MD 21202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Inc.</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LLC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 NY 10158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302941109</w:t>
      </w:r>
    </w:p>
    <w:p>
      <w:pPr>
        <w:spacing w:after="0" w:line="201" w:lineRule="exact"/>
        <w:rPr>
          <w:sz w:val="20"/>
          <w:szCs w:val="20"/>
          <w:color w:val="auto"/>
        </w:rPr>
      </w:pPr>
    </w:p>
    <w:p>
      <w:pPr>
        <w:ind w:left="860" w:right="2199" w:hanging="842"/>
        <w:spacing w:after="0" w:line="347"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18" w:lineRule="exact"/>
        <w:rPr>
          <w:sz w:val="20"/>
          <w:szCs w:val="20"/>
          <w:color w:val="auto"/>
        </w:rPr>
      </w:pPr>
    </w:p>
    <w:p>
      <w:pPr>
        <w:ind w:left="1700" w:right="2739" w:hanging="849"/>
        <w:spacing w:after="0" w:line="347"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347"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18" w:lineRule="exact"/>
        <w:rPr>
          <w:rFonts w:ascii="Courier New" w:cs="Courier New" w:eastAsia="Courier New" w:hAnsi="Courier New"/>
          <w:sz w:val="18"/>
          <w:szCs w:val="18"/>
          <w:color w:val="auto"/>
        </w:rPr>
      </w:pPr>
    </w:p>
    <w:p>
      <w:pPr>
        <w:ind w:left="1700" w:right="1879" w:hanging="849"/>
        <w:spacing w:after="0" w:line="347"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18" w:lineRule="exact"/>
        <w:rPr>
          <w:rFonts w:ascii="Courier New" w:cs="Courier New" w:eastAsia="Courier New" w:hAnsi="Courier New"/>
          <w:sz w:val="18"/>
          <w:szCs w:val="18"/>
          <w:color w:val="auto"/>
        </w:rPr>
      </w:pPr>
    </w:p>
    <w:p>
      <w:pPr>
        <w:ind w:left="1700" w:right="4319" w:hanging="849"/>
        <w:spacing w:after="0" w:line="347"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18" w:lineRule="exact"/>
        <w:rPr>
          <w:rFonts w:ascii="Courier New" w:cs="Courier New" w:eastAsia="Courier New" w:hAnsi="Courier New"/>
          <w:sz w:val="18"/>
          <w:szCs w:val="18"/>
          <w:color w:val="auto"/>
        </w:rPr>
      </w:pPr>
    </w:p>
    <w:p>
      <w:pPr>
        <w:ind w:left="1700" w:right="2099" w:hanging="849"/>
        <w:spacing w:after="0" w:line="347"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18" w:lineRule="exact"/>
        <w:rPr>
          <w:rFonts w:ascii="Courier New" w:cs="Courier New" w:eastAsia="Courier New" w:hAnsi="Courier New"/>
          <w:sz w:val="18"/>
          <w:szCs w:val="18"/>
          <w:color w:val="auto"/>
        </w:rPr>
      </w:pPr>
    </w:p>
    <w:p>
      <w:pPr>
        <w:ind w:left="1700" w:right="2099" w:hanging="849"/>
        <w:spacing w:after="0" w:line="347"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18" w:lineRule="exact"/>
        <w:rPr>
          <w:rFonts w:ascii="Courier New" w:cs="Courier New" w:eastAsia="Courier New" w:hAnsi="Courier New"/>
          <w:sz w:val="18"/>
          <w:szCs w:val="18"/>
          <w:color w:val="auto"/>
        </w:rPr>
      </w:pPr>
    </w:p>
    <w:p>
      <w:pPr>
        <w:ind w:left="1700" w:right="2619" w:hanging="849"/>
        <w:spacing w:after="0" w:line="347"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1700" w:right="2319" w:hanging="849"/>
        <w:spacing w:after="0" w:line="292"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1" w:lineRule="exact"/>
        <w:rPr>
          <w:sz w:val="20"/>
          <w:szCs w:val="20"/>
          <w:color w:val="auto"/>
        </w:rPr>
      </w:pPr>
    </w:p>
    <w:p>
      <w:pPr>
        <w:ind w:left="860" w:right="3779"/>
        <w:spacing w:after="0" w:line="347"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right="6639" w:hanging="431"/>
        <w:spacing w:after="0" w:line="347"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339520</w:t>
      </w:r>
    </w:p>
    <w:p>
      <w:pPr>
        <w:spacing w:after="0" w:line="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0.817</w:t>
      </w:r>
    </w:p>
    <w:p>
      <w:pPr>
        <w:spacing w:after="0" w:line="169"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30" w:lineRule="exact"/>
        <w:rPr>
          <w:rFonts w:ascii="Courier New" w:cs="Courier New" w:eastAsia="Courier New" w:hAnsi="Courier New"/>
          <w:sz w:val="18"/>
          <w:szCs w:val="18"/>
          <w:color w:val="auto"/>
        </w:rPr>
      </w:pPr>
    </w:p>
    <w:p>
      <w:pPr>
        <w:ind w:left="1480" w:right="5679" w:hanging="629"/>
        <w:spacing w:after="0" w:line="309" w:lineRule="auto"/>
        <w:tabs>
          <w:tab w:leader="none" w:pos="14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279400</w:t>
      </w:r>
    </w:p>
    <w:p>
      <w:pPr>
        <w:sectPr>
          <w:pgSz w:w="11900" w:h="16844" w:orient="portrait"/>
          <w:cols w:equalWidth="0" w:num="1">
            <w:col w:w="10219"/>
          </w:cols>
          <w:pgMar w:left="240" w:top="691" w:right="1440" w:bottom="0" w:gutter="0" w:footer="0" w:header="0"/>
        </w:sectPr>
      </w:pPr>
    </w:p>
    <w:bookmarkStart w:id="4" w:name="page5"/>
    <w:bookmarkEnd w:id="4"/>
    <w:p>
      <w:pPr>
        <w:ind w:left="1480" w:right="5479" w:hanging="629"/>
        <w:spacing w:after="0" w:line="347"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0</w:t>
      </w:r>
    </w:p>
    <w:p>
      <w:pPr>
        <w:spacing w:after="0" w:line="18" w:lineRule="exact"/>
        <w:rPr>
          <w:rFonts w:ascii="Courier New" w:cs="Courier New" w:eastAsia="Courier New" w:hAnsi="Courier New"/>
          <w:sz w:val="18"/>
          <w:szCs w:val="18"/>
          <w:color w:val="auto"/>
        </w:rPr>
      </w:pPr>
    </w:p>
    <w:p>
      <w:pPr>
        <w:ind w:left="1480" w:right="3479" w:hanging="629"/>
        <w:spacing w:after="0" w:line="347"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18" w:lineRule="exact"/>
        <w:rPr>
          <w:rFonts w:ascii="Courier New" w:cs="Courier New" w:eastAsia="Courier New" w:hAnsi="Courier New"/>
          <w:sz w:val="18"/>
          <w:szCs w:val="18"/>
          <w:color w:val="auto"/>
        </w:rPr>
      </w:pPr>
    </w:p>
    <w:p>
      <w:pPr>
        <w:ind w:left="1480" w:right="3259" w:hanging="629"/>
        <w:spacing w:after="0" w:line="347"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339520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1" w:lineRule="exact"/>
        <w:rPr>
          <w:sz w:val="20"/>
          <w:szCs w:val="20"/>
          <w:color w:val="auto"/>
        </w:rPr>
      </w:pPr>
    </w:p>
    <w:p>
      <w:pPr>
        <w:ind w:left="860" w:right="177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860" w:right="1779"/>
        <w:spacing w:after="0" w:line="253" w:lineRule="auto"/>
        <w:rPr>
          <w:sz w:val="20"/>
          <w:szCs w:val="20"/>
          <w:color w:val="auto"/>
        </w:rPr>
      </w:pPr>
      <w:r>
        <w:rPr>
          <w:rFonts w:ascii="Courier New" w:cs="Courier New" w:eastAsia="Courier New" w:hAnsi="Courier New"/>
          <w:sz w:val="18"/>
          <w:szCs w:val="18"/>
          <w:color w:val="auto"/>
        </w:rPr>
        <w:t>Neuberger Berman, LLC is deemed to be a beneficial owner for purpose of Rule 13(d) since it has shared power to make decisions whether to retain or dispose, and in some cases the sole power to vote, the securities of many unrelated clients. Neuberger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104" w:lineRule="exact"/>
        <w:rPr>
          <w:sz w:val="20"/>
          <w:szCs w:val="20"/>
          <w:color w:val="auto"/>
        </w:rPr>
      </w:pPr>
    </w:p>
    <w:p>
      <w:pPr>
        <w:ind w:left="860" w:right="1779"/>
        <w:spacing w:after="0" w:line="248" w:lineRule="auto"/>
        <w:rPr>
          <w:sz w:val="20"/>
          <w:szCs w:val="20"/>
          <w:color w:val="auto"/>
        </w:rPr>
      </w:pPr>
      <w:r>
        <w:rPr>
          <w:rFonts w:ascii="Courier New" w:cs="Courier New" w:eastAsia="Courier New" w:hAnsi="Courier New"/>
          <w:sz w:val="18"/>
          <w:szCs w:val="18"/>
          <w:color w:val="auto"/>
        </w:rPr>
        <w:t>With regard to the shares set forth under item 4. (c) (II), Neuberger Berman, LLC and Neuberger Berman Management Inc. are deemed to be beneficial owners for purposes of Rule 13 (d) since they both have shared power to make decisions whether to retain or dispose and vote the securities. Neuberger Berman, LLC and Neuberger Berman Management Inc. serve as a sub-adviser and investment manager, respectively, of Neuberger Berman's various Mutual Funds which hold such shares in the ordinary course of their business and not with the purpose nor with the effect of changing or influencing the control of the issuer. The holdings of Lehman Brothers Asset Management LLC, an affiliate of Neuberger Berman LLC, are also aggregated to comprise the holdings referenced herein.</w:t>
      </w:r>
    </w:p>
    <w:p>
      <w:pPr>
        <w:spacing w:after="0" w:line="105" w:lineRule="exact"/>
        <w:rPr>
          <w:sz w:val="20"/>
          <w:szCs w:val="20"/>
          <w:color w:val="auto"/>
        </w:rPr>
      </w:pPr>
    </w:p>
    <w:p>
      <w:pPr>
        <w:ind w:left="860" w:right="1999"/>
        <w:spacing w:after="0" w:line="347"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18" w:lineRule="exact"/>
        <w:rPr>
          <w:sz w:val="20"/>
          <w:szCs w:val="20"/>
          <w:color w:val="auto"/>
        </w:rPr>
      </w:pPr>
    </w:p>
    <w:p>
      <w:pPr>
        <w:ind w:left="860" w:right="1779"/>
        <w:spacing w:after="0" w:line="265" w:lineRule="auto"/>
        <w:rPr>
          <w:sz w:val="20"/>
          <w:szCs w:val="20"/>
          <w:color w:val="auto"/>
        </w:rPr>
      </w:pPr>
      <w:r>
        <w:rPr>
          <w:rFonts w:ascii="Courier New" w:cs="Courier New" w:eastAsia="Courier New" w:hAnsi="Courier New"/>
          <w:sz w:val="18"/>
          <w:szCs w:val="18"/>
          <w:color w:val="auto"/>
        </w:rPr>
        <w:t>It should be further noted that the share calculation under item 4. (c) (IV) is derived from a total combination of the shares set forth under Item 4. (c) (I and II). The remaining balance of shares, if any, are for the individual client accounts over which Neuberger Berman, LLC has shared power to dispose but not vote shares.</w:t>
      </w:r>
    </w:p>
    <w:p>
      <w:pPr>
        <w:spacing w:after="0" w:line="292" w:lineRule="exact"/>
        <w:rPr>
          <w:sz w:val="20"/>
          <w:szCs w:val="20"/>
          <w:color w:val="auto"/>
        </w:rPr>
      </w:pPr>
    </w:p>
    <w:p>
      <w:pPr>
        <w:ind w:left="860" w:right="1999" w:hanging="842"/>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Neuberger Berman Inc. makes this filing pursuant to the Rule 13d-1 (b)</w:t>
      </w:r>
    </w:p>
    <w:p>
      <w:pPr>
        <w:spacing w:after="0" w:line="31" w:lineRule="exact"/>
        <w:rPr>
          <w:sz w:val="20"/>
          <w:szCs w:val="20"/>
          <w:color w:val="auto"/>
        </w:rPr>
      </w:pPr>
    </w:p>
    <w:p>
      <w:pPr>
        <w:ind w:left="860" w:right="1879" w:hanging="9"/>
        <w:spacing w:after="0" w:line="238" w:lineRule="auto"/>
        <w:tabs>
          <w:tab w:leader="none" w:pos="138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 since it owns 100% of both Neuberger Berman, LLC and Neuberger Berman Management Inc. and does not own over 1% of the issuer, and is affiliated with Lehman Brothers Asset Management LLC.</w:t>
      </w:r>
    </w:p>
    <w:p>
      <w:pPr>
        <w:spacing w:after="0" w:line="1" w:lineRule="exact"/>
        <w:rPr>
          <w:rFonts w:ascii="Courier New" w:cs="Courier New" w:eastAsia="Courier New" w:hAnsi="Courier New"/>
          <w:sz w:val="18"/>
          <w:szCs w:val="18"/>
          <w:color w:val="auto"/>
        </w:rPr>
      </w:pPr>
    </w:p>
    <w:p>
      <w:pPr>
        <w:ind w:left="860" w:right="199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LLC, as investment advisor and broker/dealer with discretion Neuberger Berman Management Inc. as investment advisor to a series of Public Mutual Funds. Lehman Brothers Asset Management LLC as an investment advisor with discretion.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left="960" w:right="18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1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Page 4 of 5 Pages</w:t>
      </w:r>
    </w:p>
    <w:p>
      <w:pPr>
        <w:sectPr>
          <w:pgSz w:w="11900" w:h="16838" w:orient="portrait"/>
          <w:cols w:equalWidth="0" w:num="1">
            <w:col w:w="10219"/>
          </w:cols>
          <w:pgMar w:left="240" w:top="312" w:right="1440" w:bottom="1440" w:gutter="0" w:footer="0" w:header="0"/>
        </w:sectPr>
      </w:pPr>
    </w:p>
    <w:bookmarkStart w:id="6" w:name="page7"/>
    <w:bookmarkEnd w:id="6"/>
    <w:p>
      <w:pPr>
        <w:ind w:right="187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Berman Inc.</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02/13/2007</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Kevin Handwerker</w:t>
            </w:r>
          </w:p>
        </w:tc>
      </w:tr>
      <w:tr>
        <w:trPr>
          <w:trHeight w:val="296"/>
        </w:trPr>
        <w:tc>
          <w:tcPr>
            <w:tcW w:w="2860" w:type="dxa"/>
            <w:vAlign w:val="bottom"/>
          </w:tcPr>
          <w:p>
            <w:pPr>
              <w:spacing w:after="0"/>
              <w:rPr>
                <w:sz w:val="24"/>
                <w:szCs w:val="24"/>
                <w:color w:val="auto"/>
              </w:rPr>
            </w:pPr>
          </w:p>
        </w:tc>
        <w:tc>
          <w:tcPr>
            <w:tcW w:w="3580" w:type="dxa"/>
            <w:vAlign w:val="bottom"/>
            <w:gridSpan w:val="3"/>
          </w:tcPr>
          <w:p>
            <w:pPr>
              <w:ind w:left="1160"/>
              <w:spacing w:after="0"/>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Berman, LLC</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02/13/2007</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Kevin Handwerker</w:t>
            </w:r>
          </w:p>
        </w:tc>
      </w:tr>
      <w:tr>
        <w:trPr>
          <w:trHeight w:val="296"/>
        </w:trPr>
        <w:tc>
          <w:tcPr>
            <w:tcW w:w="2860" w:type="dxa"/>
            <w:vAlign w:val="bottom"/>
          </w:tcPr>
          <w:p>
            <w:pPr>
              <w:spacing w:after="0"/>
              <w:rPr>
                <w:sz w:val="24"/>
                <w:szCs w:val="24"/>
                <w:color w:val="auto"/>
              </w:rPr>
            </w:pPr>
          </w:p>
        </w:tc>
        <w:tc>
          <w:tcPr>
            <w:tcW w:w="1840" w:type="dxa"/>
            <w:vAlign w:val="bottom"/>
          </w:tcPr>
          <w:p>
            <w:pPr>
              <w:ind w:left="1160"/>
              <w:spacing w:after="0"/>
              <w:rPr>
                <w:sz w:val="20"/>
                <w:szCs w:val="20"/>
                <w:color w:val="auto"/>
              </w:rPr>
            </w:pPr>
            <w:r>
              <w:rPr>
                <w:rFonts w:ascii="Courier New" w:cs="Courier New" w:eastAsia="Courier New" w:hAnsi="Courier New"/>
                <w:sz w:val="18"/>
                <w:szCs w:val="18"/>
                <w:color w:val="auto"/>
              </w:rPr>
              <w:t>Title:</w:t>
            </w:r>
          </w:p>
        </w:tc>
        <w:tc>
          <w:tcPr>
            <w:tcW w:w="1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General Counsel</w:t>
            </w:r>
          </w:p>
        </w:tc>
      </w:tr>
    </w:tbl>
    <w:p>
      <w:pPr>
        <w:spacing w:after="0" w:line="31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99" w:lineRule="exact"/>
        <w:rPr>
          <w:sz w:val="20"/>
          <w:szCs w:val="20"/>
          <w:color w:val="auto"/>
        </w:rPr>
      </w:pPr>
    </w:p>
    <w:p>
      <w:pPr>
        <w:ind w:right="1879"/>
        <w:spacing w:after="0" w:line="285"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lvl w:ilvl="1">
      <w:lvlJc w:val="left"/>
      <w:lvlText w:val="(%2)"/>
      <w:numFmt w:val="decimal"/>
      <w:start w:val="5"/>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2)"/>
      <w:numFmt w:val="decimal"/>
      <w:start w:val="5"/>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lvl w:ilvl="1">
      <w:lvlJc w:val="left"/>
      <w:lvlText w:val="%2"/>
      <w:numFmt w:val="lowerLetter"/>
      <w:start w:val="1"/>
    </w:lvl>
  </w:abstractNum>
  <w:abstractNum w:abstractNumId="18">
    <w:nsid w:val="62BBD95A"/>
    <w:multiLevelType w:val="hybridMultilevel"/>
    <w:lvl w:ilvl="0">
      <w:lvlJc w:val="left"/>
      <w:lvlText w:val="(%1)"/>
      <w:numFmt w:val="lowerLetter"/>
      <w:start w:val="1"/>
    </w:lvl>
    <w:lvl w:ilvl="1">
      <w:lvlJc w:val="left"/>
      <w:lvlText w:val="(%2)"/>
      <w:numFmt w:val="lowerRoman"/>
      <w:start w:val="1"/>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2019-12-13T22:56:50Z</dcterms:created>
  <dcterms:modified xsi:type="dcterms:W3CDTF">2019-12-13T22:56:50Z</dcterms:modified>
</cp:coreProperties>
</file>