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FTI Consulting,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001-14875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52-1261113</w:t>
            </w:r>
          </w:p>
        </w:tc>
      </w:tr>
      <w:tr>
        <w:trPr>
          <w:trHeight w:val="149"/>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555 12th Street NW</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Washington, District of Columbia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20004</w:t>
            </w:r>
          </w:p>
        </w:tc>
      </w:tr>
      <w:tr>
        <w:trPr>
          <w:trHeight w:val="178"/>
        </w:trPr>
        <w:tc>
          <w:tcPr>
            <w:tcW w:w="3220" w:type="dxa"/>
            <w:vAlign w:val="bottom"/>
          </w:tcPr>
          <w:p>
            <w:pPr>
              <w:jc w:val="center"/>
              <w:ind w:right="5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202 312-9100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FCN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2026 Annual Meeting of Shareholders (the “Annual Meeting”) of FTI Consulting, Inc. ("FTI Consulting" or the “Company”) was held on June 3, 2026. At the Annual Meeting, the Company's shareholders voted on the following three proposals, as described in detail in the proxy statement for the Annual Meeting filed with the Securities and Exchange Commission on April 21, 2026 (the “Proxy Statement”), and cast their votes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Elect as directors the eight nominees named in the Proxy Statement: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88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34"/>
        </w:trPr>
        <w:tc>
          <w:tcPr>
            <w:tcW w:w="2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Elsy Boglioli</w:t>
            </w:r>
          </w:p>
        </w:tc>
        <w:tc>
          <w:tcPr>
            <w:tcW w:w="2400" w:type="dxa"/>
            <w:vAlign w:val="bottom"/>
            <w:gridSpan w:val="3"/>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26,481,448</w:t>
            </w:r>
          </w:p>
        </w:tc>
        <w:tc>
          <w:tcPr>
            <w:tcW w:w="124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471,325</w:t>
            </w:r>
          </w:p>
        </w:tc>
        <w:tc>
          <w:tcPr>
            <w:tcW w:w="6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6"/>
              </w:rPr>
              <w:t>21,516</w:t>
            </w:r>
          </w:p>
        </w:tc>
        <w:tc>
          <w:tcPr>
            <w:tcW w:w="2280" w:type="dxa"/>
            <w:vAlign w:val="bottom"/>
            <w:gridSpan w:val="2"/>
            <w:shd w:val="clear" w:color="auto" w:fill="CFF0FC"/>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shd w:val="clear" w:color="auto" w:fill="CFF0FC"/>
          </w:tcPr>
          <w:p>
            <w:pPr>
              <w:spacing w:after="0"/>
              <w:rPr>
                <w:sz w:val="21"/>
                <w:szCs w:val="21"/>
                <w:color w:val="auto"/>
              </w:rPr>
            </w:pPr>
          </w:p>
        </w:tc>
      </w:tr>
      <w:tr>
        <w:trPr>
          <w:trHeight w:val="241"/>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Claudio Costamagna</w:t>
            </w:r>
          </w:p>
        </w:tc>
        <w:tc>
          <w:tcPr>
            <w:tcW w:w="24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26,347,820</w:t>
            </w:r>
          </w:p>
        </w:tc>
        <w:tc>
          <w:tcPr>
            <w:tcW w:w="12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606,235</w:t>
            </w:r>
          </w:p>
        </w:tc>
        <w:tc>
          <w:tcPr>
            <w:tcW w:w="640" w:type="dxa"/>
            <w:vAlign w:val="bottom"/>
          </w:tcPr>
          <w:p>
            <w:pPr>
              <w:spacing w:after="0"/>
              <w:rPr>
                <w:sz w:val="20"/>
                <w:szCs w:val="20"/>
                <w:color w:val="auto"/>
              </w:rPr>
            </w:pPr>
          </w:p>
        </w:tc>
        <w:tc>
          <w:tcPr>
            <w:tcW w:w="15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20,234</w:t>
            </w:r>
          </w:p>
        </w:tc>
        <w:tc>
          <w:tcPr>
            <w:tcW w:w="22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tcPr>
          <w:p>
            <w:pPr>
              <w:spacing w:after="0"/>
              <w:rPr>
                <w:sz w:val="20"/>
                <w:szCs w:val="20"/>
                <w:color w:val="auto"/>
              </w:rPr>
            </w:pPr>
          </w:p>
        </w:tc>
      </w:tr>
      <w:tr>
        <w:trPr>
          <w:trHeight w:val="245"/>
        </w:trPr>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Nicholas C. Fanandakis</w:t>
            </w:r>
          </w:p>
        </w:tc>
        <w:tc>
          <w:tcPr>
            <w:tcW w:w="2400" w:type="dxa"/>
            <w:vAlign w:val="bottom"/>
            <w:gridSpan w:val="3"/>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26,659,958</w:t>
            </w:r>
          </w:p>
        </w:tc>
        <w:tc>
          <w:tcPr>
            <w:tcW w:w="124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282,427</w:t>
            </w:r>
          </w:p>
        </w:tc>
        <w:tc>
          <w:tcPr>
            <w:tcW w:w="6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6"/>
              </w:rPr>
              <w:t>31,905</w:t>
            </w:r>
          </w:p>
        </w:tc>
        <w:tc>
          <w:tcPr>
            <w:tcW w:w="2280" w:type="dxa"/>
            <w:vAlign w:val="bottom"/>
            <w:gridSpan w:val="2"/>
            <w:shd w:val="clear" w:color="auto" w:fill="CFF0FC"/>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shd w:val="clear" w:color="auto" w:fill="CFF0FC"/>
          </w:tcPr>
          <w:p>
            <w:pPr>
              <w:spacing w:after="0"/>
              <w:rPr>
                <w:sz w:val="21"/>
                <w:szCs w:val="21"/>
                <w:color w:val="auto"/>
              </w:rPr>
            </w:pPr>
          </w:p>
        </w:tc>
      </w:tr>
      <w:tr>
        <w:trPr>
          <w:trHeight w:val="241"/>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Steven H. Gunby</w:t>
            </w:r>
          </w:p>
        </w:tc>
        <w:tc>
          <w:tcPr>
            <w:tcW w:w="24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26,538,764</w:t>
            </w:r>
          </w:p>
        </w:tc>
        <w:tc>
          <w:tcPr>
            <w:tcW w:w="12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400,899</w:t>
            </w:r>
          </w:p>
        </w:tc>
        <w:tc>
          <w:tcPr>
            <w:tcW w:w="640" w:type="dxa"/>
            <w:vAlign w:val="bottom"/>
          </w:tcPr>
          <w:p>
            <w:pPr>
              <w:spacing w:after="0"/>
              <w:rPr>
                <w:sz w:val="20"/>
                <w:szCs w:val="20"/>
                <w:color w:val="auto"/>
              </w:rPr>
            </w:pPr>
          </w:p>
        </w:tc>
        <w:tc>
          <w:tcPr>
            <w:tcW w:w="15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34,626</w:t>
            </w:r>
          </w:p>
        </w:tc>
        <w:tc>
          <w:tcPr>
            <w:tcW w:w="22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tcPr>
          <w:p>
            <w:pPr>
              <w:spacing w:after="0"/>
              <w:rPr>
                <w:sz w:val="20"/>
                <w:szCs w:val="20"/>
                <w:color w:val="auto"/>
              </w:rPr>
            </w:pPr>
          </w:p>
        </w:tc>
      </w:tr>
      <w:tr>
        <w:trPr>
          <w:trHeight w:val="245"/>
        </w:trPr>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Stephen C. Robinson</w:t>
            </w:r>
          </w:p>
        </w:tc>
        <w:tc>
          <w:tcPr>
            <w:tcW w:w="2400" w:type="dxa"/>
            <w:vAlign w:val="bottom"/>
            <w:gridSpan w:val="3"/>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26,406,555</w:t>
            </w:r>
          </w:p>
        </w:tc>
        <w:tc>
          <w:tcPr>
            <w:tcW w:w="124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548,269</w:t>
            </w:r>
          </w:p>
        </w:tc>
        <w:tc>
          <w:tcPr>
            <w:tcW w:w="6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6"/>
              </w:rPr>
              <w:t>19,465</w:t>
            </w:r>
          </w:p>
        </w:tc>
        <w:tc>
          <w:tcPr>
            <w:tcW w:w="2280" w:type="dxa"/>
            <w:vAlign w:val="bottom"/>
            <w:gridSpan w:val="2"/>
            <w:shd w:val="clear" w:color="auto" w:fill="CFF0FC"/>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shd w:val="clear" w:color="auto" w:fill="CFF0FC"/>
          </w:tcPr>
          <w:p>
            <w:pPr>
              <w:spacing w:after="0"/>
              <w:rPr>
                <w:sz w:val="21"/>
                <w:szCs w:val="21"/>
                <w:color w:val="auto"/>
              </w:rPr>
            </w:pPr>
          </w:p>
        </w:tc>
      </w:tr>
      <w:tr>
        <w:trPr>
          <w:trHeight w:val="241"/>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Laureen E. Seeger</w:t>
            </w:r>
          </w:p>
        </w:tc>
        <w:tc>
          <w:tcPr>
            <w:tcW w:w="24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26,442,407</w:t>
            </w:r>
          </w:p>
        </w:tc>
        <w:tc>
          <w:tcPr>
            <w:tcW w:w="12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510,392</w:t>
            </w:r>
          </w:p>
        </w:tc>
        <w:tc>
          <w:tcPr>
            <w:tcW w:w="640" w:type="dxa"/>
            <w:vAlign w:val="bottom"/>
          </w:tcPr>
          <w:p>
            <w:pPr>
              <w:spacing w:after="0"/>
              <w:rPr>
                <w:sz w:val="20"/>
                <w:szCs w:val="20"/>
                <w:color w:val="auto"/>
              </w:rPr>
            </w:pPr>
          </w:p>
        </w:tc>
        <w:tc>
          <w:tcPr>
            <w:tcW w:w="15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21,490</w:t>
            </w:r>
          </w:p>
        </w:tc>
        <w:tc>
          <w:tcPr>
            <w:tcW w:w="22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tcPr>
          <w:p>
            <w:pPr>
              <w:spacing w:after="0"/>
              <w:rPr>
                <w:sz w:val="20"/>
                <w:szCs w:val="20"/>
                <w:color w:val="auto"/>
              </w:rPr>
            </w:pPr>
          </w:p>
        </w:tc>
      </w:tr>
      <w:tr>
        <w:trPr>
          <w:trHeight w:val="245"/>
        </w:trPr>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Eric T. Steigerwalt</w:t>
            </w:r>
          </w:p>
        </w:tc>
        <w:tc>
          <w:tcPr>
            <w:tcW w:w="2400" w:type="dxa"/>
            <w:vAlign w:val="bottom"/>
            <w:gridSpan w:val="3"/>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26,918,897</w:t>
            </w:r>
          </w:p>
        </w:tc>
        <w:tc>
          <w:tcPr>
            <w:tcW w:w="124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37,918</w:t>
            </w:r>
          </w:p>
        </w:tc>
        <w:tc>
          <w:tcPr>
            <w:tcW w:w="6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6"/>
              </w:rPr>
              <w:t>17,474</w:t>
            </w:r>
          </w:p>
        </w:tc>
        <w:tc>
          <w:tcPr>
            <w:tcW w:w="2280" w:type="dxa"/>
            <w:vAlign w:val="bottom"/>
            <w:gridSpan w:val="2"/>
            <w:shd w:val="clear" w:color="auto" w:fill="CFF0FC"/>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shd w:val="clear" w:color="auto" w:fill="CFF0FC"/>
          </w:tcPr>
          <w:p>
            <w:pPr>
              <w:spacing w:after="0"/>
              <w:rPr>
                <w:sz w:val="21"/>
                <w:szCs w:val="21"/>
                <w:color w:val="auto"/>
              </w:rPr>
            </w:pPr>
          </w:p>
        </w:tc>
      </w:tr>
      <w:tr>
        <w:trPr>
          <w:trHeight w:val="238"/>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Janet H. Zelenka</w:t>
            </w:r>
          </w:p>
        </w:tc>
        <w:tc>
          <w:tcPr>
            <w:tcW w:w="24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26,487,306</w:t>
            </w:r>
          </w:p>
        </w:tc>
        <w:tc>
          <w:tcPr>
            <w:tcW w:w="12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465,467</w:t>
            </w:r>
          </w:p>
        </w:tc>
        <w:tc>
          <w:tcPr>
            <w:tcW w:w="640" w:type="dxa"/>
            <w:vAlign w:val="bottom"/>
          </w:tcPr>
          <w:p>
            <w:pPr>
              <w:spacing w:after="0"/>
              <w:rPr>
                <w:sz w:val="20"/>
                <w:szCs w:val="20"/>
                <w:color w:val="auto"/>
              </w:rPr>
            </w:pPr>
          </w:p>
        </w:tc>
        <w:tc>
          <w:tcPr>
            <w:tcW w:w="15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6"/>
              </w:rPr>
              <w:t>21,516</w:t>
            </w:r>
          </w:p>
        </w:tc>
        <w:tc>
          <w:tcPr>
            <w:tcW w:w="228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1,081,462</w:t>
            </w:r>
          </w:p>
        </w:tc>
        <w:tc>
          <w:tcPr>
            <w:tcW w:w="3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 Ratify the appointment of KPMG LLP as FTI Consulting, Inc.’s independent registered public accounting firm for the year ending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06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510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6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34"/>
        </w:trPr>
        <w:tc>
          <w:tcPr>
            <w:tcW w:w="17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3780" w:type="dxa"/>
            <w:vAlign w:val="bottom"/>
            <w:gridSpan w:val="3"/>
            <w:shd w:val="clear" w:color="auto" w:fill="CFF0FC"/>
          </w:tcPr>
          <w:p>
            <w:pPr>
              <w:jc w:val="right"/>
              <w:ind w:right="1520"/>
              <w:spacing w:after="0"/>
              <w:rPr>
                <w:sz w:val="20"/>
                <w:szCs w:val="20"/>
                <w:color w:val="auto"/>
              </w:rPr>
            </w:pPr>
            <w:r>
              <w:rPr>
                <w:rFonts w:ascii="Times New Roman" w:cs="Times New Roman" w:eastAsia="Times New Roman" w:hAnsi="Times New Roman"/>
                <w:sz w:val="18"/>
                <w:szCs w:val="18"/>
                <w:color w:val="auto"/>
              </w:rPr>
              <w:t>27,752,240</w:t>
            </w:r>
          </w:p>
        </w:tc>
        <w:tc>
          <w:tcPr>
            <w:tcW w:w="2100" w:type="dxa"/>
            <w:vAlign w:val="bottom"/>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w w:val="99"/>
              </w:rPr>
              <w:t>270,790</w:t>
            </w:r>
          </w:p>
        </w:tc>
        <w:tc>
          <w:tcPr>
            <w:tcW w:w="30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32,721</w:t>
            </w:r>
          </w:p>
        </w:tc>
        <w:tc>
          <w:tcPr>
            <w:tcW w:w="144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 Vote on an advisory (non-binding) resolution to approve the compensation of the named executive officers for the year ended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2025 as described in the Proxy Statement: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34"/>
        </w:trPr>
        <w:tc>
          <w:tcPr>
            <w:tcW w:w="12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920" w:type="dxa"/>
            <w:vAlign w:val="bottom"/>
            <w:gridSpan w:val="3"/>
            <w:shd w:val="clear" w:color="auto" w:fill="CFF0FC"/>
          </w:tcPr>
          <w:p>
            <w:pPr>
              <w:jc w:val="right"/>
              <w:ind w:right="2100"/>
              <w:spacing w:after="0"/>
              <w:rPr>
                <w:sz w:val="20"/>
                <w:szCs w:val="20"/>
                <w:color w:val="auto"/>
              </w:rPr>
            </w:pPr>
            <w:r>
              <w:rPr>
                <w:rFonts w:ascii="Times New Roman" w:cs="Times New Roman" w:eastAsia="Times New Roman" w:hAnsi="Times New Roman"/>
                <w:sz w:val="18"/>
                <w:szCs w:val="18"/>
                <w:color w:val="auto"/>
              </w:rPr>
              <w:t>26,766,491</w:t>
            </w: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183,399</w:t>
            </w:r>
          </w:p>
        </w:tc>
        <w:tc>
          <w:tcPr>
            <w:tcW w:w="20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24,400</w:t>
            </w:r>
          </w:p>
        </w:tc>
        <w:tc>
          <w:tcPr>
            <w:tcW w:w="84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1,081,462</w:t>
            </w:r>
          </w:p>
        </w:tc>
        <w:tc>
          <w:tcPr>
            <w:tcW w:w="7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(the “Board”) and Compensation Committee value the views of the Company’s shareholders and will consider the results of this advisory vote when making future decisions on named executive officer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June 3, 2026, the Board authorized an additional $370.0 million to repurchase shares of the Company’s outstanding common stock, par value $0.01 per share (“Common Stock”), pursuant to its stock repurchase program initially authorized by the Board in the amount of $100.0 million on June 2, 2016, which was increased by an additional (i) $100.0 million on May 18, 2017, (ii) $100.0 million on December 1, 2017, (iii) $100.0 million on February 21, 2019, (iv) $100.0 million on February 20, 2020, (v) $200.0 million on July 28, 2020, (vi) $200.0 million on December 3, 2020, (vii) $400.0 million on December 1, 2022, (viii) $400.0 million on April 21, 2025, and (ix) $500.0 million on October 21, 2025, for an aggregate authorization as of June 3, 2026 of $2.6 billion (the “Stock Repurchase Program”).</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June 2, 2026, FTI Consulting had repurchased 19,104,867 shares of its outstanding Common Stock under the Stock Repurchase Program at an average price per share of $107.94 for an aggregate cost of approximately $2.1 billion. After giving effect to Common Stock repurchases through that date and the increased authorization, FTI Consulting has approximately $507.4 million remaining available for Common Stock repurchases under the Stock Repurchase Program. No time limit has been established for the completion of the Stock Repurchase Program, and it may be suspended, discontinued or replaced by the Board at any time without prior notice.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Stock Repurchase Program, FTI Consulting may repurchase its shares of its Common Stock in open-market purchases or by any other method in accordance with applicable securities laws and other laws, rules and regulations. The specific timing, price and amount of repurchases will be determined by the Company’s management, in its discretion, and will vary based on market conditions, securities law limitations and other applicable laws, rules and regulations, and other factors. The repurchases may be funded using available cash on hand or a combination of cash and available borrowings under the Company’s senior unsecured bank revolving credit facility.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Current Report on Form 8-K includes “forward-looking statements” within the meaning of Section 27A of the Securities Act of 1933, as amended, and Section 21E of the Securities Exchange Act of 1934, as amended, which involve uncertainties and risks. Forward-looking statements include statements, without limitation, regarding plans for Common Stock repurchases. When used in this Current Report on Form 8-K, words such as “estimates,” “expects,” “anticipates,” “projects,” “plans,” “intends,” “believes,” “forecasts,” “may” and variations of such words or similar expressions are intended to identify forward-looking statements. All forward-looking statements are based upon FTI Consulting’s expectations at the time it makes them and various assumptions. FTI Consulting’s expectations, beliefs and projections are expressed in good faith, and it believes there is a reasonable basis for them. However, there can be no assurance that management’s plans, expectations or forecasts will be achieved. Factors that could cause changes to FTI Consulting’s plans, expectations or forecasts include risks described under the heading “Item 1A Risk Factors” in FTI Consulting’s Form 10-K for the year ended December 31, 2025 filed with the SEC on February 26, 2026, and in FTI Consulting’s other filings with the SEC. FTI Consulting is under no duty to update any of the forward-looking statements to conform such statements to actual results or events and does not intend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196"/>
        </w:trPr>
        <w:tc>
          <w:tcPr>
            <w:tcW w:w="1140" w:type="dxa"/>
            <w:vAlign w:val="bottom"/>
            <w:gridSpan w:val="2"/>
          </w:tcPr>
          <w:p>
            <w:pPr>
              <w:jc w:val="right"/>
              <w:ind w:right="768"/>
              <w:spacing w:after="0" w:line="196" w:lineRule="exact"/>
              <w:rPr>
                <w:sz w:val="20"/>
                <w:szCs w:val="20"/>
                <w:color w:val="auto"/>
              </w:rPr>
            </w:pPr>
            <w:r>
              <w:rPr>
                <w:rFonts w:ascii="Times New Roman" w:cs="Times New Roman" w:eastAsia="Times New Roman" w:hAnsi="Times New Roman"/>
                <w:sz w:val="18"/>
                <w:szCs w:val="18"/>
                <w:color w:val="auto"/>
                <w:w w:val="88"/>
              </w:rPr>
              <w:t>99.1</w:t>
            </w:r>
          </w:p>
        </w:tc>
        <w:tc>
          <w:tcPr>
            <w:tcW w:w="200" w:type="dxa"/>
            <w:vAlign w:val="bottom"/>
          </w:tcPr>
          <w:p>
            <w:pPr>
              <w:spacing w:after="0"/>
              <w:rPr>
                <w:sz w:val="17"/>
                <w:szCs w:val="17"/>
                <w:color w:val="auto"/>
              </w:rPr>
            </w:pPr>
          </w:p>
        </w:tc>
        <w:tc>
          <w:tcPr>
            <w:tcW w:w="4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5, 2026 of FTI Consulting, Inc.</w:t>
            </w:r>
          </w:p>
        </w:tc>
        <w:tc>
          <w:tcPr>
            <w:tcW w:w="20" w:type="dxa"/>
            <w:vAlign w:val="bottom"/>
            <w:tcBorders>
              <w:bottom w:val="single" w:sz="8" w:color="0000EE"/>
            </w:tcBorders>
          </w:tcPr>
          <w:p>
            <w:pPr>
              <w:spacing w:after="0"/>
              <w:rPr>
                <w:sz w:val="17"/>
                <w:szCs w:val="17"/>
                <w:color w:val="auto"/>
              </w:rPr>
            </w:pPr>
          </w:p>
        </w:tc>
        <w:tc>
          <w:tcPr>
            <w:tcW w:w="1400" w:type="dxa"/>
            <w:vAlign w:val="bottom"/>
            <w:gridSpan w:val="2"/>
          </w:tcPr>
          <w:p>
            <w:pPr>
              <w:spacing w:after="0"/>
              <w:rPr>
                <w:sz w:val="17"/>
                <w:szCs w:val="17"/>
                <w:color w:val="auto"/>
              </w:rPr>
            </w:pPr>
          </w:p>
        </w:tc>
      </w:tr>
    </w:tbl>
    <w:p>
      <w:pPr>
        <w:spacing w:after="0" w:line="36" w:lineRule="exact"/>
        <w:rPr>
          <w:sz w:val="20"/>
          <w:szCs w:val="20"/>
          <w:color w:val="auto"/>
        </w:rPr>
      </w:pPr>
    </w:p>
    <w:p>
      <w:pPr>
        <w:ind w:left="1380" w:hanging="1346"/>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FTI Consulting’s Current Report on Form 8-K dated June 3, 2026, formatted in Inline XBRL</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FTI CONSULTING,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5, 2026</w:t>
      </w:r>
      <w:r>
        <w:rPr>
          <w:sz w:val="20"/>
          <w:szCs w:val="20"/>
          <w:color w:val="auto"/>
        </w:rPr>
        <w:tab/>
      </w:r>
      <w:r>
        <w:rPr>
          <w:rFonts w:ascii="Times New Roman" w:cs="Times New Roman" w:eastAsia="Times New Roman" w:hAnsi="Times New Roman"/>
          <w:sz w:val="18"/>
          <w:szCs w:val="18"/>
          <w:color w:val="auto"/>
        </w:rPr>
        <w:t>By:</w:t>
        <w:tab/>
        <w:t>/s/ CURTIS P.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Curtis P. Lu</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FTI Consulting, Inc.</w:t>
      </w:r>
    </w:p>
    <w:p>
      <w:pPr>
        <w:spacing w:after="0" w:line="231" w:lineRule="auto"/>
        <w:rPr>
          <w:sz w:val="20"/>
          <w:szCs w:val="20"/>
          <w:color w:val="auto"/>
        </w:rPr>
      </w:pPr>
      <w:r>
        <w:rPr>
          <w:rFonts w:ascii="Arial" w:cs="Arial" w:eastAsia="Arial" w:hAnsi="Arial"/>
          <w:sz w:val="20"/>
          <w:szCs w:val="20"/>
          <w:color w:val="auto"/>
        </w:rPr>
        <w:t>555 12th Street NW</w:t>
      </w:r>
    </w:p>
    <w:p>
      <w:pPr>
        <w:spacing w:after="0" w:line="226" w:lineRule="auto"/>
        <w:rPr>
          <w:sz w:val="20"/>
          <w:szCs w:val="20"/>
          <w:color w:val="auto"/>
        </w:rPr>
      </w:pPr>
      <w:r>
        <w:rPr>
          <w:rFonts w:ascii="Arial" w:cs="Arial" w:eastAsia="Arial" w:hAnsi="Arial"/>
          <w:sz w:val="20"/>
          <w:szCs w:val="20"/>
          <w:color w:val="auto"/>
        </w:rPr>
        <w:t>Washington, DC 20004</w:t>
      </w:r>
    </w:p>
    <w:p>
      <w:pPr>
        <w:spacing w:after="0"/>
        <w:rPr>
          <w:sz w:val="20"/>
          <w:szCs w:val="20"/>
          <w:color w:val="auto"/>
        </w:rPr>
      </w:pPr>
      <w:r>
        <w:rPr>
          <w:rFonts w:ascii="Arial" w:cs="Arial" w:eastAsia="Arial" w:hAnsi="Arial"/>
          <w:sz w:val="20"/>
          <w:szCs w:val="20"/>
          <w:color w:val="auto"/>
        </w:rPr>
        <w:t>+1.202.312.9100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Mollie Hawkes</w:t>
      </w:r>
    </w:p>
    <w:p>
      <w:pPr>
        <w:spacing w:after="0" w:line="226" w:lineRule="auto"/>
        <w:rPr>
          <w:sz w:val="20"/>
          <w:szCs w:val="20"/>
          <w:color w:val="auto"/>
        </w:rPr>
      </w:pPr>
      <w:r>
        <w:rPr>
          <w:rFonts w:ascii="Arial" w:cs="Arial" w:eastAsia="Arial" w:hAnsi="Arial"/>
          <w:sz w:val="20"/>
          <w:szCs w:val="20"/>
          <w:color w:val="auto"/>
        </w:rPr>
        <w:t>+1.617.747.1791</w:t>
      </w:r>
    </w:p>
    <w:p>
      <w:pPr>
        <w:spacing w:after="0"/>
        <w:rPr>
          <w:sz w:val="20"/>
          <w:szCs w:val="20"/>
          <w:color w:val="auto"/>
        </w:rPr>
      </w:pPr>
      <w:r>
        <w:rPr>
          <w:rFonts w:ascii="Arial" w:cs="Arial" w:eastAsia="Arial" w:hAnsi="Arial"/>
          <w:sz w:val="20"/>
          <w:szCs w:val="20"/>
          <w:color w:val="auto"/>
        </w:rPr>
        <w:t>m</w:t>
      </w:r>
      <w:r>
        <w:rPr>
          <w:rFonts w:ascii="Arial" w:cs="Arial" w:eastAsia="Arial" w:hAnsi="Arial"/>
          <w:sz w:val="20"/>
          <w:szCs w:val="20"/>
          <w:u w:val="single" w:color="auto"/>
          <w:color w:val="auto"/>
        </w:rPr>
        <w:t>ollie.hawkes@fticonsulting.com</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FTI Consulting, Inc. Announces $370.0 Million Stock Repurchase Authorization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repurchased approximately 19.1 million shares at an average price per share of $107.94 since June 2016</w:t>
      </w:r>
    </w:p>
    <w:p>
      <w:pPr>
        <w:spacing w:after="0" w:line="200" w:lineRule="exact"/>
        <w:rPr>
          <w:sz w:val="20"/>
          <w:szCs w:val="20"/>
          <w:color w:val="auto"/>
        </w:rPr>
      </w:pPr>
    </w:p>
    <w:p>
      <w:pPr>
        <w:spacing w:after="0" w:line="286"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WASHINGTON, June 5, 2026 GLOBE NEWSWIRE — FTI Consulting, Inc. (NYSE: FCN) today announced that on June 3, 2026, FTI Consulting’s Board of Directors authorized an additional $370.0 million to repurchase shares of its outstanding common stock under its stock repurchase program. As of June 2, 2026, FTI Consulting has repurchased an aggregate of approximately 19.1 million shares at an average price per share of $107.94 since the repurchase program was originally authorized in June 2016, for an aggregate cost of approximately $2.1 billion. After giving effect to share repurchases through that date and the increased authorization, FTI Consulting has approximately $507.4 million remaining available for common stock repurchases under its program. No time limit has been established for the completion of FTI Consulting’s stock repurchase program, and the program may be suspended, discontinued or replaced by the Board at any time without prior notice.</w:t>
      </w:r>
    </w:p>
    <w:p>
      <w:pPr>
        <w:spacing w:after="0" w:line="107"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Under its stock repurchase program, FTI Consulting may repurchase shares of its common stock in open-market purchases or by any other method in accordance with applicable securities laws and other laws, rules and regulations. The specific timing, price and amount of repurchases will be determined by FTI Consulting’s management, in its discretion, and will vary based on market conditions, securities law limitations, applicable laws, rules and regulations, and other factors. The repurchases may be funded using available cash on hand or a combination of cash and available borrowings under FTI Consulting’s senior secured revolving bank credit facility.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FTI Consulting</w:t>
      </w:r>
    </w:p>
    <w:p>
      <w:pPr>
        <w:spacing w:after="0" w:line="137" w:lineRule="exact"/>
        <w:rPr>
          <w:sz w:val="20"/>
          <w:szCs w:val="20"/>
          <w:color w:val="auto"/>
        </w:rPr>
      </w:pPr>
    </w:p>
    <w:p>
      <w:pPr>
        <w:ind w:right="380"/>
        <w:spacing w:after="0" w:line="241" w:lineRule="auto"/>
        <w:rPr>
          <w:sz w:val="20"/>
          <w:szCs w:val="20"/>
          <w:color w:val="auto"/>
        </w:rPr>
      </w:pPr>
      <w:r>
        <w:rPr>
          <w:rFonts w:ascii="Arial" w:cs="Arial" w:eastAsia="Arial" w:hAnsi="Arial"/>
          <w:sz w:val="20"/>
          <w:szCs w:val="20"/>
          <w:color w:val="auto"/>
        </w:rPr>
        <w:t>FTI Consulting, Inc. is a leading global expert firm for organizations facing crisis and transformation, with more than 8,100 employees located in 32 countries and territories as of March 31, 2026. In certain jurisdictions, FTI Consulting’s services are provided through distinct legal entities that are separately capitalized and independently managed.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generated $3.8 billion in revenues during fiscal year 2025. More information can be found at www.fticonsulting.com.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This press release includes “forward-looking statements” within the meaning of Section 27A of the Securities Act of 1933, as amended, and Section 21E of the Securities Exchange Act of 1934, as amended. All statements other than statements of historical fact, including among other things, statements about plans for common stock repurchases, are forward-looking statements. When used in this release, words such as “estimates,” “expects,” “anticipates,” “projects,” “plans,” “intends,” “believes,” “forecasts,” “may” and variations of such words or similar expressions are intended to identify forward-looking statements. All forward-looking statements are based upon FTI Consulting’s expectations at the time it makes them and various assumptions. FTI Consulting’s expectations, beliefs and projections are expressed in good faith, and it believes there is a reasonable basis for them. However, there can be no assurance that management’s plans, expectations or forecasts will be achieved. Factors that could cause changes to FTI Consulting’s plans, expectations or forecasts include risks described under the heading “Item 1A Risk Factors” in FTI Consulting’s Form 10-K for the year ended December 31, 2025 filed with the SEC on February 26, 2026, and in FTI Consulting’s other filings with the SEC. FTI Consulting is under no duty to update any of the forward-looking statements to conform such statements to actual results or events and does not intend to do so.</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FTI Consulting, Inc.</w:t>
      </w:r>
    </w:p>
    <w:p>
      <w:pPr>
        <w:spacing w:after="0" w:line="231" w:lineRule="auto"/>
        <w:rPr>
          <w:sz w:val="20"/>
          <w:szCs w:val="20"/>
          <w:color w:val="auto"/>
        </w:rPr>
      </w:pPr>
      <w:r>
        <w:rPr>
          <w:rFonts w:ascii="Arial" w:cs="Arial" w:eastAsia="Arial" w:hAnsi="Arial"/>
          <w:sz w:val="20"/>
          <w:szCs w:val="20"/>
          <w:color w:val="auto"/>
        </w:rPr>
        <w:t>555 12th Street NW</w:t>
      </w:r>
    </w:p>
    <w:p>
      <w:pPr>
        <w:spacing w:after="0" w:line="226" w:lineRule="auto"/>
        <w:rPr>
          <w:sz w:val="20"/>
          <w:szCs w:val="20"/>
          <w:color w:val="auto"/>
        </w:rPr>
      </w:pPr>
      <w:r>
        <w:rPr>
          <w:rFonts w:ascii="Arial" w:cs="Arial" w:eastAsia="Arial" w:hAnsi="Arial"/>
          <w:sz w:val="20"/>
          <w:szCs w:val="20"/>
          <w:color w:val="auto"/>
        </w:rPr>
        <w:t>Washington, DC 20004</w:t>
      </w:r>
    </w:p>
    <w:p>
      <w:pPr>
        <w:spacing w:after="0"/>
        <w:rPr>
          <w:sz w:val="20"/>
          <w:szCs w:val="20"/>
          <w:color w:val="auto"/>
        </w:rPr>
      </w:pPr>
      <w:r>
        <w:rPr>
          <w:rFonts w:ascii="Arial" w:cs="Arial" w:eastAsia="Arial" w:hAnsi="Arial"/>
          <w:sz w:val="20"/>
          <w:szCs w:val="20"/>
          <w:color w:val="auto"/>
        </w:rPr>
        <w:t>+1.202.312.9100</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Mollie Hawkes</w:t>
      </w:r>
    </w:p>
    <w:p>
      <w:pPr>
        <w:spacing w:after="0" w:line="226" w:lineRule="auto"/>
        <w:rPr>
          <w:sz w:val="20"/>
          <w:szCs w:val="20"/>
          <w:color w:val="auto"/>
        </w:rPr>
      </w:pPr>
      <w:r>
        <w:rPr>
          <w:rFonts w:ascii="Arial" w:cs="Arial" w:eastAsia="Arial" w:hAnsi="Arial"/>
          <w:sz w:val="20"/>
          <w:szCs w:val="20"/>
          <w:color w:val="auto"/>
        </w:rPr>
        <w:t>+1.617.747.1791</w:t>
      </w:r>
    </w:p>
    <w:p>
      <w:pPr>
        <w:spacing w:after="0"/>
        <w:rPr>
          <w:sz w:val="20"/>
          <w:szCs w:val="20"/>
          <w:color w:val="auto"/>
        </w:rPr>
      </w:pPr>
      <w:r>
        <w:rPr>
          <w:rFonts w:ascii="Arial" w:cs="Arial" w:eastAsia="Arial" w:hAnsi="Arial"/>
          <w:sz w:val="20"/>
          <w:szCs w:val="20"/>
          <w:color w:val="auto"/>
        </w:rPr>
        <w:t>mollie.hawkes@fticonsulting.com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4"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2026-06-05T06:37:44Z</dcterms:created>
  <dcterms:modified xsi:type="dcterms:W3CDTF">2026-06-05T06:37:44Z</dcterms:modified>
</cp:coreProperties>
</file>